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webextensions/taskpanes.xml" ContentType="application/vnd.ms-office.webextensiontaskpanes+xml"/>
  <Override PartName="/word/webextensions/webextension1.xml" ContentType="application/vnd.ms-office.webextension+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F677E" w14:textId="77777777" w:rsidR="005B0DFA" w:rsidRDefault="005B0DFA" w:rsidP="005B0DFA">
      <w:pPr>
        <w:spacing w:before="1440"/>
        <w:rPr>
          <w:b/>
          <w:color w:val="632423"/>
          <w:sz w:val="40"/>
          <w:szCs w:val="40"/>
          <w:lang w:eastAsia="en-GB"/>
        </w:rPr>
      </w:pPr>
    </w:p>
    <w:p w14:paraId="2DADB44E" w14:textId="747C769D" w:rsidR="005B0DFA" w:rsidRDefault="005B0DFA" w:rsidP="00F67F38">
      <w:pPr>
        <w:spacing w:before="600"/>
        <w:rPr>
          <w:b/>
          <w:color w:val="632423"/>
          <w:sz w:val="40"/>
          <w:szCs w:val="40"/>
          <w:lang w:eastAsia="en-GB"/>
        </w:rPr>
      </w:pPr>
      <w:r>
        <w:rPr>
          <w:b/>
          <w:color w:val="632423"/>
          <w:sz w:val="40"/>
          <w:szCs w:val="40"/>
          <w:lang w:eastAsia="en-GB"/>
        </w:rPr>
        <w:t>Final report</w:t>
      </w:r>
      <w:r w:rsidRPr="00363696">
        <w:rPr>
          <w:b/>
          <w:color w:val="632423"/>
          <w:sz w:val="40"/>
          <w:szCs w:val="40"/>
          <w:lang w:eastAsia="en-GB"/>
        </w:rPr>
        <w:t>:</w:t>
      </w:r>
      <w:r>
        <w:rPr>
          <w:b/>
          <w:color w:val="632423"/>
          <w:sz w:val="40"/>
          <w:szCs w:val="40"/>
          <w:lang w:eastAsia="en-GB"/>
        </w:rPr>
        <w:t xml:space="preserve"> </w:t>
      </w:r>
    </w:p>
    <w:p w14:paraId="044716C7" w14:textId="213453B4" w:rsidR="00020A56" w:rsidRPr="005B0DFA" w:rsidRDefault="005B0DFA" w:rsidP="005B0DFA">
      <w:pPr>
        <w:spacing w:before="600"/>
        <w:rPr>
          <w:rStyle w:val="Purple"/>
          <w:color w:val="1B263C"/>
          <w:sz w:val="40"/>
          <w:szCs w:val="44"/>
        </w:rPr>
      </w:pPr>
      <w:r w:rsidRPr="005B0DFA">
        <w:rPr>
          <w:b/>
          <w:color w:val="1B263C"/>
          <w:sz w:val="40"/>
          <w:szCs w:val="40"/>
          <w:lang w:eastAsia="en-GB"/>
        </w:rPr>
        <w:t>Gambling Harm Needs Assessment 2024</w:t>
      </w:r>
      <w:r w:rsidR="00F67F38">
        <w:rPr>
          <w:b/>
          <w:color w:val="1B263C"/>
          <w:sz w:val="40"/>
          <w:szCs w:val="40"/>
          <w:lang w:eastAsia="en-GB"/>
        </w:rPr>
        <w:t xml:space="preserve">: </w:t>
      </w:r>
      <w:r w:rsidR="00F67F38">
        <w:rPr>
          <w:bCs/>
          <w:color w:val="1B263C"/>
          <w:sz w:val="40"/>
          <w:szCs w:val="40"/>
          <w:lang w:eastAsia="en-GB"/>
        </w:rPr>
        <w:t>L</w:t>
      </w:r>
      <w:r w:rsidR="003B73BC" w:rsidRPr="005B0DFA">
        <w:rPr>
          <w:rStyle w:val="Purple"/>
          <w:color w:val="1B263C"/>
          <w:sz w:val="40"/>
          <w:szCs w:val="44"/>
        </w:rPr>
        <w:t>iterature review, funding review and gap analysis informed by the sector</w:t>
      </w:r>
      <w:r w:rsidR="00461D35">
        <w:rPr>
          <w:rStyle w:val="Purple"/>
          <w:color w:val="1B263C"/>
          <w:sz w:val="40"/>
          <w:szCs w:val="44"/>
        </w:rPr>
        <w:t>.</w:t>
      </w:r>
    </w:p>
    <w:p w14:paraId="2E514D8D" w14:textId="65002AAF" w:rsidR="007156C7" w:rsidRPr="005B0DFA" w:rsidRDefault="007156C7" w:rsidP="00F67F38">
      <w:pPr>
        <w:pStyle w:val="Subtitle"/>
        <w:tabs>
          <w:tab w:val="left" w:pos="6832"/>
        </w:tabs>
        <w:spacing w:before="600"/>
        <w:rPr>
          <w:b/>
          <w:bCs/>
          <w:color w:val="632423"/>
        </w:rPr>
      </w:pPr>
      <w:r w:rsidRPr="005B0DFA">
        <w:rPr>
          <w:rStyle w:val="Purple"/>
          <w:b/>
          <w:bCs/>
          <w:color w:val="632423"/>
        </w:rPr>
        <w:t>April</w:t>
      </w:r>
      <w:r w:rsidR="00CB7109" w:rsidRPr="005B0DFA">
        <w:rPr>
          <w:rStyle w:val="Purple"/>
          <w:b/>
          <w:bCs/>
          <w:color w:val="632423"/>
        </w:rPr>
        <w:t xml:space="preserve"> 2024</w:t>
      </w:r>
    </w:p>
    <w:p w14:paraId="43376BD9" w14:textId="77777777" w:rsidR="007C7103" w:rsidRPr="007156C7" w:rsidRDefault="007C7103" w:rsidP="007156C7">
      <w:pPr>
        <w:sectPr w:rsidR="007C7103" w:rsidRPr="007156C7" w:rsidSect="00FA225E">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67DFB953" w14:textId="77777777" w:rsidR="00592693" w:rsidRPr="006A4732" w:rsidRDefault="00592693" w:rsidP="0079394C">
      <w:pPr>
        <w:pStyle w:val="TOCHeading"/>
        <w:spacing w:before="360"/>
        <w:rPr>
          <w:rStyle w:val="Purple"/>
          <w:rFonts w:cs="Calibri"/>
          <w:color w:val="1B263C"/>
          <w:sz w:val="36"/>
          <w:szCs w:val="32"/>
        </w:rPr>
      </w:pPr>
      <w:r w:rsidRPr="006A4732">
        <w:rPr>
          <w:rStyle w:val="Purple"/>
          <w:rFonts w:cs="Calibri"/>
          <w:color w:val="1B263C"/>
          <w:sz w:val="36"/>
          <w:szCs w:val="32"/>
        </w:rPr>
        <w:lastRenderedPageBreak/>
        <w:t>Contents</w:t>
      </w:r>
    </w:p>
    <w:p w14:paraId="4A308CCB" w14:textId="35669A8D" w:rsidR="00303C88" w:rsidRDefault="00592693">
      <w:pPr>
        <w:pStyle w:val="TOC1"/>
        <w:rPr>
          <w:rFonts w:asciiTheme="minorHAnsi" w:eastAsiaTheme="minorEastAsia" w:hAnsiTheme="minorHAnsi"/>
          <w:noProof/>
          <w:kern w:val="2"/>
          <w:sz w:val="24"/>
          <w:szCs w:val="24"/>
          <w:lang w:eastAsia="en-NZ"/>
          <w14:ligatures w14:val="standardContextual"/>
        </w:rPr>
      </w:pPr>
      <w:r w:rsidRPr="00C75F88">
        <w:rPr>
          <w:rFonts w:cs="Calibri"/>
          <w:b/>
        </w:rPr>
        <w:fldChar w:fldCharType="begin"/>
      </w:r>
      <w:r w:rsidRPr="00C75F88">
        <w:rPr>
          <w:rFonts w:cs="Calibri"/>
          <w:b/>
        </w:rPr>
        <w:instrText xml:space="preserve"> TOC \o "1-1" \h \z \u \t "Heading 2,3,Heading 5,1,Heading 6,3" </w:instrText>
      </w:r>
      <w:r w:rsidRPr="00C75F88">
        <w:rPr>
          <w:rFonts w:cs="Calibri"/>
          <w:b/>
        </w:rPr>
        <w:fldChar w:fldCharType="separate"/>
      </w:r>
      <w:hyperlink w:anchor="_Toc166507357" w:history="1">
        <w:r w:rsidR="00303C88" w:rsidRPr="00B84C9D">
          <w:rPr>
            <w:rStyle w:val="Hyperlink"/>
            <w:noProof/>
          </w:rPr>
          <w:t>Glossary</w:t>
        </w:r>
        <w:r w:rsidR="00303C88">
          <w:rPr>
            <w:noProof/>
            <w:webHidden/>
          </w:rPr>
          <w:tab/>
        </w:r>
        <w:r w:rsidR="00303C88">
          <w:rPr>
            <w:noProof/>
            <w:webHidden/>
          </w:rPr>
          <w:fldChar w:fldCharType="begin"/>
        </w:r>
        <w:r w:rsidR="00303C88">
          <w:rPr>
            <w:noProof/>
            <w:webHidden/>
          </w:rPr>
          <w:instrText xml:space="preserve"> PAGEREF _Toc166507357 \h </w:instrText>
        </w:r>
        <w:r w:rsidR="00303C88">
          <w:rPr>
            <w:noProof/>
            <w:webHidden/>
          </w:rPr>
        </w:r>
        <w:r w:rsidR="00303C88">
          <w:rPr>
            <w:noProof/>
            <w:webHidden/>
          </w:rPr>
          <w:fldChar w:fldCharType="separate"/>
        </w:r>
        <w:r w:rsidR="004F4DA7">
          <w:rPr>
            <w:noProof/>
            <w:webHidden/>
          </w:rPr>
          <w:t>4</w:t>
        </w:r>
        <w:r w:rsidR="00303C88">
          <w:rPr>
            <w:noProof/>
            <w:webHidden/>
          </w:rPr>
          <w:fldChar w:fldCharType="end"/>
        </w:r>
      </w:hyperlink>
    </w:p>
    <w:p w14:paraId="43962914" w14:textId="3444852A"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358" w:history="1">
        <w:r w:rsidR="00303C88" w:rsidRPr="00B84C9D">
          <w:rPr>
            <w:rStyle w:val="Hyperlink"/>
            <w:noProof/>
          </w:rPr>
          <w:t>Executive summary</w:t>
        </w:r>
        <w:r w:rsidR="00303C88">
          <w:rPr>
            <w:noProof/>
            <w:webHidden/>
          </w:rPr>
          <w:tab/>
        </w:r>
        <w:r w:rsidR="00303C88">
          <w:rPr>
            <w:noProof/>
            <w:webHidden/>
          </w:rPr>
          <w:fldChar w:fldCharType="begin"/>
        </w:r>
        <w:r w:rsidR="00303C88">
          <w:rPr>
            <w:noProof/>
            <w:webHidden/>
          </w:rPr>
          <w:instrText xml:space="preserve"> PAGEREF _Toc166507358 \h </w:instrText>
        </w:r>
        <w:r w:rsidR="00303C88">
          <w:rPr>
            <w:noProof/>
            <w:webHidden/>
          </w:rPr>
        </w:r>
        <w:r w:rsidR="00303C88">
          <w:rPr>
            <w:noProof/>
            <w:webHidden/>
          </w:rPr>
          <w:fldChar w:fldCharType="separate"/>
        </w:r>
        <w:r w:rsidR="004F4DA7">
          <w:rPr>
            <w:noProof/>
            <w:webHidden/>
          </w:rPr>
          <w:t>5</w:t>
        </w:r>
        <w:r w:rsidR="00303C88">
          <w:rPr>
            <w:noProof/>
            <w:webHidden/>
          </w:rPr>
          <w:fldChar w:fldCharType="end"/>
        </w:r>
      </w:hyperlink>
    </w:p>
    <w:p w14:paraId="57406A9D" w14:textId="24C54024"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367" w:history="1">
        <w:r w:rsidR="00303C88" w:rsidRPr="00B84C9D">
          <w:rPr>
            <w:rStyle w:val="Hyperlink"/>
            <w:noProof/>
          </w:rPr>
          <w:t>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Background</w:t>
        </w:r>
        <w:r w:rsidR="00303C88">
          <w:rPr>
            <w:noProof/>
            <w:webHidden/>
          </w:rPr>
          <w:tab/>
        </w:r>
        <w:r w:rsidR="00303C88">
          <w:rPr>
            <w:noProof/>
            <w:webHidden/>
          </w:rPr>
          <w:fldChar w:fldCharType="begin"/>
        </w:r>
        <w:r w:rsidR="00303C88">
          <w:rPr>
            <w:noProof/>
            <w:webHidden/>
          </w:rPr>
          <w:instrText xml:space="preserve"> PAGEREF _Toc166507367 \h </w:instrText>
        </w:r>
        <w:r w:rsidR="00303C88">
          <w:rPr>
            <w:noProof/>
            <w:webHidden/>
          </w:rPr>
        </w:r>
        <w:r w:rsidR="00303C88">
          <w:rPr>
            <w:noProof/>
            <w:webHidden/>
          </w:rPr>
          <w:fldChar w:fldCharType="separate"/>
        </w:r>
        <w:r w:rsidR="004F4DA7">
          <w:rPr>
            <w:noProof/>
            <w:webHidden/>
          </w:rPr>
          <w:t>14</w:t>
        </w:r>
        <w:r w:rsidR="00303C88">
          <w:rPr>
            <w:noProof/>
            <w:webHidden/>
          </w:rPr>
          <w:fldChar w:fldCharType="end"/>
        </w:r>
      </w:hyperlink>
    </w:p>
    <w:p w14:paraId="5D46E4E5" w14:textId="64467900"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68" w:history="1">
        <w:r w:rsidR="00303C88" w:rsidRPr="00B84C9D">
          <w:rPr>
            <w:rStyle w:val="Hyperlink"/>
            <w:noProof/>
          </w:rPr>
          <w:t>1.1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Methods</w:t>
        </w:r>
        <w:r w:rsidR="00303C88">
          <w:rPr>
            <w:noProof/>
            <w:webHidden/>
          </w:rPr>
          <w:tab/>
        </w:r>
        <w:r w:rsidR="00303C88">
          <w:rPr>
            <w:noProof/>
            <w:webHidden/>
          </w:rPr>
          <w:fldChar w:fldCharType="begin"/>
        </w:r>
        <w:r w:rsidR="00303C88">
          <w:rPr>
            <w:noProof/>
            <w:webHidden/>
          </w:rPr>
          <w:instrText xml:space="preserve"> PAGEREF _Toc166507368 \h </w:instrText>
        </w:r>
        <w:r w:rsidR="00303C88">
          <w:rPr>
            <w:noProof/>
            <w:webHidden/>
          </w:rPr>
        </w:r>
        <w:r w:rsidR="00303C88">
          <w:rPr>
            <w:noProof/>
            <w:webHidden/>
          </w:rPr>
          <w:fldChar w:fldCharType="separate"/>
        </w:r>
        <w:r w:rsidR="004F4DA7">
          <w:rPr>
            <w:noProof/>
            <w:webHidden/>
          </w:rPr>
          <w:t>15</w:t>
        </w:r>
        <w:r w:rsidR="00303C88">
          <w:rPr>
            <w:noProof/>
            <w:webHidden/>
          </w:rPr>
          <w:fldChar w:fldCharType="end"/>
        </w:r>
      </w:hyperlink>
    </w:p>
    <w:p w14:paraId="03C8198F" w14:textId="62362E93"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369" w:history="1">
        <w:r w:rsidR="00303C88" w:rsidRPr="00B84C9D">
          <w:rPr>
            <w:rStyle w:val="Hyperlink"/>
            <w:noProof/>
          </w:rPr>
          <w:t>2.</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Gambling in Aotearoa New Zealand</w:t>
        </w:r>
        <w:r w:rsidR="00303C88">
          <w:rPr>
            <w:noProof/>
            <w:webHidden/>
          </w:rPr>
          <w:tab/>
        </w:r>
        <w:r w:rsidR="00303C88">
          <w:rPr>
            <w:noProof/>
            <w:webHidden/>
          </w:rPr>
          <w:fldChar w:fldCharType="begin"/>
        </w:r>
        <w:r w:rsidR="00303C88">
          <w:rPr>
            <w:noProof/>
            <w:webHidden/>
          </w:rPr>
          <w:instrText xml:space="preserve"> PAGEREF _Toc166507369 \h </w:instrText>
        </w:r>
        <w:r w:rsidR="00303C88">
          <w:rPr>
            <w:noProof/>
            <w:webHidden/>
          </w:rPr>
        </w:r>
        <w:r w:rsidR="00303C88">
          <w:rPr>
            <w:noProof/>
            <w:webHidden/>
          </w:rPr>
          <w:fldChar w:fldCharType="separate"/>
        </w:r>
        <w:r w:rsidR="004F4DA7">
          <w:rPr>
            <w:noProof/>
            <w:webHidden/>
          </w:rPr>
          <w:t>19</w:t>
        </w:r>
        <w:r w:rsidR="00303C88">
          <w:rPr>
            <w:noProof/>
            <w:webHidden/>
          </w:rPr>
          <w:fldChar w:fldCharType="end"/>
        </w:r>
      </w:hyperlink>
    </w:p>
    <w:p w14:paraId="2E8939CC" w14:textId="16B2C8A4"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70" w:history="1">
        <w:r w:rsidR="00303C88" w:rsidRPr="00B84C9D">
          <w:rPr>
            <w:rStyle w:val="Hyperlink"/>
            <w:noProof/>
          </w:rPr>
          <w:t>2.1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Gambling participation</w:t>
        </w:r>
        <w:r w:rsidR="00303C88">
          <w:rPr>
            <w:noProof/>
            <w:webHidden/>
          </w:rPr>
          <w:tab/>
        </w:r>
        <w:r w:rsidR="00303C88">
          <w:rPr>
            <w:noProof/>
            <w:webHidden/>
          </w:rPr>
          <w:fldChar w:fldCharType="begin"/>
        </w:r>
        <w:r w:rsidR="00303C88">
          <w:rPr>
            <w:noProof/>
            <w:webHidden/>
          </w:rPr>
          <w:instrText xml:space="preserve"> PAGEREF _Toc166507370 \h </w:instrText>
        </w:r>
        <w:r w:rsidR="00303C88">
          <w:rPr>
            <w:noProof/>
            <w:webHidden/>
          </w:rPr>
        </w:r>
        <w:r w:rsidR="00303C88">
          <w:rPr>
            <w:noProof/>
            <w:webHidden/>
          </w:rPr>
          <w:fldChar w:fldCharType="separate"/>
        </w:r>
        <w:r w:rsidR="004F4DA7">
          <w:rPr>
            <w:noProof/>
            <w:webHidden/>
          </w:rPr>
          <w:t>19</w:t>
        </w:r>
        <w:r w:rsidR="00303C88">
          <w:rPr>
            <w:noProof/>
            <w:webHidden/>
          </w:rPr>
          <w:fldChar w:fldCharType="end"/>
        </w:r>
      </w:hyperlink>
    </w:p>
    <w:p w14:paraId="617B1F73" w14:textId="09FC68D0"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71" w:history="1">
        <w:r w:rsidR="00303C88" w:rsidRPr="00B84C9D">
          <w:rPr>
            <w:rStyle w:val="Hyperlink"/>
            <w:noProof/>
          </w:rPr>
          <w:t>2.2</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Defining and measuring harmful gambling</w:t>
        </w:r>
        <w:r w:rsidR="00303C88">
          <w:rPr>
            <w:noProof/>
            <w:webHidden/>
          </w:rPr>
          <w:tab/>
        </w:r>
        <w:r w:rsidR="00303C88">
          <w:rPr>
            <w:noProof/>
            <w:webHidden/>
          </w:rPr>
          <w:fldChar w:fldCharType="begin"/>
        </w:r>
        <w:r w:rsidR="00303C88">
          <w:rPr>
            <w:noProof/>
            <w:webHidden/>
          </w:rPr>
          <w:instrText xml:space="preserve"> PAGEREF _Toc166507371 \h </w:instrText>
        </w:r>
        <w:r w:rsidR="00303C88">
          <w:rPr>
            <w:noProof/>
            <w:webHidden/>
          </w:rPr>
        </w:r>
        <w:r w:rsidR="00303C88">
          <w:rPr>
            <w:noProof/>
            <w:webHidden/>
          </w:rPr>
          <w:fldChar w:fldCharType="separate"/>
        </w:r>
        <w:r w:rsidR="004F4DA7">
          <w:rPr>
            <w:noProof/>
            <w:webHidden/>
          </w:rPr>
          <w:t>20</w:t>
        </w:r>
        <w:r w:rsidR="00303C88">
          <w:rPr>
            <w:noProof/>
            <w:webHidden/>
          </w:rPr>
          <w:fldChar w:fldCharType="end"/>
        </w:r>
      </w:hyperlink>
    </w:p>
    <w:p w14:paraId="4B725E89" w14:textId="42AC97B9"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72" w:history="1">
        <w:r w:rsidR="00303C88" w:rsidRPr="00B84C9D">
          <w:rPr>
            <w:rStyle w:val="Hyperlink"/>
            <w:noProof/>
          </w:rPr>
          <w:t>2.3</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Gambling regulation and legislation</w:t>
        </w:r>
        <w:r w:rsidR="00303C88">
          <w:rPr>
            <w:noProof/>
            <w:webHidden/>
          </w:rPr>
          <w:tab/>
        </w:r>
        <w:r w:rsidR="00303C88">
          <w:rPr>
            <w:noProof/>
            <w:webHidden/>
          </w:rPr>
          <w:fldChar w:fldCharType="begin"/>
        </w:r>
        <w:r w:rsidR="00303C88">
          <w:rPr>
            <w:noProof/>
            <w:webHidden/>
          </w:rPr>
          <w:instrText xml:space="preserve"> PAGEREF _Toc166507372 \h </w:instrText>
        </w:r>
        <w:r w:rsidR="00303C88">
          <w:rPr>
            <w:noProof/>
            <w:webHidden/>
          </w:rPr>
        </w:r>
        <w:r w:rsidR="00303C88">
          <w:rPr>
            <w:noProof/>
            <w:webHidden/>
          </w:rPr>
          <w:fldChar w:fldCharType="separate"/>
        </w:r>
        <w:r w:rsidR="004F4DA7">
          <w:rPr>
            <w:noProof/>
            <w:webHidden/>
          </w:rPr>
          <w:t>21</w:t>
        </w:r>
        <w:r w:rsidR="00303C88">
          <w:rPr>
            <w:noProof/>
            <w:webHidden/>
          </w:rPr>
          <w:fldChar w:fldCharType="end"/>
        </w:r>
      </w:hyperlink>
    </w:p>
    <w:p w14:paraId="7DA18CDA" w14:textId="6B3CE3CF"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73" w:history="1">
        <w:r w:rsidR="00303C88" w:rsidRPr="00B84C9D">
          <w:rPr>
            <w:rStyle w:val="Hyperlink"/>
            <w:noProof/>
          </w:rPr>
          <w:t>2.4</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Gambling sector roles and responsibilities</w:t>
        </w:r>
        <w:r w:rsidR="00303C88">
          <w:rPr>
            <w:noProof/>
            <w:webHidden/>
          </w:rPr>
          <w:tab/>
        </w:r>
        <w:r w:rsidR="00303C88">
          <w:rPr>
            <w:noProof/>
            <w:webHidden/>
          </w:rPr>
          <w:fldChar w:fldCharType="begin"/>
        </w:r>
        <w:r w:rsidR="00303C88">
          <w:rPr>
            <w:noProof/>
            <w:webHidden/>
          </w:rPr>
          <w:instrText xml:space="preserve"> PAGEREF _Toc166507373 \h </w:instrText>
        </w:r>
        <w:r w:rsidR="00303C88">
          <w:rPr>
            <w:noProof/>
            <w:webHidden/>
          </w:rPr>
        </w:r>
        <w:r w:rsidR="00303C88">
          <w:rPr>
            <w:noProof/>
            <w:webHidden/>
          </w:rPr>
          <w:fldChar w:fldCharType="separate"/>
        </w:r>
        <w:r w:rsidR="004F4DA7">
          <w:rPr>
            <w:noProof/>
            <w:webHidden/>
          </w:rPr>
          <w:t>23</w:t>
        </w:r>
        <w:r w:rsidR="00303C88">
          <w:rPr>
            <w:noProof/>
            <w:webHidden/>
          </w:rPr>
          <w:fldChar w:fldCharType="end"/>
        </w:r>
      </w:hyperlink>
    </w:p>
    <w:p w14:paraId="39A5744B" w14:textId="0107892D"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374" w:history="1">
        <w:r w:rsidR="00303C88" w:rsidRPr="00B84C9D">
          <w:rPr>
            <w:rStyle w:val="Hyperlink"/>
            <w:noProof/>
          </w:rPr>
          <w:t>3.</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Access to gambling in Aotearoa New Zealand</w:t>
        </w:r>
        <w:r w:rsidR="00303C88">
          <w:rPr>
            <w:noProof/>
            <w:webHidden/>
          </w:rPr>
          <w:tab/>
        </w:r>
        <w:r w:rsidR="00303C88">
          <w:rPr>
            <w:noProof/>
            <w:webHidden/>
          </w:rPr>
          <w:fldChar w:fldCharType="begin"/>
        </w:r>
        <w:r w:rsidR="00303C88">
          <w:rPr>
            <w:noProof/>
            <w:webHidden/>
          </w:rPr>
          <w:instrText xml:space="preserve"> PAGEREF _Toc166507374 \h </w:instrText>
        </w:r>
        <w:r w:rsidR="00303C88">
          <w:rPr>
            <w:noProof/>
            <w:webHidden/>
          </w:rPr>
        </w:r>
        <w:r w:rsidR="00303C88">
          <w:rPr>
            <w:noProof/>
            <w:webHidden/>
          </w:rPr>
          <w:fldChar w:fldCharType="separate"/>
        </w:r>
        <w:r w:rsidR="004F4DA7">
          <w:rPr>
            <w:noProof/>
            <w:webHidden/>
          </w:rPr>
          <w:t>24</w:t>
        </w:r>
        <w:r w:rsidR="00303C88">
          <w:rPr>
            <w:noProof/>
            <w:webHidden/>
          </w:rPr>
          <w:fldChar w:fldCharType="end"/>
        </w:r>
      </w:hyperlink>
    </w:p>
    <w:p w14:paraId="1B6B26B5" w14:textId="6A262D6B"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75" w:history="1">
        <w:r w:rsidR="00303C88" w:rsidRPr="00B84C9D">
          <w:rPr>
            <w:rStyle w:val="Hyperlink"/>
            <w:noProof/>
          </w:rPr>
          <w:t>3.1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All forms of gambling are widely accessible</w:t>
        </w:r>
        <w:r w:rsidR="00303C88">
          <w:rPr>
            <w:noProof/>
            <w:webHidden/>
          </w:rPr>
          <w:tab/>
        </w:r>
        <w:r w:rsidR="00303C88">
          <w:rPr>
            <w:noProof/>
            <w:webHidden/>
          </w:rPr>
          <w:fldChar w:fldCharType="begin"/>
        </w:r>
        <w:r w:rsidR="00303C88">
          <w:rPr>
            <w:noProof/>
            <w:webHidden/>
          </w:rPr>
          <w:instrText xml:space="preserve"> PAGEREF _Toc166507375 \h </w:instrText>
        </w:r>
        <w:r w:rsidR="00303C88">
          <w:rPr>
            <w:noProof/>
            <w:webHidden/>
          </w:rPr>
        </w:r>
        <w:r w:rsidR="00303C88">
          <w:rPr>
            <w:noProof/>
            <w:webHidden/>
          </w:rPr>
          <w:fldChar w:fldCharType="separate"/>
        </w:r>
        <w:r w:rsidR="004F4DA7">
          <w:rPr>
            <w:noProof/>
            <w:webHidden/>
          </w:rPr>
          <w:t>24</w:t>
        </w:r>
        <w:r w:rsidR="00303C88">
          <w:rPr>
            <w:noProof/>
            <w:webHidden/>
          </w:rPr>
          <w:fldChar w:fldCharType="end"/>
        </w:r>
      </w:hyperlink>
    </w:p>
    <w:p w14:paraId="78B8AFD6" w14:textId="5B799340"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76" w:history="1">
        <w:r w:rsidR="00303C88" w:rsidRPr="00B84C9D">
          <w:rPr>
            <w:rStyle w:val="Hyperlink"/>
            <w:noProof/>
          </w:rPr>
          <w:t>3.2</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shd w:val="clear" w:color="auto" w:fill="FFFFFF"/>
          </w:rPr>
          <w:t>Class 4 venues remain in areas of high deprivation</w:t>
        </w:r>
        <w:r w:rsidR="00303C88">
          <w:rPr>
            <w:noProof/>
            <w:webHidden/>
          </w:rPr>
          <w:tab/>
        </w:r>
        <w:r w:rsidR="00303C88">
          <w:rPr>
            <w:noProof/>
            <w:webHidden/>
          </w:rPr>
          <w:fldChar w:fldCharType="begin"/>
        </w:r>
        <w:r w:rsidR="00303C88">
          <w:rPr>
            <w:noProof/>
            <w:webHidden/>
          </w:rPr>
          <w:instrText xml:space="preserve"> PAGEREF _Toc166507376 \h </w:instrText>
        </w:r>
        <w:r w:rsidR="00303C88">
          <w:rPr>
            <w:noProof/>
            <w:webHidden/>
          </w:rPr>
        </w:r>
        <w:r w:rsidR="00303C88">
          <w:rPr>
            <w:noProof/>
            <w:webHidden/>
          </w:rPr>
          <w:fldChar w:fldCharType="separate"/>
        </w:r>
        <w:r w:rsidR="004F4DA7">
          <w:rPr>
            <w:noProof/>
            <w:webHidden/>
          </w:rPr>
          <w:t>26</w:t>
        </w:r>
        <w:r w:rsidR="00303C88">
          <w:rPr>
            <w:noProof/>
            <w:webHidden/>
          </w:rPr>
          <w:fldChar w:fldCharType="end"/>
        </w:r>
      </w:hyperlink>
    </w:p>
    <w:p w14:paraId="603EACE3" w14:textId="0A5460DF"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77" w:history="1">
        <w:r w:rsidR="00303C88" w:rsidRPr="00B84C9D">
          <w:rPr>
            <w:rStyle w:val="Hyperlink"/>
            <w:noProof/>
          </w:rPr>
          <w:t>3.3</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There is evidence of policies effectively reducing the number of Class 4 EGMs and venues</w:t>
        </w:r>
        <w:r w:rsidR="00303C88">
          <w:rPr>
            <w:noProof/>
            <w:webHidden/>
          </w:rPr>
          <w:tab/>
        </w:r>
        <w:r w:rsidR="00303C88">
          <w:rPr>
            <w:noProof/>
            <w:webHidden/>
          </w:rPr>
          <w:fldChar w:fldCharType="begin"/>
        </w:r>
        <w:r w:rsidR="00303C88">
          <w:rPr>
            <w:noProof/>
            <w:webHidden/>
          </w:rPr>
          <w:instrText xml:space="preserve"> PAGEREF _Toc166507377 \h </w:instrText>
        </w:r>
        <w:r w:rsidR="00303C88">
          <w:rPr>
            <w:noProof/>
            <w:webHidden/>
          </w:rPr>
        </w:r>
        <w:r w:rsidR="00303C88">
          <w:rPr>
            <w:noProof/>
            <w:webHidden/>
          </w:rPr>
          <w:fldChar w:fldCharType="separate"/>
        </w:r>
        <w:r w:rsidR="004F4DA7">
          <w:rPr>
            <w:noProof/>
            <w:webHidden/>
          </w:rPr>
          <w:t>27</w:t>
        </w:r>
        <w:r w:rsidR="00303C88">
          <w:rPr>
            <w:noProof/>
            <w:webHidden/>
          </w:rPr>
          <w:fldChar w:fldCharType="end"/>
        </w:r>
      </w:hyperlink>
    </w:p>
    <w:p w14:paraId="5F7B5BF3" w14:textId="5CEC36A1"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78" w:history="1">
        <w:r w:rsidR="00303C88" w:rsidRPr="00B84C9D">
          <w:rPr>
            <w:rStyle w:val="Hyperlink"/>
            <w:noProof/>
          </w:rPr>
          <w:t>3.4</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Online gambling has continued to increase in New Zealand</w:t>
        </w:r>
        <w:r w:rsidR="00303C88">
          <w:rPr>
            <w:noProof/>
            <w:webHidden/>
          </w:rPr>
          <w:tab/>
        </w:r>
        <w:r w:rsidR="00303C88">
          <w:rPr>
            <w:noProof/>
            <w:webHidden/>
          </w:rPr>
          <w:fldChar w:fldCharType="begin"/>
        </w:r>
        <w:r w:rsidR="00303C88">
          <w:rPr>
            <w:noProof/>
            <w:webHidden/>
          </w:rPr>
          <w:instrText xml:space="preserve"> PAGEREF _Toc166507378 \h </w:instrText>
        </w:r>
        <w:r w:rsidR="00303C88">
          <w:rPr>
            <w:noProof/>
            <w:webHidden/>
          </w:rPr>
        </w:r>
        <w:r w:rsidR="00303C88">
          <w:rPr>
            <w:noProof/>
            <w:webHidden/>
          </w:rPr>
          <w:fldChar w:fldCharType="separate"/>
        </w:r>
        <w:r w:rsidR="004F4DA7">
          <w:rPr>
            <w:noProof/>
            <w:webHidden/>
          </w:rPr>
          <w:t>28</w:t>
        </w:r>
        <w:r w:rsidR="00303C88">
          <w:rPr>
            <w:noProof/>
            <w:webHidden/>
          </w:rPr>
          <w:fldChar w:fldCharType="end"/>
        </w:r>
      </w:hyperlink>
    </w:p>
    <w:p w14:paraId="1A83712A" w14:textId="1A03C8A7"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379" w:history="1">
        <w:r w:rsidR="00303C88" w:rsidRPr="00B84C9D">
          <w:rPr>
            <w:rStyle w:val="Hyperlink"/>
            <w:noProof/>
          </w:rPr>
          <w:t>4.</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Gambling expenditure</w:t>
        </w:r>
        <w:r w:rsidR="00303C88">
          <w:rPr>
            <w:noProof/>
            <w:webHidden/>
          </w:rPr>
          <w:tab/>
        </w:r>
        <w:r w:rsidR="00303C88">
          <w:rPr>
            <w:noProof/>
            <w:webHidden/>
          </w:rPr>
          <w:fldChar w:fldCharType="begin"/>
        </w:r>
        <w:r w:rsidR="00303C88">
          <w:rPr>
            <w:noProof/>
            <w:webHidden/>
          </w:rPr>
          <w:instrText xml:space="preserve"> PAGEREF _Toc166507379 \h </w:instrText>
        </w:r>
        <w:r w:rsidR="00303C88">
          <w:rPr>
            <w:noProof/>
            <w:webHidden/>
          </w:rPr>
        </w:r>
        <w:r w:rsidR="00303C88">
          <w:rPr>
            <w:noProof/>
            <w:webHidden/>
          </w:rPr>
          <w:fldChar w:fldCharType="separate"/>
        </w:r>
        <w:r w:rsidR="004F4DA7">
          <w:rPr>
            <w:noProof/>
            <w:webHidden/>
          </w:rPr>
          <w:t>31</w:t>
        </w:r>
        <w:r w:rsidR="00303C88">
          <w:rPr>
            <w:noProof/>
            <w:webHidden/>
          </w:rPr>
          <w:fldChar w:fldCharType="end"/>
        </w:r>
      </w:hyperlink>
    </w:p>
    <w:p w14:paraId="3F9923B6" w14:textId="0386DA26"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80" w:history="1">
        <w:r w:rsidR="00303C88" w:rsidRPr="00B84C9D">
          <w:rPr>
            <w:rStyle w:val="Hyperlink"/>
            <w:noProof/>
          </w:rPr>
          <w:t>4.1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shd w:val="clear" w:color="auto" w:fill="FFFFFF"/>
          </w:rPr>
          <w:t>Gambling expenditure across all forms of gambling has increased</w:t>
        </w:r>
        <w:r w:rsidR="00303C88">
          <w:rPr>
            <w:noProof/>
            <w:webHidden/>
          </w:rPr>
          <w:tab/>
        </w:r>
        <w:r w:rsidR="00303C88">
          <w:rPr>
            <w:noProof/>
            <w:webHidden/>
          </w:rPr>
          <w:fldChar w:fldCharType="begin"/>
        </w:r>
        <w:r w:rsidR="00303C88">
          <w:rPr>
            <w:noProof/>
            <w:webHidden/>
          </w:rPr>
          <w:instrText xml:space="preserve"> PAGEREF _Toc166507380 \h </w:instrText>
        </w:r>
        <w:r w:rsidR="00303C88">
          <w:rPr>
            <w:noProof/>
            <w:webHidden/>
          </w:rPr>
        </w:r>
        <w:r w:rsidR="00303C88">
          <w:rPr>
            <w:noProof/>
            <w:webHidden/>
          </w:rPr>
          <w:fldChar w:fldCharType="separate"/>
        </w:r>
        <w:r w:rsidR="004F4DA7">
          <w:rPr>
            <w:noProof/>
            <w:webHidden/>
          </w:rPr>
          <w:t>31</w:t>
        </w:r>
        <w:r w:rsidR="00303C88">
          <w:rPr>
            <w:noProof/>
            <w:webHidden/>
          </w:rPr>
          <w:fldChar w:fldCharType="end"/>
        </w:r>
      </w:hyperlink>
    </w:p>
    <w:p w14:paraId="70FBD395" w14:textId="252A3BBF"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81" w:history="1">
        <w:r w:rsidR="00303C88" w:rsidRPr="00B84C9D">
          <w:rPr>
            <w:rStyle w:val="Hyperlink"/>
            <w:noProof/>
          </w:rPr>
          <w:t>4.2</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Gaming machine profits continue to increase</w:t>
        </w:r>
        <w:r w:rsidR="00303C88">
          <w:rPr>
            <w:noProof/>
            <w:webHidden/>
          </w:rPr>
          <w:tab/>
        </w:r>
        <w:r w:rsidR="00303C88">
          <w:rPr>
            <w:noProof/>
            <w:webHidden/>
          </w:rPr>
          <w:fldChar w:fldCharType="begin"/>
        </w:r>
        <w:r w:rsidR="00303C88">
          <w:rPr>
            <w:noProof/>
            <w:webHidden/>
          </w:rPr>
          <w:instrText xml:space="preserve"> PAGEREF _Toc166507381 \h </w:instrText>
        </w:r>
        <w:r w:rsidR="00303C88">
          <w:rPr>
            <w:noProof/>
            <w:webHidden/>
          </w:rPr>
        </w:r>
        <w:r w:rsidR="00303C88">
          <w:rPr>
            <w:noProof/>
            <w:webHidden/>
          </w:rPr>
          <w:fldChar w:fldCharType="separate"/>
        </w:r>
        <w:r w:rsidR="004F4DA7">
          <w:rPr>
            <w:noProof/>
            <w:webHidden/>
          </w:rPr>
          <w:t>31</w:t>
        </w:r>
        <w:r w:rsidR="00303C88">
          <w:rPr>
            <w:noProof/>
            <w:webHidden/>
          </w:rPr>
          <w:fldChar w:fldCharType="end"/>
        </w:r>
      </w:hyperlink>
    </w:p>
    <w:p w14:paraId="07F0EC80" w14:textId="7C7B884C"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382" w:history="1">
        <w:r w:rsidR="00303C88" w:rsidRPr="00B84C9D">
          <w:rPr>
            <w:rStyle w:val="Hyperlink"/>
            <w:noProof/>
          </w:rPr>
          <w:t>5.</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Community reinvestment of gambling profits</w:t>
        </w:r>
        <w:r w:rsidR="00303C88">
          <w:rPr>
            <w:noProof/>
            <w:webHidden/>
          </w:rPr>
          <w:tab/>
        </w:r>
        <w:r w:rsidR="00303C88">
          <w:rPr>
            <w:noProof/>
            <w:webHidden/>
          </w:rPr>
          <w:fldChar w:fldCharType="begin"/>
        </w:r>
        <w:r w:rsidR="00303C88">
          <w:rPr>
            <w:noProof/>
            <w:webHidden/>
          </w:rPr>
          <w:instrText xml:space="preserve"> PAGEREF _Toc166507382 \h </w:instrText>
        </w:r>
        <w:r w:rsidR="00303C88">
          <w:rPr>
            <w:noProof/>
            <w:webHidden/>
          </w:rPr>
        </w:r>
        <w:r w:rsidR="00303C88">
          <w:rPr>
            <w:noProof/>
            <w:webHidden/>
          </w:rPr>
          <w:fldChar w:fldCharType="separate"/>
        </w:r>
        <w:r w:rsidR="004F4DA7">
          <w:rPr>
            <w:noProof/>
            <w:webHidden/>
          </w:rPr>
          <w:t>33</w:t>
        </w:r>
        <w:r w:rsidR="00303C88">
          <w:rPr>
            <w:noProof/>
            <w:webHidden/>
          </w:rPr>
          <w:fldChar w:fldCharType="end"/>
        </w:r>
      </w:hyperlink>
    </w:p>
    <w:p w14:paraId="40AD973C" w14:textId="7AD1F44A"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83" w:history="1">
        <w:r w:rsidR="00303C88" w:rsidRPr="00B84C9D">
          <w:rPr>
            <w:rStyle w:val="Hyperlink"/>
            <w:noProof/>
          </w:rPr>
          <w:t>5.1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Class 4 EGMs</w:t>
        </w:r>
        <w:r w:rsidR="00303C88">
          <w:rPr>
            <w:noProof/>
            <w:webHidden/>
          </w:rPr>
          <w:tab/>
        </w:r>
        <w:r w:rsidR="00303C88">
          <w:rPr>
            <w:noProof/>
            <w:webHidden/>
          </w:rPr>
          <w:fldChar w:fldCharType="begin"/>
        </w:r>
        <w:r w:rsidR="00303C88">
          <w:rPr>
            <w:noProof/>
            <w:webHidden/>
          </w:rPr>
          <w:instrText xml:space="preserve"> PAGEREF _Toc166507383 \h </w:instrText>
        </w:r>
        <w:r w:rsidR="00303C88">
          <w:rPr>
            <w:noProof/>
            <w:webHidden/>
          </w:rPr>
        </w:r>
        <w:r w:rsidR="00303C88">
          <w:rPr>
            <w:noProof/>
            <w:webHidden/>
          </w:rPr>
          <w:fldChar w:fldCharType="separate"/>
        </w:r>
        <w:r w:rsidR="004F4DA7">
          <w:rPr>
            <w:noProof/>
            <w:webHidden/>
          </w:rPr>
          <w:t>33</w:t>
        </w:r>
        <w:r w:rsidR="00303C88">
          <w:rPr>
            <w:noProof/>
            <w:webHidden/>
          </w:rPr>
          <w:fldChar w:fldCharType="end"/>
        </w:r>
      </w:hyperlink>
    </w:p>
    <w:p w14:paraId="5E8F9D21" w14:textId="7F658D1F"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84" w:history="1">
        <w:r w:rsidR="00303C88" w:rsidRPr="00B84C9D">
          <w:rPr>
            <w:rStyle w:val="Hyperlink"/>
            <w:noProof/>
          </w:rPr>
          <w:t>5.2</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Lotto NZ</w:t>
        </w:r>
        <w:r w:rsidR="00303C88">
          <w:rPr>
            <w:noProof/>
            <w:webHidden/>
          </w:rPr>
          <w:tab/>
        </w:r>
        <w:r w:rsidR="00303C88">
          <w:rPr>
            <w:noProof/>
            <w:webHidden/>
          </w:rPr>
          <w:fldChar w:fldCharType="begin"/>
        </w:r>
        <w:r w:rsidR="00303C88">
          <w:rPr>
            <w:noProof/>
            <w:webHidden/>
          </w:rPr>
          <w:instrText xml:space="preserve"> PAGEREF _Toc166507384 \h </w:instrText>
        </w:r>
        <w:r w:rsidR="00303C88">
          <w:rPr>
            <w:noProof/>
            <w:webHidden/>
          </w:rPr>
        </w:r>
        <w:r w:rsidR="00303C88">
          <w:rPr>
            <w:noProof/>
            <w:webHidden/>
          </w:rPr>
          <w:fldChar w:fldCharType="separate"/>
        </w:r>
        <w:r w:rsidR="004F4DA7">
          <w:rPr>
            <w:noProof/>
            <w:webHidden/>
          </w:rPr>
          <w:t>35</w:t>
        </w:r>
        <w:r w:rsidR="00303C88">
          <w:rPr>
            <w:noProof/>
            <w:webHidden/>
          </w:rPr>
          <w:fldChar w:fldCharType="end"/>
        </w:r>
      </w:hyperlink>
    </w:p>
    <w:p w14:paraId="468BEE01" w14:textId="41927049"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85" w:history="1">
        <w:r w:rsidR="00303C88" w:rsidRPr="00B84C9D">
          <w:rPr>
            <w:rStyle w:val="Hyperlink"/>
            <w:noProof/>
          </w:rPr>
          <w:t>5.3</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TAB NZ</w:t>
        </w:r>
        <w:r w:rsidR="00303C88">
          <w:rPr>
            <w:noProof/>
            <w:webHidden/>
          </w:rPr>
          <w:tab/>
        </w:r>
        <w:r w:rsidR="00303C88">
          <w:rPr>
            <w:noProof/>
            <w:webHidden/>
          </w:rPr>
          <w:fldChar w:fldCharType="begin"/>
        </w:r>
        <w:r w:rsidR="00303C88">
          <w:rPr>
            <w:noProof/>
            <w:webHidden/>
          </w:rPr>
          <w:instrText xml:space="preserve"> PAGEREF _Toc166507385 \h </w:instrText>
        </w:r>
        <w:r w:rsidR="00303C88">
          <w:rPr>
            <w:noProof/>
            <w:webHidden/>
          </w:rPr>
        </w:r>
        <w:r w:rsidR="00303C88">
          <w:rPr>
            <w:noProof/>
            <w:webHidden/>
          </w:rPr>
          <w:fldChar w:fldCharType="separate"/>
        </w:r>
        <w:r w:rsidR="004F4DA7">
          <w:rPr>
            <w:noProof/>
            <w:webHidden/>
          </w:rPr>
          <w:t>35</w:t>
        </w:r>
        <w:r w:rsidR="00303C88">
          <w:rPr>
            <w:noProof/>
            <w:webHidden/>
          </w:rPr>
          <w:fldChar w:fldCharType="end"/>
        </w:r>
      </w:hyperlink>
    </w:p>
    <w:p w14:paraId="01366F3D" w14:textId="239E6A82"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86" w:history="1">
        <w:r w:rsidR="00303C88" w:rsidRPr="00B84C9D">
          <w:rPr>
            <w:rStyle w:val="Hyperlink"/>
            <w:noProof/>
          </w:rPr>
          <w:t>5.4</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Casinos</w:t>
        </w:r>
        <w:r w:rsidR="00303C88">
          <w:rPr>
            <w:noProof/>
            <w:webHidden/>
          </w:rPr>
          <w:tab/>
        </w:r>
        <w:r w:rsidR="00303C88">
          <w:rPr>
            <w:noProof/>
            <w:webHidden/>
          </w:rPr>
          <w:fldChar w:fldCharType="begin"/>
        </w:r>
        <w:r w:rsidR="00303C88">
          <w:rPr>
            <w:noProof/>
            <w:webHidden/>
          </w:rPr>
          <w:instrText xml:space="preserve"> PAGEREF _Toc166507386 \h </w:instrText>
        </w:r>
        <w:r w:rsidR="00303C88">
          <w:rPr>
            <w:noProof/>
            <w:webHidden/>
          </w:rPr>
        </w:r>
        <w:r w:rsidR="00303C88">
          <w:rPr>
            <w:noProof/>
            <w:webHidden/>
          </w:rPr>
          <w:fldChar w:fldCharType="separate"/>
        </w:r>
        <w:r w:rsidR="004F4DA7">
          <w:rPr>
            <w:noProof/>
            <w:webHidden/>
          </w:rPr>
          <w:t>36</w:t>
        </w:r>
        <w:r w:rsidR="00303C88">
          <w:rPr>
            <w:noProof/>
            <w:webHidden/>
          </w:rPr>
          <w:fldChar w:fldCharType="end"/>
        </w:r>
      </w:hyperlink>
    </w:p>
    <w:p w14:paraId="20562698" w14:textId="4323C374"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387" w:history="1">
        <w:r w:rsidR="00303C88" w:rsidRPr="00B84C9D">
          <w:rPr>
            <w:rStyle w:val="Hyperlink"/>
            <w:noProof/>
          </w:rPr>
          <w:t>6.</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The prevalence of harmful gambling</w:t>
        </w:r>
        <w:r w:rsidR="00303C88">
          <w:rPr>
            <w:noProof/>
            <w:webHidden/>
          </w:rPr>
          <w:tab/>
        </w:r>
        <w:r w:rsidR="00303C88">
          <w:rPr>
            <w:noProof/>
            <w:webHidden/>
          </w:rPr>
          <w:fldChar w:fldCharType="begin"/>
        </w:r>
        <w:r w:rsidR="00303C88">
          <w:rPr>
            <w:noProof/>
            <w:webHidden/>
          </w:rPr>
          <w:instrText xml:space="preserve"> PAGEREF _Toc166507387 \h </w:instrText>
        </w:r>
        <w:r w:rsidR="00303C88">
          <w:rPr>
            <w:noProof/>
            <w:webHidden/>
          </w:rPr>
        </w:r>
        <w:r w:rsidR="00303C88">
          <w:rPr>
            <w:noProof/>
            <w:webHidden/>
          </w:rPr>
          <w:fldChar w:fldCharType="separate"/>
        </w:r>
        <w:r w:rsidR="004F4DA7">
          <w:rPr>
            <w:noProof/>
            <w:webHidden/>
          </w:rPr>
          <w:t>37</w:t>
        </w:r>
        <w:r w:rsidR="00303C88">
          <w:rPr>
            <w:noProof/>
            <w:webHidden/>
          </w:rPr>
          <w:fldChar w:fldCharType="end"/>
        </w:r>
      </w:hyperlink>
    </w:p>
    <w:p w14:paraId="241347E0" w14:textId="0BD0064F"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88" w:history="1">
        <w:r w:rsidR="00303C88" w:rsidRPr="00B84C9D">
          <w:rPr>
            <w:rStyle w:val="Hyperlink"/>
            <w:noProof/>
          </w:rPr>
          <w:t>6.1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The prevalence of harmful gambling in Aotearoa New Zealand has remained unchanged since 2018</w:t>
        </w:r>
        <w:r w:rsidR="00303C88">
          <w:rPr>
            <w:noProof/>
            <w:webHidden/>
          </w:rPr>
          <w:tab/>
        </w:r>
        <w:r w:rsidR="00303C88">
          <w:rPr>
            <w:noProof/>
            <w:webHidden/>
          </w:rPr>
          <w:fldChar w:fldCharType="begin"/>
        </w:r>
        <w:r w:rsidR="00303C88">
          <w:rPr>
            <w:noProof/>
            <w:webHidden/>
          </w:rPr>
          <w:instrText xml:space="preserve"> PAGEREF _Toc166507388 \h </w:instrText>
        </w:r>
        <w:r w:rsidR="00303C88">
          <w:rPr>
            <w:noProof/>
            <w:webHidden/>
          </w:rPr>
        </w:r>
        <w:r w:rsidR="00303C88">
          <w:rPr>
            <w:noProof/>
            <w:webHidden/>
          </w:rPr>
          <w:fldChar w:fldCharType="separate"/>
        </w:r>
        <w:r w:rsidR="004F4DA7">
          <w:rPr>
            <w:noProof/>
            <w:webHidden/>
          </w:rPr>
          <w:t>37</w:t>
        </w:r>
        <w:r w:rsidR="00303C88">
          <w:rPr>
            <w:noProof/>
            <w:webHidden/>
          </w:rPr>
          <w:fldChar w:fldCharType="end"/>
        </w:r>
      </w:hyperlink>
    </w:p>
    <w:p w14:paraId="12B91343" w14:textId="6D281D6A"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89" w:history="1">
        <w:r w:rsidR="00303C88" w:rsidRPr="00B84C9D">
          <w:rPr>
            <w:rStyle w:val="Hyperlink"/>
            <w:rFonts w:cs="Calibri"/>
            <w:noProof/>
          </w:rPr>
          <w:t>6.2</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The prevalence of harmful gambling among Māori and Pacific peoples remains higher than other ethnic groups</w:t>
        </w:r>
        <w:r w:rsidR="00303C88">
          <w:rPr>
            <w:noProof/>
            <w:webHidden/>
          </w:rPr>
          <w:tab/>
        </w:r>
        <w:r w:rsidR="00303C88">
          <w:rPr>
            <w:noProof/>
            <w:webHidden/>
          </w:rPr>
          <w:fldChar w:fldCharType="begin"/>
        </w:r>
        <w:r w:rsidR="00303C88">
          <w:rPr>
            <w:noProof/>
            <w:webHidden/>
          </w:rPr>
          <w:instrText xml:space="preserve"> PAGEREF _Toc166507389 \h </w:instrText>
        </w:r>
        <w:r w:rsidR="00303C88">
          <w:rPr>
            <w:noProof/>
            <w:webHidden/>
          </w:rPr>
        </w:r>
        <w:r w:rsidR="00303C88">
          <w:rPr>
            <w:noProof/>
            <w:webHidden/>
          </w:rPr>
          <w:fldChar w:fldCharType="separate"/>
        </w:r>
        <w:r w:rsidR="004F4DA7">
          <w:rPr>
            <w:noProof/>
            <w:webHidden/>
          </w:rPr>
          <w:t>37</w:t>
        </w:r>
        <w:r w:rsidR="00303C88">
          <w:rPr>
            <w:noProof/>
            <w:webHidden/>
          </w:rPr>
          <w:fldChar w:fldCharType="end"/>
        </w:r>
      </w:hyperlink>
    </w:p>
    <w:p w14:paraId="6124B9FB" w14:textId="2E62AD2F"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90" w:history="1">
        <w:r w:rsidR="00303C88" w:rsidRPr="00B84C9D">
          <w:rPr>
            <w:rStyle w:val="Hyperlink"/>
            <w:rFonts w:cs="Calibri"/>
            <w:noProof/>
          </w:rPr>
          <w:t>6.3</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Youth gambling rates have remained constant, but the prevalence of harmful gambling has reduced</w:t>
        </w:r>
        <w:r w:rsidR="00303C88">
          <w:rPr>
            <w:noProof/>
            <w:webHidden/>
          </w:rPr>
          <w:tab/>
        </w:r>
        <w:r w:rsidR="00303C88">
          <w:rPr>
            <w:noProof/>
            <w:webHidden/>
          </w:rPr>
          <w:fldChar w:fldCharType="begin"/>
        </w:r>
        <w:r w:rsidR="00303C88">
          <w:rPr>
            <w:noProof/>
            <w:webHidden/>
          </w:rPr>
          <w:instrText xml:space="preserve"> PAGEREF _Toc166507390 \h </w:instrText>
        </w:r>
        <w:r w:rsidR="00303C88">
          <w:rPr>
            <w:noProof/>
            <w:webHidden/>
          </w:rPr>
        </w:r>
        <w:r w:rsidR="00303C88">
          <w:rPr>
            <w:noProof/>
            <w:webHidden/>
          </w:rPr>
          <w:fldChar w:fldCharType="separate"/>
        </w:r>
        <w:r w:rsidR="004F4DA7">
          <w:rPr>
            <w:noProof/>
            <w:webHidden/>
          </w:rPr>
          <w:t>38</w:t>
        </w:r>
        <w:r w:rsidR="00303C88">
          <w:rPr>
            <w:noProof/>
            <w:webHidden/>
          </w:rPr>
          <w:fldChar w:fldCharType="end"/>
        </w:r>
      </w:hyperlink>
    </w:p>
    <w:p w14:paraId="58FFC310" w14:textId="395B5AE2"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91" w:history="1">
        <w:r w:rsidR="00303C88" w:rsidRPr="00B84C9D">
          <w:rPr>
            <w:rStyle w:val="Hyperlink"/>
            <w:noProof/>
          </w:rPr>
          <w:t>6.4</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There are increased gambling harm risks for women</w:t>
        </w:r>
        <w:r w:rsidR="00303C88">
          <w:rPr>
            <w:noProof/>
            <w:webHidden/>
          </w:rPr>
          <w:tab/>
        </w:r>
        <w:r w:rsidR="00303C88">
          <w:rPr>
            <w:noProof/>
            <w:webHidden/>
          </w:rPr>
          <w:fldChar w:fldCharType="begin"/>
        </w:r>
        <w:r w:rsidR="00303C88">
          <w:rPr>
            <w:noProof/>
            <w:webHidden/>
          </w:rPr>
          <w:instrText xml:space="preserve"> PAGEREF _Toc166507391 \h </w:instrText>
        </w:r>
        <w:r w:rsidR="00303C88">
          <w:rPr>
            <w:noProof/>
            <w:webHidden/>
          </w:rPr>
        </w:r>
        <w:r w:rsidR="00303C88">
          <w:rPr>
            <w:noProof/>
            <w:webHidden/>
          </w:rPr>
          <w:fldChar w:fldCharType="separate"/>
        </w:r>
        <w:r w:rsidR="004F4DA7">
          <w:rPr>
            <w:noProof/>
            <w:webHidden/>
          </w:rPr>
          <w:t>39</w:t>
        </w:r>
        <w:r w:rsidR="00303C88">
          <w:rPr>
            <w:noProof/>
            <w:webHidden/>
          </w:rPr>
          <w:fldChar w:fldCharType="end"/>
        </w:r>
      </w:hyperlink>
    </w:p>
    <w:p w14:paraId="66EB1C1F" w14:textId="0BA1672A"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392" w:history="1">
        <w:r w:rsidR="00303C88" w:rsidRPr="00B84C9D">
          <w:rPr>
            <w:rStyle w:val="Hyperlink"/>
            <w:rFonts w:cs="Calibri"/>
            <w:noProof/>
          </w:rPr>
          <w:t>7.</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Harmful gambling risks remain extensive</w:t>
        </w:r>
        <w:r w:rsidR="00303C88">
          <w:rPr>
            <w:noProof/>
            <w:webHidden/>
          </w:rPr>
          <w:tab/>
        </w:r>
        <w:r w:rsidR="00303C88">
          <w:rPr>
            <w:noProof/>
            <w:webHidden/>
          </w:rPr>
          <w:fldChar w:fldCharType="begin"/>
        </w:r>
        <w:r w:rsidR="00303C88">
          <w:rPr>
            <w:noProof/>
            <w:webHidden/>
          </w:rPr>
          <w:instrText xml:space="preserve"> PAGEREF _Toc166507392 \h </w:instrText>
        </w:r>
        <w:r w:rsidR="00303C88">
          <w:rPr>
            <w:noProof/>
            <w:webHidden/>
          </w:rPr>
        </w:r>
        <w:r w:rsidR="00303C88">
          <w:rPr>
            <w:noProof/>
            <w:webHidden/>
          </w:rPr>
          <w:fldChar w:fldCharType="separate"/>
        </w:r>
        <w:r w:rsidR="004F4DA7">
          <w:rPr>
            <w:noProof/>
            <w:webHidden/>
          </w:rPr>
          <w:t>40</w:t>
        </w:r>
        <w:r w:rsidR="00303C88">
          <w:rPr>
            <w:noProof/>
            <w:webHidden/>
          </w:rPr>
          <w:fldChar w:fldCharType="end"/>
        </w:r>
      </w:hyperlink>
    </w:p>
    <w:p w14:paraId="64A2ACE6" w14:textId="67544549"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93" w:history="1">
        <w:r w:rsidR="00303C88" w:rsidRPr="00B84C9D">
          <w:rPr>
            <w:rStyle w:val="Hyperlink"/>
            <w:rFonts w:cs="Calibri"/>
            <w:noProof/>
          </w:rPr>
          <w:t>7.1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Pacific peoples continue to be at high-risk</w:t>
        </w:r>
        <w:r w:rsidR="00303C88">
          <w:rPr>
            <w:noProof/>
            <w:webHidden/>
          </w:rPr>
          <w:tab/>
        </w:r>
        <w:r w:rsidR="00303C88">
          <w:rPr>
            <w:noProof/>
            <w:webHidden/>
          </w:rPr>
          <w:fldChar w:fldCharType="begin"/>
        </w:r>
        <w:r w:rsidR="00303C88">
          <w:rPr>
            <w:noProof/>
            <w:webHidden/>
          </w:rPr>
          <w:instrText xml:space="preserve"> PAGEREF _Toc166507393 \h </w:instrText>
        </w:r>
        <w:r w:rsidR="00303C88">
          <w:rPr>
            <w:noProof/>
            <w:webHidden/>
          </w:rPr>
        </w:r>
        <w:r w:rsidR="00303C88">
          <w:rPr>
            <w:noProof/>
            <w:webHidden/>
          </w:rPr>
          <w:fldChar w:fldCharType="separate"/>
        </w:r>
        <w:r w:rsidR="004F4DA7">
          <w:rPr>
            <w:noProof/>
            <w:webHidden/>
          </w:rPr>
          <w:t>40</w:t>
        </w:r>
        <w:r w:rsidR="00303C88">
          <w:rPr>
            <w:noProof/>
            <w:webHidden/>
          </w:rPr>
          <w:fldChar w:fldCharType="end"/>
        </w:r>
      </w:hyperlink>
    </w:p>
    <w:p w14:paraId="4FCFD303" w14:textId="521D58D2"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94" w:history="1">
        <w:r w:rsidR="00303C88" w:rsidRPr="00B84C9D">
          <w:rPr>
            <w:rStyle w:val="Hyperlink"/>
            <w:rFonts w:cs="Calibri"/>
            <w:noProof/>
          </w:rPr>
          <w:t>7.2</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There are mixed views about the association between gambling and mental and physical health</w:t>
        </w:r>
        <w:r w:rsidR="00303C88">
          <w:rPr>
            <w:noProof/>
            <w:webHidden/>
          </w:rPr>
          <w:tab/>
        </w:r>
        <w:r w:rsidR="00303C88">
          <w:rPr>
            <w:noProof/>
            <w:webHidden/>
          </w:rPr>
          <w:fldChar w:fldCharType="begin"/>
        </w:r>
        <w:r w:rsidR="00303C88">
          <w:rPr>
            <w:noProof/>
            <w:webHidden/>
          </w:rPr>
          <w:instrText xml:space="preserve"> PAGEREF _Toc166507394 \h </w:instrText>
        </w:r>
        <w:r w:rsidR="00303C88">
          <w:rPr>
            <w:noProof/>
            <w:webHidden/>
          </w:rPr>
        </w:r>
        <w:r w:rsidR="00303C88">
          <w:rPr>
            <w:noProof/>
            <w:webHidden/>
          </w:rPr>
          <w:fldChar w:fldCharType="separate"/>
        </w:r>
        <w:r w:rsidR="004F4DA7">
          <w:rPr>
            <w:noProof/>
            <w:webHidden/>
          </w:rPr>
          <w:t>40</w:t>
        </w:r>
        <w:r w:rsidR="00303C88">
          <w:rPr>
            <w:noProof/>
            <w:webHidden/>
          </w:rPr>
          <w:fldChar w:fldCharType="end"/>
        </w:r>
      </w:hyperlink>
    </w:p>
    <w:p w14:paraId="72DF03A9" w14:textId="59B2C1A6"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95" w:history="1">
        <w:r w:rsidR="00303C88" w:rsidRPr="00B84C9D">
          <w:rPr>
            <w:rStyle w:val="Hyperlink"/>
            <w:rFonts w:cs="Calibri"/>
            <w:noProof/>
          </w:rPr>
          <w:t>7.3</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shd w:val="clear" w:color="auto" w:fill="FFFFFF"/>
          </w:rPr>
          <w:t>There is mixed evidence on the link between online gaming and harmful gambling</w:t>
        </w:r>
        <w:r w:rsidR="00303C88">
          <w:rPr>
            <w:noProof/>
            <w:webHidden/>
          </w:rPr>
          <w:tab/>
        </w:r>
        <w:r w:rsidR="00303C88">
          <w:rPr>
            <w:noProof/>
            <w:webHidden/>
          </w:rPr>
          <w:fldChar w:fldCharType="begin"/>
        </w:r>
        <w:r w:rsidR="00303C88">
          <w:rPr>
            <w:noProof/>
            <w:webHidden/>
          </w:rPr>
          <w:instrText xml:space="preserve"> PAGEREF _Toc166507395 \h </w:instrText>
        </w:r>
        <w:r w:rsidR="00303C88">
          <w:rPr>
            <w:noProof/>
            <w:webHidden/>
          </w:rPr>
        </w:r>
        <w:r w:rsidR="00303C88">
          <w:rPr>
            <w:noProof/>
            <w:webHidden/>
          </w:rPr>
          <w:fldChar w:fldCharType="separate"/>
        </w:r>
        <w:r w:rsidR="004F4DA7">
          <w:rPr>
            <w:noProof/>
            <w:webHidden/>
          </w:rPr>
          <w:t>41</w:t>
        </w:r>
        <w:r w:rsidR="00303C88">
          <w:rPr>
            <w:noProof/>
            <w:webHidden/>
          </w:rPr>
          <w:fldChar w:fldCharType="end"/>
        </w:r>
      </w:hyperlink>
    </w:p>
    <w:p w14:paraId="709C67F9" w14:textId="7A022C87"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396" w:history="1">
        <w:r w:rsidR="00303C88" w:rsidRPr="00B84C9D">
          <w:rPr>
            <w:rStyle w:val="Hyperlink"/>
            <w:rFonts w:cs="Calibri"/>
            <w:noProof/>
          </w:rPr>
          <w:t>8.</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Harmful gambling impacts</w:t>
        </w:r>
        <w:r w:rsidR="00303C88">
          <w:rPr>
            <w:noProof/>
            <w:webHidden/>
          </w:rPr>
          <w:tab/>
        </w:r>
        <w:r w:rsidR="00303C88">
          <w:rPr>
            <w:noProof/>
            <w:webHidden/>
          </w:rPr>
          <w:fldChar w:fldCharType="begin"/>
        </w:r>
        <w:r w:rsidR="00303C88">
          <w:rPr>
            <w:noProof/>
            <w:webHidden/>
          </w:rPr>
          <w:instrText xml:space="preserve"> PAGEREF _Toc166507396 \h </w:instrText>
        </w:r>
        <w:r w:rsidR="00303C88">
          <w:rPr>
            <w:noProof/>
            <w:webHidden/>
          </w:rPr>
        </w:r>
        <w:r w:rsidR="00303C88">
          <w:rPr>
            <w:noProof/>
            <w:webHidden/>
          </w:rPr>
          <w:fldChar w:fldCharType="separate"/>
        </w:r>
        <w:r w:rsidR="004F4DA7">
          <w:rPr>
            <w:noProof/>
            <w:webHidden/>
          </w:rPr>
          <w:t>43</w:t>
        </w:r>
        <w:r w:rsidR="00303C88">
          <w:rPr>
            <w:noProof/>
            <w:webHidden/>
          </w:rPr>
          <w:fldChar w:fldCharType="end"/>
        </w:r>
      </w:hyperlink>
    </w:p>
    <w:p w14:paraId="3B4DA5C8" w14:textId="1DE1EBCF"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97" w:history="1">
        <w:r w:rsidR="00303C88" w:rsidRPr="00B84C9D">
          <w:rPr>
            <w:rStyle w:val="Hyperlink"/>
            <w:rFonts w:cs="Calibri"/>
            <w:noProof/>
          </w:rPr>
          <w:t>8.1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Evidence infers that ‘legacy gambling harms’ are apparent for many individuals</w:t>
        </w:r>
        <w:r w:rsidR="00303C88">
          <w:rPr>
            <w:noProof/>
            <w:webHidden/>
          </w:rPr>
          <w:tab/>
        </w:r>
        <w:r w:rsidR="00303C88">
          <w:rPr>
            <w:noProof/>
            <w:webHidden/>
          </w:rPr>
          <w:fldChar w:fldCharType="begin"/>
        </w:r>
        <w:r w:rsidR="00303C88">
          <w:rPr>
            <w:noProof/>
            <w:webHidden/>
          </w:rPr>
          <w:instrText xml:space="preserve"> PAGEREF _Toc166507397 \h </w:instrText>
        </w:r>
        <w:r w:rsidR="00303C88">
          <w:rPr>
            <w:noProof/>
            <w:webHidden/>
          </w:rPr>
        </w:r>
        <w:r w:rsidR="00303C88">
          <w:rPr>
            <w:noProof/>
            <w:webHidden/>
          </w:rPr>
          <w:fldChar w:fldCharType="separate"/>
        </w:r>
        <w:r w:rsidR="004F4DA7">
          <w:rPr>
            <w:noProof/>
            <w:webHidden/>
          </w:rPr>
          <w:t>43</w:t>
        </w:r>
        <w:r w:rsidR="00303C88">
          <w:rPr>
            <w:noProof/>
            <w:webHidden/>
          </w:rPr>
          <w:fldChar w:fldCharType="end"/>
        </w:r>
      </w:hyperlink>
    </w:p>
    <w:p w14:paraId="2CDDB9E8" w14:textId="0D923584"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98" w:history="1">
        <w:r w:rsidR="00303C88" w:rsidRPr="00B84C9D">
          <w:rPr>
            <w:rStyle w:val="Hyperlink"/>
            <w:rFonts w:cs="Calibri"/>
            <w:noProof/>
          </w:rPr>
          <w:t>8.2</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Some contend that the ‘positive impacts’ of gambling are morally conflicting</w:t>
        </w:r>
        <w:r w:rsidR="00303C88">
          <w:rPr>
            <w:noProof/>
            <w:webHidden/>
          </w:rPr>
          <w:tab/>
        </w:r>
        <w:r w:rsidR="00303C88">
          <w:rPr>
            <w:noProof/>
            <w:webHidden/>
          </w:rPr>
          <w:fldChar w:fldCharType="begin"/>
        </w:r>
        <w:r w:rsidR="00303C88">
          <w:rPr>
            <w:noProof/>
            <w:webHidden/>
          </w:rPr>
          <w:instrText xml:space="preserve"> PAGEREF _Toc166507398 \h </w:instrText>
        </w:r>
        <w:r w:rsidR="00303C88">
          <w:rPr>
            <w:noProof/>
            <w:webHidden/>
          </w:rPr>
        </w:r>
        <w:r w:rsidR="00303C88">
          <w:rPr>
            <w:noProof/>
            <w:webHidden/>
          </w:rPr>
          <w:fldChar w:fldCharType="separate"/>
        </w:r>
        <w:r w:rsidR="004F4DA7">
          <w:rPr>
            <w:noProof/>
            <w:webHidden/>
          </w:rPr>
          <w:t>43</w:t>
        </w:r>
        <w:r w:rsidR="00303C88">
          <w:rPr>
            <w:noProof/>
            <w:webHidden/>
          </w:rPr>
          <w:fldChar w:fldCharType="end"/>
        </w:r>
      </w:hyperlink>
    </w:p>
    <w:p w14:paraId="5131C15D" w14:textId="6A247022"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399" w:history="1">
        <w:r w:rsidR="00303C88" w:rsidRPr="00B84C9D">
          <w:rPr>
            <w:rStyle w:val="Hyperlink"/>
            <w:rFonts w:cs="Calibri"/>
            <w:noProof/>
          </w:rPr>
          <w:t>8.3</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Harmful gambling impacts wellbeing for both individuals and their whānau</w:t>
        </w:r>
        <w:r w:rsidR="00303C88">
          <w:rPr>
            <w:noProof/>
            <w:webHidden/>
          </w:rPr>
          <w:tab/>
        </w:r>
        <w:r w:rsidR="00303C88">
          <w:rPr>
            <w:noProof/>
            <w:webHidden/>
          </w:rPr>
          <w:fldChar w:fldCharType="begin"/>
        </w:r>
        <w:r w:rsidR="00303C88">
          <w:rPr>
            <w:noProof/>
            <w:webHidden/>
          </w:rPr>
          <w:instrText xml:space="preserve"> PAGEREF _Toc166507399 \h </w:instrText>
        </w:r>
        <w:r w:rsidR="00303C88">
          <w:rPr>
            <w:noProof/>
            <w:webHidden/>
          </w:rPr>
        </w:r>
        <w:r w:rsidR="00303C88">
          <w:rPr>
            <w:noProof/>
            <w:webHidden/>
          </w:rPr>
          <w:fldChar w:fldCharType="separate"/>
        </w:r>
        <w:r w:rsidR="004F4DA7">
          <w:rPr>
            <w:noProof/>
            <w:webHidden/>
          </w:rPr>
          <w:t>44</w:t>
        </w:r>
        <w:r w:rsidR="00303C88">
          <w:rPr>
            <w:noProof/>
            <w:webHidden/>
          </w:rPr>
          <w:fldChar w:fldCharType="end"/>
        </w:r>
      </w:hyperlink>
    </w:p>
    <w:p w14:paraId="7CD3DC95" w14:textId="6BB95677"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00" w:history="1">
        <w:r w:rsidR="00303C88" w:rsidRPr="00B84C9D">
          <w:rPr>
            <w:rStyle w:val="Hyperlink"/>
            <w:rFonts w:cs="Calibri"/>
            <w:noProof/>
          </w:rPr>
          <w:t>8.4</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Continuous gambling is the most harmful form of gambling</w:t>
        </w:r>
        <w:r w:rsidR="00303C88">
          <w:rPr>
            <w:noProof/>
            <w:webHidden/>
          </w:rPr>
          <w:tab/>
        </w:r>
        <w:r w:rsidR="00303C88">
          <w:rPr>
            <w:noProof/>
            <w:webHidden/>
          </w:rPr>
          <w:fldChar w:fldCharType="begin"/>
        </w:r>
        <w:r w:rsidR="00303C88">
          <w:rPr>
            <w:noProof/>
            <w:webHidden/>
          </w:rPr>
          <w:instrText xml:space="preserve"> PAGEREF _Toc166507400 \h </w:instrText>
        </w:r>
        <w:r w:rsidR="00303C88">
          <w:rPr>
            <w:noProof/>
            <w:webHidden/>
          </w:rPr>
        </w:r>
        <w:r w:rsidR="00303C88">
          <w:rPr>
            <w:noProof/>
            <w:webHidden/>
          </w:rPr>
          <w:fldChar w:fldCharType="separate"/>
        </w:r>
        <w:r w:rsidR="004F4DA7">
          <w:rPr>
            <w:noProof/>
            <w:webHidden/>
          </w:rPr>
          <w:t>44</w:t>
        </w:r>
        <w:r w:rsidR="00303C88">
          <w:rPr>
            <w:noProof/>
            <w:webHidden/>
          </w:rPr>
          <w:fldChar w:fldCharType="end"/>
        </w:r>
      </w:hyperlink>
    </w:p>
    <w:p w14:paraId="66C22B20" w14:textId="19ACB533"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401" w:history="1">
        <w:r w:rsidR="00303C88" w:rsidRPr="00B84C9D">
          <w:rPr>
            <w:rStyle w:val="Hyperlink"/>
            <w:rFonts w:cs="Calibri"/>
            <w:noProof/>
          </w:rPr>
          <w:t>9.</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Gambling harm minimisation approaches</w:t>
        </w:r>
        <w:r w:rsidR="00303C88">
          <w:rPr>
            <w:noProof/>
            <w:webHidden/>
          </w:rPr>
          <w:tab/>
        </w:r>
        <w:r w:rsidR="00303C88">
          <w:rPr>
            <w:noProof/>
            <w:webHidden/>
          </w:rPr>
          <w:fldChar w:fldCharType="begin"/>
        </w:r>
        <w:r w:rsidR="00303C88">
          <w:rPr>
            <w:noProof/>
            <w:webHidden/>
          </w:rPr>
          <w:instrText xml:space="preserve"> PAGEREF _Toc166507401 \h </w:instrText>
        </w:r>
        <w:r w:rsidR="00303C88">
          <w:rPr>
            <w:noProof/>
            <w:webHidden/>
          </w:rPr>
        </w:r>
        <w:r w:rsidR="00303C88">
          <w:rPr>
            <w:noProof/>
            <w:webHidden/>
          </w:rPr>
          <w:fldChar w:fldCharType="separate"/>
        </w:r>
        <w:r w:rsidR="004F4DA7">
          <w:rPr>
            <w:noProof/>
            <w:webHidden/>
          </w:rPr>
          <w:t>45</w:t>
        </w:r>
        <w:r w:rsidR="00303C88">
          <w:rPr>
            <w:noProof/>
            <w:webHidden/>
          </w:rPr>
          <w:fldChar w:fldCharType="end"/>
        </w:r>
      </w:hyperlink>
    </w:p>
    <w:p w14:paraId="41FD5326" w14:textId="2AFB75B4"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02" w:history="1">
        <w:r w:rsidR="00303C88" w:rsidRPr="00B84C9D">
          <w:rPr>
            <w:rStyle w:val="Hyperlink"/>
            <w:rFonts w:cs="Calibri"/>
            <w:noProof/>
          </w:rPr>
          <w:t>9.1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The number of clients accessing all intervention services has slightly increased in the most recent period</w:t>
        </w:r>
        <w:r w:rsidR="00303C88">
          <w:rPr>
            <w:noProof/>
            <w:webHidden/>
          </w:rPr>
          <w:tab/>
        </w:r>
        <w:r w:rsidR="00303C88">
          <w:rPr>
            <w:noProof/>
            <w:webHidden/>
          </w:rPr>
          <w:fldChar w:fldCharType="begin"/>
        </w:r>
        <w:r w:rsidR="00303C88">
          <w:rPr>
            <w:noProof/>
            <w:webHidden/>
          </w:rPr>
          <w:instrText xml:space="preserve"> PAGEREF _Toc166507402 \h </w:instrText>
        </w:r>
        <w:r w:rsidR="00303C88">
          <w:rPr>
            <w:noProof/>
            <w:webHidden/>
          </w:rPr>
        </w:r>
        <w:r w:rsidR="00303C88">
          <w:rPr>
            <w:noProof/>
            <w:webHidden/>
          </w:rPr>
          <w:fldChar w:fldCharType="separate"/>
        </w:r>
        <w:r w:rsidR="004F4DA7">
          <w:rPr>
            <w:noProof/>
            <w:webHidden/>
          </w:rPr>
          <w:t>46</w:t>
        </w:r>
        <w:r w:rsidR="00303C88">
          <w:rPr>
            <w:noProof/>
            <w:webHidden/>
          </w:rPr>
          <w:fldChar w:fldCharType="end"/>
        </w:r>
      </w:hyperlink>
    </w:p>
    <w:p w14:paraId="2E6BC18E" w14:textId="0D00830A"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03" w:history="1">
        <w:r w:rsidR="00303C88" w:rsidRPr="00B84C9D">
          <w:rPr>
            <w:rStyle w:val="Hyperlink"/>
            <w:rFonts w:cs="Calibri"/>
            <w:noProof/>
          </w:rPr>
          <w:t>9.2</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Class 4 EGMs remain the most common primary gambling mode for clients accessing intervention services</w:t>
        </w:r>
        <w:r w:rsidR="00303C88">
          <w:rPr>
            <w:noProof/>
            <w:webHidden/>
          </w:rPr>
          <w:tab/>
        </w:r>
        <w:r w:rsidR="00303C88">
          <w:rPr>
            <w:noProof/>
            <w:webHidden/>
          </w:rPr>
          <w:fldChar w:fldCharType="begin"/>
        </w:r>
        <w:r w:rsidR="00303C88">
          <w:rPr>
            <w:noProof/>
            <w:webHidden/>
          </w:rPr>
          <w:instrText xml:space="preserve"> PAGEREF _Toc166507403 \h </w:instrText>
        </w:r>
        <w:r w:rsidR="00303C88">
          <w:rPr>
            <w:noProof/>
            <w:webHidden/>
          </w:rPr>
        </w:r>
        <w:r w:rsidR="00303C88">
          <w:rPr>
            <w:noProof/>
            <w:webHidden/>
          </w:rPr>
          <w:fldChar w:fldCharType="separate"/>
        </w:r>
        <w:r w:rsidR="004F4DA7">
          <w:rPr>
            <w:noProof/>
            <w:webHidden/>
          </w:rPr>
          <w:t>46</w:t>
        </w:r>
        <w:r w:rsidR="00303C88">
          <w:rPr>
            <w:noProof/>
            <w:webHidden/>
          </w:rPr>
          <w:fldChar w:fldCharType="end"/>
        </w:r>
      </w:hyperlink>
    </w:p>
    <w:p w14:paraId="76ED3BE0" w14:textId="5CAA5433"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04" w:history="1">
        <w:r w:rsidR="00303C88" w:rsidRPr="00B84C9D">
          <w:rPr>
            <w:rStyle w:val="Hyperlink"/>
            <w:rFonts w:cs="Calibri"/>
            <w:noProof/>
          </w:rPr>
          <w:t>9.3</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The implementation of a Just-In-Time Adaptive Intervention service has proven beneficial</w:t>
        </w:r>
        <w:r w:rsidR="00303C88">
          <w:rPr>
            <w:noProof/>
            <w:webHidden/>
          </w:rPr>
          <w:tab/>
        </w:r>
        <w:r w:rsidR="00303C88">
          <w:rPr>
            <w:noProof/>
            <w:webHidden/>
          </w:rPr>
          <w:fldChar w:fldCharType="begin"/>
        </w:r>
        <w:r w:rsidR="00303C88">
          <w:rPr>
            <w:noProof/>
            <w:webHidden/>
          </w:rPr>
          <w:instrText xml:space="preserve"> PAGEREF _Toc166507404 \h </w:instrText>
        </w:r>
        <w:r w:rsidR="00303C88">
          <w:rPr>
            <w:noProof/>
            <w:webHidden/>
          </w:rPr>
        </w:r>
        <w:r w:rsidR="00303C88">
          <w:rPr>
            <w:noProof/>
            <w:webHidden/>
          </w:rPr>
          <w:fldChar w:fldCharType="separate"/>
        </w:r>
        <w:r w:rsidR="004F4DA7">
          <w:rPr>
            <w:noProof/>
            <w:webHidden/>
          </w:rPr>
          <w:t>47</w:t>
        </w:r>
        <w:r w:rsidR="00303C88">
          <w:rPr>
            <w:noProof/>
            <w:webHidden/>
          </w:rPr>
          <w:fldChar w:fldCharType="end"/>
        </w:r>
      </w:hyperlink>
    </w:p>
    <w:p w14:paraId="061EF1AC" w14:textId="297F47A4"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405" w:history="1">
        <w:r w:rsidR="00303C88" w:rsidRPr="00B84C9D">
          <w:rPr>
            <w:rStyle w:val="Hyperlink"/>
            <w:rFonts w:cs="Calibri"/>
            <w:noProof/>
          </w:rPr>
          <w:t>10.</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noProof/>
          </w:rPr>
          <w:t>Funding review</w:t>
        </w:r>
        <w:r w:rsidR="00303C88">
          <w:rPr>
            <w:noProof/>
            <w:webHidden/>
          </w:rPr>
          <w:tab/>
        </w:r>
        <w:r w:rsidR="00303C88">
          <w:rPr>
            <w:noProof/>
            <w:webHidden/>
          </w:rPr>
          <w:fldChar w:fldCharType="begin"/>
        </w:r>
        <w:r w:rsidR="00303C88">
          <w:rPr>
            <w:noProof/>
            <w:webHidden/>
          </w:rPr>
          <w:instrText xml:space="preserve"> PAGEREF _Toc166507405 \h </w:instrText>
        </w:r>
        <w:r w:rsidR="00303C88">
          <w:rPr>
            <w:noProof/>
            <w:webHidden/>
          </w:rPr>
        </w:r>
        <w:r w:rsidR="00303C88">
          <w:rPr>
            <w:noProof/>
            <w:webHidden/>
          </w:rPr>
          <w:fldChar w:fldCharType="separate"/>
        </w:r>
        <w:r w:rsidR="004F4DA7">
          <w:rPr>
            <w:noProof/>
            <w:webHidden/>
          </w:rPr>
          <w:t>48</w:t>
        </w:r>
        <w:r w:rsidR="00303C88">
          <w:rPr>
            <w:noProof/>
            <w:webHidden/>
          </w:rPr>
          <w:fldChar w:fldCharType="end"/>
        </w:r>
      </w:hyperlink>
    </w:p>
    <w:p w14:paraId="6C29F92C" w14:textId="0A379E51"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06" w:history="1">
        <w:r w:rsidR="00303C88" w:rsidRPr="00B84C9D">
          <w:rPr>
            <w:rStyle w:val="Hyperlink"/>
            <w:rFonts w:cs="Calibri"/>
            <w:bCs/>
            <w:noProof/>
          </w:rPr>
          <w:t>10.1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bCs/>
            <w:noProof/>
          </w:rPr>
          <w:t>Current approach to setting the levy</w:t>
        </w:r>
        <w:r w:rsidR="00303C88">
          <w:rPr>
            <w:noProof/>
            <w:webHidden/>
          </w:rPr>
          <w:tab/>
        </w:r>
        <w:r w:rsidR="00303C88">
          <w:rPr>
            <w:noProof/>
            <w:webHidden/>
          </w:rPr>
          <w:fldChar w:fldCharType="begin"/>
        </w:r>
        <w:r w:rsidR="00303C88">
          <w:rPr>
            <w:noProof/>
            <w:webHidden/>
          </w:rPr>
          <w:instrText xml:space="preserve"> PAGEREF _Toc166507406 \h </w:instrText>
        </w:r>
        <w:r w:rsidR="00303C88">
          <w:rPr>
            <w:noProof/>
            <w:webHidden/>
          </w:rPr>
        </w:r>
        <w:r w:rsidR="00303C88">
          <w:rPr>
            <w:noProof/>
            <w:webHidden/>
          </w:rPr>
          <w:fldChar w:fldCharType="separate"/>
        </w:r>
        <w:r w:rsidR="004F4DA7">
          <w:rPr>
            <w:noProof/>
            <w:webHidden/>
          </w:rPr>
          <w:t>48</w:t>
        </w:r>
        <w:r w:rsidR="00303C88">
          <w:rPr>
            <w:noProof/>
            <w:webHidden/>
          </w:rPr>
          <w:fldChar w:fldCharType="end"/>
        </w:r>
      </w:hyperlink>
    </w:p>
    <w:p w14:paraId="2148F4D6" w14:textId="18EE6B3E"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07" w:history="1">
        <w:r w:rsidR="00303C88" w:rsidRPr="00B84C9D">
          <w:rPr>
            <w:rStyle w:val="Hyperlink"/>
            <w:rFonts w:cs="Calibri"/>
            <w:bCs/>
            <w:noProof/>
          </w:rPr>
          <w:t>10.2</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bCs/>
            <w:noProof/>
          </w:rPr>
          <w:t>Online gambling</w:t>
        </w:r>
        <w:r w:rsidR="00303C88">
          <w:rPr>
            <w:noProof/>
            <w:webHidden/>
          </w:rPr>
          <w:tab/>
        </w:r>
        <w:r w:rsidR="00303C88">
          <w:rPr>
            <w:noProof/>
            <w:webHidden/>
          </w:rPr>
          <w:fldChar w:fldCharType="begin"/>
        </w:r>
        <w:r w:rsidR="00303C88">
          <w:rPr>
            <w:noProof/>
            <w:webHidden/>
          </w:rPr>
          <w:instrText xml:space="preserve"> PAGEREF _Toc166507407 \h </w:instrText>
        </w:r>
        <w:r w:rsidR="00303C88">
          <w:rPr>
            <w:noProof/>
            <w:webHidden/>
          </w:rPr>
        </w:r>
        <w:r w:rsidR="00303C88">
          <w:rPr>
            <w:noProof/>
            <w:webHidden/>
          </w:rPr>
          <w:fldChar w:fldCharType="separate"/>
        </w:r>
        <w:r w:rsidR="004F4DA7">
          <w:rPr>
            <w:noProof/>
            <w:webHidden/>
          </w:rPr>
          <w:t>49</w:t>
        </w:r>
        <w:r w:rsidR="00303C88">
          <w:rPr>
            <w:noProof/>
            <w:webHidden/>
          </w:rPr>
          <w:fldChar w:fldCharType="end"/>
        </w:r>
      </w:hyperlink>
    </w:p>
    <w:p w14:paraId="06E5864B" w14:textId="22DAFB94"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08" w:history="1">
        <w:r w:rsidR="00303C88" w:rsidRPr="00B84C9D">
          <w:rPr>
            <w:rStyle w:val="Hyperlink"/>
            <w:rFonts w:cs="Calibri"/>
            <w:bCs/>
            <w:noProof/>
          </w:rPr>
          <w:t>10.3</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bCs/>
            <w:noProof/>
          </w:rPr>
          <w:t>Consultation on online gambling</w:t>
        </w:r>
        <w:r w:rsidR="00303C88">
          <w:rPr>
            <w:noProof/>
            <w:webHidden/>
          </w:rPr>
          <w:tab/>
        </w:r>
        <w:r w:rsidR="00303C88">
          <w:rPr>
            <w:noProof/>
            <w:webHidden/>
          </w:rPr>
          <w:fldChar w:fldCharType="begin"/>
        </w:r>
        <w:r w:rsidR="00303C88">
          <w:rPr>
            <w:noProof/>
            <w:webHidden/>
          </w:rPr>
          <w:instrText xml:space="preserve"> PAGEREF _Toc166507408 \h </w:instrText>
        </w:r>
        <w:r w:rsidR="00303C88">
          <w:rPr>
            <w:noProof/>
            <w:webHidden/>
          </w:rPr>
        </w:r>
        <w:r w:rsidR="00303C88">
          <w:rPr>
            <w:noProof/>
            <w:webHidden/>
          </w:rPr>
          <w:fldChar w:fldCharType="separate"/>
        </w:r>
        <w:r w:rsidR="004F4DA7">
          <w:rPr>
            <w:noProof/>
            <w:webHidden/>
          </w:rPr>
          <w:t>50</w:t>
        </w:r>
        <w:r w:rsidR="00303C88">
          <w:rPr>
            <w:noProof/>
            <w:webHidden/>
          </w:rPr>
          <w:fldChar w:fldCharType="end"/>
        </w:r>
      </w:hyperlink>
    </w:p>
    <w:p w14:paraId="2E5DA8D7" w14:textId="76A75B2E"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09" w:history="1">
        <w:r w:rsidR="00303C88" w:rsidRPr="00B84C9D">
          <w:rPr>
            <w:rStyle w:val="Hyperlink"/>
            <w:rFonts w:cs="Calibri"/>
            <w:bCs/>
            <w:noProof/>
          </w:rPr>
          <w:t>10.4</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bCs/>
            <w:noProof/>
          </w:rPr>
          <w:t>2022/23 to 2024/25 Health Ministry Agency Disclosure Statement and current levies</w:t>
        </w:r>
        <w:r w:rsidR="00303C88">
          <w:rPr>
            <w:noProof/>
            <w:webHidden/>
          </w:rPr>
          <w:tab/>
        </w:r>
        <w:r w:rsidR="00303C88">
          <w:rPr>
            <w:noProof/>
            <w:webHidden/>
          </w:rPr>
          <w:fldChar w:fldCharType="begin"/>
        </w:r>
        <w:r w:rsidR="00303C88">
          <w:rPr>
            <w:noProof/>
            <w:webHidden/>
          </w:rPr>
          <w:instrText xml:space="preserve"> PAGEREF _Toc166507409 \h </w:instrText>
        </w:r>
        <w:r w:rsidR="00303C88">
          <w:rPr>
            <w:noProof/>
            <w:webHidden/>
          </w:rPr>
        </w:r>
        <w:r w:rsidR="00303C88">
          <w:rPr>
            <w:noProof/>
            <w:webHidden/>
          </w:rPr>
          <w:fldChar w:fldCharType="separate"/>
        </w:r>
        <w:r w:rsidR="004F4DA7">
          <w:rPr>
            <w:noProof/>
            <w:webHidden/>
          </w:rPr>
          <w:t>50</w:t>
        </w:r>
        <w:r w:rsidR="00303C88">
          <w:rPr>
            <w:noProof/>
            <w:webHidden/>
          </w:rPr>
          <w:fldChar w:fldCharType="end"/>
        </w:r>
      </w:hyperlink>
    </w:p>
    <w:p w14:paraId="5A22FF6B" w14:textId="7DACB9A8"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10" w:history="1">
        <w:r w:rsidR="00303C88" w:rsidRPr="00B84C9D">
          <w:rPr>
            <w:rStyle w:val="Hyperlink"/>
            <w:rFonts w:cs="Calibri"/>
            <w:bCs/>
            <w:noProof/>
          </w:rPr>
          <w:t>10.5</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bCs/>
            <w:noProof/>
          </w:rPr>
          <w:t>Recommendations for review of the levy</w:t>
        </w:r>
        <w:r w:rsidR="00303C88">
          <w:rPr>
            <w:noProof/>
            <w:webHidden/>
          </w:rPr>
          <w:tab/>
        </w:r>
        <w:r w:rsidR="00303C88">
          <w:rPr>
            <w:noProof/>
            <w:webHidden/>
          </w:rPr>
          <w:fldChar w:fldCharType="begin"/>
        </w:r>
        <w:r w:rsidR="00303C88">
          <w:rPr>
            <w:noProof/>
            <w:webHidden/>
          </w:rPr>
          <w:instrText xml:space="preserve"> PAGEREF _Toc166507410 \h </w:instrText>
        </w:r>
        <w:r w:rsidR="00303C88">
          <w:rPr>
            <w:noProof/>
            <w:webHidden/>
          </w:rPr>
        </w:r>
        <w:r w:rsidR="00303C88">
          <w:rPr>
            <w:noProof/>
            <w:webHidden/>
          </w:rPr>
          <w:fldChar w:fldCharType="separate"/>
        </w:r>
        <w:r w:rsidR="004F4DA7">
          <w:rPr>
            <w:noProof/>
            <w:webHidden/>
          </w:rPr>
          <w:t>51</w:t>
        </w:r>
        <w:r w:rsidR="00303C88">
          <w:rPr>
            <w:noProof/>
            <w:webHidden/>
          </w:rPr>
          <w:fldChar w:fldCharType="end"/>
        </w:r>
      </w:hyperlink>
    </w:p>
    <w:p w14:paraId="0BAD985F" w14:textId="59EB9418"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11" w:history="1">
        <w:r w:rsidR="00303C88" w:rsidRPr="00B84C9D">
          <w:rPr>
            <w:rStyle w:val="Hyperlink"/>
            <w:rFonts w:cs="Calibri"/>
            <w:bCs/>
            <w:noProof/>
          </w:rPr>
          <w:t>10.6</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bCs/>
            <w:noProof/>
          </w:rPr>
          <w:t>Policy issues in the funding regime</w:t>
        </w:r>
        <w:r w:rsidR="00303C88">
          <w:rPr>
            <w:noProof/>
            <w:webHidden/>
          </w:rPr>
          <w:tab/>
        </w:r>
        <w:r w:rsidR="00303C88">
          <w:rPr>
            <w:noProof/>
            <w:webHidden/>
          </w:rPr>
          <w:fldChar w:fldCharType="begin"/>
        </w:r>
        <w:r w:rsidR="00303C88">
          <w:rPr>
            <w:noProof/>
            <w:webHidden/>
          </w:rPr>
          <w:instrText xml:space="preserve"> PAGEREF _Toc166507411 \h </w:instrText>
        </w:r>
        <w:r w:rsidR="00303C88">
          <w:rPr>
            <w:noProof/>
            <w:webHidden/>
          </w:rPr>
        </w:r>
        <w:r w:rsidR="00303C88">
          <w:rPr>
            <w:noProof/>
            <w:webHidden/>
          </w:rPr>
          <w:fldChar w:fldCharType="separate"/>
        </w:r>
        <w:r w:rsidR="004F4DA7">
          <w:rPr>
            <w:noProof/>
            <w:webHidden/>
          </w:rPr>
          <w:t>52</w:t>
        </w:r>
        <w:r w:rsidR="00303C88">
          <w:rPr>
            <w:noProof/>
            <w:webHidden/>
          </w:rPr>
          <w:fldChar w:fldCharType="end"/>
        </w:r>
      </w:hyperlink>
    </w:p>
    <w:p w14:paraId="1DBB2897" w14:textId="53907A21"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12" w:history="1">
        <w:r w:rsidR="00303C88" w:rsidRPr="00B84C9D">
          <w:rPr>
            <w:rStyle w:val="Hyperlink"/>
            <w:rFonts w:cs="Calibri"/>
            <w:bCs/>
            <w:noProof/>
          </w:rPr>
          <w:t>10.7</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rFonts w:cs="Calibri"/>
            <w:bCs/>
            <w:noProof/>
          </w:rPr>
          <w:t>Scenario analysis</w:t>
        </w:r>
        <w:r w:rsidR="00303C88">
          <w:rPr>
            <w:noProof/>
            <w:webHidden/>
          </w:rPr>
          <w:tab/>
        </w:r>
        <w:r w:rsidR="00303C88">
          <w:rPr>
            <w:noProof/>
            <w:webHidden/>
          </w:rPr>
          <w:fldChar w:fldCharType="begin"/>
        </w:r>
        <w:r w:rsidR="00303C88">
          <w:rPr>
            <w:noProof/>
            <w:webHidden/>
          </w:rPr>
          <w:instrText xml:space="preserve"> PAGEREF _Toc166507412 \h </w:instrText>
        </w:r>
        <w:r w:rsidR="00303C88">
          <w:rPr>
            <w:noProof/>
            <w:webHidden/>
          </w:rPr>
        </w:r>
        <w:r w:rsidR="00303C88">
          <w:rPr>
            <w:noProof/>
            <w:webHidden/>
          </w:rPr>
          <w:fldChar w:fldCharType="separate"/>
        </w:r>
        <w:r w:rsidR="004F4DA7">
          <w:rPr>
            <w:noProof/>
            <w:webHidden/>
          </w:rPr>
          <w:t>53</w:t>
        </w:r>
        <w:r w:rsidR="00303C88">
          <w:rPr>
            <w:noProof/>
            <w:webHidden/>
          </w:rPr>
          <w:fldChar w:fldCharType="end"/>
        </w:r>
      </w:hyperlink>
    </w:p>
    <w:p w14:paraId="3010E58C" w14:textId="61C879DE"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413" w:history="1">
        <w:r w:rsidR="00303C88" w:rsidRPr="00B84C9D">
          <w:rPr>
            <w:rStyle w:val="Hyperlink"/>
            <w:noProof/>
          </w:rPr>
          <w:t>11.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Minimising gambling harm sector needs</w:t>
        </w:r>
        <w:r w:rsidR="00303C88">
          <w:rPr>
            <w:noProof/>
            <w:webHidden/>
          </w:rPr>
          <w:tab/>
        </w:r>
        <w:r w:rsidR="00303C88">
          <w:rPr>
            <w:noProof/>
            <w:webHidden/>
          </w:rPr>
          <w:fldChar w:fldCharType="begin"/>
        </w:r>
        <w:r w:rsidR="00303C88">
          <w:rPr>
            <w:noProof/>
            <w:webHidden/>
          </w:rPr>
          <w:instrText xml:space="preserve"> PAGEREF _Toc166507413 \h </w:instrText>
        </w:r>
        <w:r w:rsidR="00303C88">
          <w:rPr>
            <w:noProof/>
            <w:webHidden/>
          </w:rPr>
        </w:r>
        <w:r w:rsidR="00303C88">
          <w:rPr>
            <w:noProof/>
            <w:webHidden/>
          </w:rPr>
          <w:fldChar w:fldCharType="separate"/>
        </w:r>
        <w:r w:rsidR="004F4DA7">
          <w:rPr>
            <w:noProof/>
            <w:webHidden/>
          </w:rPr>
          <w:t>59</w:t>
        </w:r>
        <w:r w:rsidR="00303C88">
          <w:rPr>
            <w:noProof/>
            <w:webHidden/>
          </w:rPr>
          <w:fldChar w:fldCharType="end"/>
        </w:r>
      </w:hyperlink>
    </w:p>
    <w:p w14:paraId="13430AA6" w14:textId="62F389DD"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14" w:history="1">
        <w:r w:rsidR="00303C88" w:rsidRPr="00B84C9D">
          <w:rPr>
            <w:rStyle w:val="Hyperlink"/>
            <w:noProof/>
          </w:rPr>
          <w:t>11.1</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Participants’ perceptions of sector strengths</w:t>
        </w:r>
        <w:r w:rsidR="00303C88">
          <w:rPr>
            <w:noProof/>
            <w:webHidden/>
          </w:rPr>
          <w:tab/>
        </w:r>
        <w:r w:rsidR="00303C88">
          <w:rPr>
            <w:noProof/>
            <w:webHidden/>
          </w:rPr>
          <w:fldChar w:fldCharType="begin"/>
        </w:r>
        <w:r w:rsidR="00303C88">
          <w:rPr>
            <w:noProof/>
            <w:webHidden/>
          </w:rPr>
          <w:instrText xml:space="preserve"> PAGEREF _Toc166507414 \h </w:instrText>
        </w:r>
        <w:r w:rsidR="00303C88">
          <w:rPr>
            <w:noProof/>
            <w:webHidden/>
          </w:rPr>
        </w:r>
        <w:r w:rsidR="00303C88">
          <w:rPr>
            <w:noProof/>
            <w:webHidden/>
          </w:rPr>
          <w:fldChar w:fldCharType="separate"/>
        </w:r>
        <w:r w:rsidR="004F4DA7">
          <w:rPr>
            <w:noProof/>
            <w:webHidden/>
          </w:rPr>
          <w:t>59</w:t>
        </w:r>
        <w:r w:rsidR="00303C88">
          <w:rPr>
            <w:noProof/>
            <w:webHidden/>
          </w:rPr>
          <w:fldChar w:fldCharType="end"/>
        </w:r>
      </w:hyperlink>
    </w:p>
    <w:p w14:paraId="0DFC2D2B" w14:textId="04D30510"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15" w:history="1">
        <w:r w:rsidR="00303C88" w:rsidRPr="00B84C9D">
          <w:rPr>
            <w:rStyle w:val="Hyperlink"/>
            <w:noProof/>
          </w:rPr>
          <w:t>11.2</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Participants’ perceptions of sector gaps</w:t>
        </w:r>
        <w:r w:rsidR="00303C88">
          <w:rPr>
            <w:noProof/>
            <w:webHidden/>
          </w:rPr>
          <w:tab/>
        </w:r>
        <w:r w:rsidR="00303C88">
          <w:rPr>
            <w:noProof/>
            <w:webHidden/>
          </w:rPr>
          <w:fldChar w:fldCharType="begin"/>
        </w:r>
        <w:r w:rsidR="00303C88">
          <w:rPr>
            <w:noProof/>
            <w:webHidden/>
          </w:rPr>
          <w:instrText xml:space="preserve"> PAGEREF _Toc166507415 \h </w:instrText>
        </w:r>
        <w:r w:rsidR="00303C88">
          <w:rPr>
            <w:noProof/>
            <w:webHidden/>
          </w:rPr>
        </w:r>
        <w:r w:rsidR="00303C88">
          <w:rPr>
            <w:noProof/>
            <w:webHidden/>
          </w:rPr>
          <w:fldChar w:fldCharType="separate"/>
        </w:r>
        <w:r w:rsidR="004F4DA7">
          <w:rPr>
            <w:noProof/>
            <w:webHidden/>
          </w:rPr>
          <w:t>60</w:t>
        </w:r>
        <w:r w:rsidR="00303C88">
          <w:rPr>
            <w:noProof/>
            <w:webHidden/>
          </w:rPr>
          <w:fldChar w:fldCharType="end"/>
        </w:r>
      </w:hyperlink>
    </w:p>
    <w:p w14:paraId="1E5D7A34" w14:textId="7EDA7155" w:rsidR="00303C88" w:rsidRDefault="00000000">
      <w:pPr>
        <w:pStyle w:val="TOC3"/>
        <w:rPr>
          <w:rFonts w:asciiTheme="minorHAnsi" w:eastAsiaTheme="minorEastAsia" w:hAnsiTheme="minorHAnsi"/>
          <w:noProof/>
          <w:kern w:val="2"/>
          <w:sz w:val="24"/>
          <w:szCs w:val="24"/>
          <w:lang w:eastAsia="en-NZ"/>
          <w14:ligatures w14:val="standardContextual"/>
        </w:rPr>
      </w:pPr>
      <w:hyperlink w:anchor="_Toc166507416" w:history="1">
        <w:r w:rsidR="00303C88" w:rsidRPr="00B84C9D">
          <w:rPr>
            <w:rStyle w:val="Hyperlink"/>
            <w:noProof/>
            <w:lang w:val="en-US"/>
          </w:rPr>
          <w:t>11.3</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lang w:val="en-US"/>
          </w:rPr>
          <w:t>Participants’ perceptions of sector needs</w:t>
        </w:r>
        <w:r w:rsidR="00303C88">
          <w:rPr>
            <w:noProof/>
            <w:webHidden/>
          </w:rPr>
          <w:tab/>
        </w:r>
        <w:r w:rsidR="00303C88">
          <w:rPr>
            <w:noProof/>
            <w:webHidden/>
          </w:rPr>
          <w:fldChar w:fldCharType="begin"/>
        </w:r>
        <w:r w:rsidR="00303C88">
          <w:rPr>
            <w:noProof/>
            <w:webHidden/>
          </w:rPr>
          <w:instrText xml:space="preserve"> PAGEREF _Toc166507416 \h </w:instrText>
        </w:r>
        <w:r w:rsidR="00303C88">
          <w:rPr>
            <w:noProof/>
            <w:webHidden/>
          </w:rPr>
        </w:r>
        <w:r w:rsidR="00303C88">
          <w:rPr>
            <w:noProof/>
            <w:webHidden/>
          </w:rPr>
          <w:fldChar w:fldCharType="separate"/>
        </w:r>
        <w:r w:rsidR="004F4DA7">
          <w:rPr>
            <w:noProof/>
            <w:webHidden/>
          </w:rPr>
          <w:t>65</w:t>
        </w:r>
        <w:r w:rsidR="00303C88">
          <w:rPr>
            <w:noProof/>
            <w:webHidden/>
          </w:rPr>
          <w:fldChar w:fldCharType="end"/>
        </w:r>
      </w:hyperlink>
    </w:p>
    <w:p w14:paraId="0325DD7C" w14:textId="73A3B695"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417" w:history="1">
        <w:r w:rsidR="00303C88" w:rsidRPr="00B84C9D">
          <w:rPr>
            <w:rStyle w:val="Hyperlink"/>
            <w:noProof/>
          </w:rPr>
          <w:t>12.</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Clinical intervention service needs</w:t>
        </w:r>
        <w:r w:rsidR="00303C88">
          <w:rPr>
            <w:noProof/>
            <w:webHidden/>
          </w:rPr>
          <w:tab/>
        </w:r>
        <w:r w:rsidR="00303C88">
          <w:rPr>
            <w:noProof/>
            <w:webHidden/>
          </w:rPr>
          <w:fldChar w:fldCharType="begin"/>
        </w:r>
        <w:r w:rsidR="00303C88">
          <w:rPr>
            <w:noProof/>
            <w:webHidden/>
          </w:rPr>
          <w:instrText xml:space="preserve"> PAGEREF _Toc166507417 \h </w:instrText>
        </w:r>
        <w:r w:rsidR="00303C88">
          <w:rPr>
            <w:noProof/>
            <w:webHidden/>
          </w:rPr>
        </w:r>
        <w:r w:rsidR="00303C88">
          <w:rPr>
            <w:noProof/>
            <w:webHidden/>
          </w:rPr>
          <w:fldChar w:fldCharType="separate"/>
        </w:r>
        <w:r w:rsidR="004F4DA7">
          <w:rPr>
            <w:noProof/>
            <w:webHidden/>
          </w:rPr>
          <w:t>71</w:t>
        </w:r>
        <w:r w:rsidR="00303C88">
          <w:rPr>
            <w:noProof/>
            <w:webHidden/>
          </w:rPr>
          <w:fldChar w:fldCharType="end"/>
        </w:r>
      </w:hyperlink>
    </w:p>
    <w:p w14:paraId="5EAE8130" w14:textId="26C52A6C"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418" w:history="1">
        <w:r w:rsidR="00303C88" w:rsidRPr="00B84C9D">
          <w:rPr>
            <w:rStyle w:val="Hyperlink"/>
            <w:noProof/>
          </w:rPr>
          <w:t>13.</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Public health service needs</w:t>
        </w:r>
        <w:r w:rsidR="00303C88">
          <w:rPr>
            <w:noProof/>
            <w:webHidden/>
          </w:rPr>
          <w:tab/>
        </w:r>
        <w:r w:rsidR="00303C88">
          <w:rPr>
            <w:noProof/>
            <w:webHidden/>
          </w:rPr>
          <w:fldChar w:fldCharType="begin"/>
        </w:r>
        <w:r w:rsidR="00303C88">
          <w:rPr>
            <w:noProof/>
            <w:webHidden/>
          </w:rPr>
          <w:instrText xml:space="preserve"> PAGEREF _Toc166507418 \h </w:instrText>
        </w:r>
        <w:r w:rsidR="00303C88">
          <w:rPr>
            <w:noProof/>
            <w:webHidden/>
          </w:rPr>
        </w:r>
        <w:r w:rsidR="00303C88">
          <w:rPr>
            <w:noProof/>
            <w:webHidden/>
          </w:rPr>
          <w:fldChar w:fldCharType="separate"/>
        </w:r>
        <w:r w:rsidR="004F4DA7">
          <w:rPr>
            <w:noProof/>
            <w:webHidden/>
          </w:rPr>
          <w:t>76</w:t>
        </w:r>
        <w:r w:rsidR="00303C88">
          <w:rPr>
            <w:noProof/>
            <w:webHidden/>
          </w:rPr>
          <w:fldChar w:fldCharType="end"/>
        </w:r>
      </w:hyperlink>
    </w:p>
    <w:p w14:paraId="679EEF8B" w14:textId="1566C744"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419" w:history="1">
        <w:r w:rsidR="00303C88" w:rsidRPr="00B84C9D">
          <w:rPr>
            <w:rStyle w:val="Hyperlink"/>
            <w:noProof/>
          </w:rPr>
          <w:t>14.</w:t>
        </w:r>
        <w:r w:rsidR="00303C88">
          <w:rPr>
            <w:rFonts w:asciiTheme="minorHAnsi" w:eastAsiaTheme="minorEastAsia" w:hAnsiTheme="minorHAnsi"/>
            <w:noProof/>
            <w:kern w:val="2"/>
            <w:sz w:val="24"/>
            <w:szCs w:val="24"/>
            <w:lang w:eastAsia="en-NZ"/>
            <w14:ligatures w14:val="standardContextual"/>
          </w:rPr>
          <w:tab/>
        </w:r>
        <w:r w:rsidR="00303C88" w:rsidRPr="00B84C9D">
          <w:rPr>
            <w:rStyle w:val="Hyperlink"/>
            <w:noProof/>
          </w:rPr>
          <w:t>Research service needs</w:t>
        </w:r>
        <w:r w:rsidR="00303C88">
          <w:rPr>
            <w:noProof/>
            <w:webHidden/>
          </w:rPr>
          <w:tab/>
        </w:r>
        <w:r w:rsidR="00303C88">
          <w:rPr>
            <w:noProof/>
            <w:webHidden/>
          </w:rPr>
          <w:fldChar w:fldCharType="begin"/>
        </w:r>
        <w:r w:rsidR="00303C88">
          <w:rPr>
            <w:noProof/>
            <w:webHidden/>
          </w:rPr>
          <w:instrText xml:space="preserve"> PAGEREF _Toc166507419 \h </w:instrText>
        </w:r>
        <w:r w:rsidR="00303C88">
          <w:rPr>
            <w:noProof/>
            <w:webHidden/>
          </w:rPr>
        </w:r>
        <w:r w:rsidR="00303C88">
          <w:rPr>
            <w:noProof/>
            <w:webHidden/>
          </w:rPr>
          <w:fldChar w:fldCharType="separate"/>
        </w:r>
        <w:r w:rsidR="004F4DA7">
          <w:rPr>
            <w:noProof/>
            <w:webHidden/>
          </w:rPr>
          <w:t>79</w:t>
        </w:r>
        <w:r w:rsidR="00303C88">
          <w:rPr>
            <w:noProof/>
            <w:webHidden/>
          </w:rPr>
          <w:fldChar w:fldCharType="end"/>
        </w:r>
      </w:hyperlink>
    </w:p>
    <w:p w14:paraId="5758A7EC" w14:textId="012CFA20" w:rsidR="00303C88" w:rsidRDefault="00000000">
      <w:pPr>
        <w:pStyle w:val="TOC1"/>
        <w:rPr>
          <w:rFonts w:asciiTheme="minorHAnsi" w:eastAsiaTheme="minorEastAsia" w:hAnsiTheme="minorHAnsi"/>
          <w:noProof/>
          <w:kern w:val="2"/>
          <w:sz w:val="24"/>
          <w:szCs w:val="24"/>
          <w:lang w:eastAsia="en-NZ"/>
          <w14:ligatures w14:val="standardContextual"/>
        </w:rPr>
      </w:pPr>
      <w:hyperlink w:anchor="_Toc166507420" w:history="1">
        <w:r w:rsidR="00303C88" w:rsidRPr="00B84C9D">
          <w:rPr>
            <w:rStyle w:val="Hyperlink"/>
            <w:noProof/>
          </w:rPr>
          <w:t>References</w:t>
        </w:r>
        <w:r w:rsidR="00303C88">
          <w:rPr>
            <w:noProof/>
            <w:webHidden/>
          </w:rPr>
          <w:tab/>
        </w:r>
        <w:r w:rsidR="00303C88">
          <w:rPr>
            <w:noProof/>
            <w:webHidden/>
          </w:rPr>
          <w:fldChar w:fldCharType="begin"/>
        </w:r>
        <w:r w:rsidR="00303C88">
          <w:rPr>
            <w:noProof/>
            <w:webHidden/>
          </w:rPr>
          <w:instrText xml:space="preserve"> PAGEREF _Toc166507420 \h </w:instrText>
        </w:r>
        <w:r w:rsidR="00303C88">
          <w:rPr>
            <w:noProof/>
            <w:webHidden/>
          </w:rPr>
        </w:r>
        <w:r w:rsidR="00303C88">
          <w:rPr>
            <w:noProof/>
            <w:webHidden/>
          </w:rPr>
          <w:fldChar w:fldCharType="separate"/>
        </w:r>
        <w:r w:rsidR="004F4DA7">
          <w:rPr>
            <w:noProof/>
            <w:webHidden/>
          </w:rPr>
          <w:t>83</w:t>
        </w:r>
        <w:r w:rsidR="00303C88">
          <w:rPr>
            <w:noProof/>
            <w:webHidden/>
          </w:rPr>
          <w:fldChar w:fldCharType="end"/>
        </w:r>
      </w:hyperlink>
    </w:p>
    <w:p w14:paraId="55DEAAE7" w14:textId="7F2EEF4F" w:rsidR="007F2115" w:rsidRDefault="00592693" w:rsidP="0079394C">
      <w:pPr>
        <w:pStyle w:val="TOCHeading"/>
        <w:spacing w:before="0"/>
        <w:rPr>
          <w:rFonts w:cs="Calibri"/>
          <w:b w:val="0"/>
          <w:color w:val="auto"/>
          <w:sz w:val="20"/>
        </w:rPr>
      </w:pPr>
      <w:r w:rsidRPr="00C75F88">
        <w:rPr>
          <w:rFonts w:cs="Calibri"/>
          <w:b w:val="0"/>
          <w:color w:val="auto"/>
          <w:sz w:val="20"/>
        </w:rPr>
        <w:fldChar w:fldCharType="end"/>
      </w:r>
      <w:r w:rsidR="007F2115">
        <w:rPr>
          <w:rFonts w:cs="Calibri"/>
          <w:b w:val="0"/>
          <w:color w:val="auto"/>
          <w:sz w:val="20"/>
        </w:rPr>
        <w:br w:type="page"/>
      </w:r>
    </w:p>
    <w:p w14:paraId="6D27C68B" w14:textId="5E253E94" w:rsidR="00592693" w:rsidRPr="006A4732" w:rsidRDefault="00592693" w:rsidP="0079394C">
      <w:pPr>
        <w:pStyle w:val="TOCHeading"/>
        <w:spacing w:before="0"/>
        <w:rPr>
          <w:rFonts w:cs="Calibri"/>
          <w:color w:val="auto"/>
          <w:sz w:val="36"/>
          <w:szCs w:val="32"/>
        </w:rPr>
      </w:pPr>
      <w:r w:rsidRPr="006A4732">
        <w:rPr>
          <w:rFonts w:cs="Calibri"/>
          <w:color w:val="auto"/>
          <w:sz w:val="36"/>
          <w:szCs w:val="32"/>
        </w:rPr>
        <w:lastRenderedPageBreak/>
        <w:t>Figures</w:t>
      </w:r>
    </w:p>
    <w:p w14:paraId="50F6C184" w14:textId="3AD7DF50" w:rsidR="006A6A33" w:rsidRDefault="00592693">
      <w:pPr>
        <w:pStyle w:val="TableofFigures"/>
        <w:tabs>
          <w:tab w:val="right" w:leader="dot" w:pos="9016"/>
        </w:tabs>
        <w:rPr>
          <w:rFonts w:asciiTheme="minorHAnsi" w:eastAsiaTheme="minorEastAsia" w:hAnsiTheme="minorHAnsi"/>
          <w:noProof/>
          <w:kern w:val="2"/>
          <w:sz w:val="24"/>
          <w:szCs w:val="24"/>
          <w:lang w:eastAsia="en-NZ"/>
          <w14:ligatures w14:val="standardContextual"/>
        </w:rPr>
      </w:pPr>
      <w:r w:rsidRPr="00C75F88">
        <w:rPr>
          <w:rFonts w:cs="Calibri"/>
          <w:b/>
          <w:bCs/>
        </w:rPr>
        <w:fldChar w:fldCharType="begin"/>
      </w:r>
      <w:r w:rsidRPr="00C75F88">
        <w:rPr>
          <w:rFonts w:cs="Calibri"/>
          <w:b/>
          <w:bCs/>
        </w:rPr>
        <w:instrText xml:space="preserve"> TOC \h \z \c "Figure" </w:instrText>
      </w:r>
      <w:r w:rsidRPr="00C75F88">
        <w:rPr>
          <w:rFonts w:cs="Calibri"/>
          <w:b/>
          <w:bCs/>
        </w:rPr>
        <w:fldChar w:fldCharType="separate"/>
      </w:r>
      <w:hyperlink w:anchor="_Toc166580296" w:history="1">
        <w:r w:rsidR="006A6A33" w:rsidRPr="00DC0FAB">
          <w:rPr>
            <w:rStyle w:val="Hyperlink"/>
            <w:noProof/>
          </w:rPr>
          <w:t>Figure 1: Gambling participation by activity in NZ (HLS, 2020)</w:t>
        </w:r>
        <w:r w:rsidR="006A6A33">
          <w:rPr>
            <w:noProof/>
            <w:webHidden/>
          </w:rPr>
          <w:tab/>
        </w:r>
        <w:r w:rsidR="006A6A33">
          <w:rPr>
            <w:noProof/>
            <w:webHidden/>
          </w:rPr>
          <w:fldChar w:fldCharType="begin"/>
        </w:r>
        <w:r w:rsidR="006A6A33">
          <w:rPr>
            <w:noProof/>
            <w:webHidden/>
          </w:rPr>
          <w:instrText xml:space="preserve"> PAGEREF _Toc166580296 \h </w:instrText>
        </w:r>
        <w:r w:rsidR="006A6A33">
          <w:rPr>
            <w:noProof/>
            <w:webHidden/>
          </w:rPr>
        </w:r>
        <w:r w:rsidR="006A6A33">
          <w:rPr>
            <w:noProof/>
            <w:webHidden/>
          </w:rPr>
          <w:fldChar w:fldCharType="separate"/>
        </w:r>
        <w:r w:rsidR="004F4DA7">
          <w:rPr>
            <w:noProof/>
            <w:webHidden/>
          </w:rPr>
          <w:t>19</w:t>
        </w:r>
        <w:r w:rsidR="006A6A33">
          <w:rPr>
            <w:noProof/>
            <w:webHidden/>
          </w:rPr>
          <w:fldChar w:fldCharType="end"/>
        </w:r>
      </w:hyperlink>
    </w:p>
    <w:p w14:paraId="256ABFEB" w14:textId="13854DD9" w:rsidR="006A6A33" w:rsidRDefault="0000000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166580297" w:history="1">
        <w:r w:rsidR="006A6A33" w:rsidRPr="00DC0FAB">
          <w:rPr>
            <w:rStyle w:val="Hyperlink"/>
            <w:noProof/>
          </w:rPr>
          <w:t>Figure 2: Gambling participation by ethnicity (HLS, 2020)</w:t>
        </w:r>
        <w:r w:rsidR="006A6A33">
          <w:rPr>
            <w:noProof/>
            <w:webHidden/>
          </w:rPr>
          <w:tab/>
        </w:r>
        <w:r w:rsidR="006A6A33">
          <w:rPr>
            <w:noProof/>
            <w:webHidden/>
          </w:rPr>
          <w:fldChar w:fldCharType="begin"/>
        </w:r>
        <w:r w:rsidR="006A6A33">
          <w:rPr>
            <w:noProof/>
            <w:webHidden/>
          </w:rPr>
          <w:instrText xml:space="preserve"> PAGEREF _Toc166580297 \h </w:instrText>
        </w:r>
        <w:r w:rsidR="006A6A33">
          <w:rPr>
            <w:noProof/>
            <w:webHidden/>
          </w:rPr>
        </w:r>
        <w:r w:rsidR="006A6A33">
          <w:rPr>
            <w:noProof/>
            <w:webHidden/>
          </w:rPr>
          <w:fldChar w:fldCharType="separate"/>
        </w:r>
        <w:r w:rsidR="004F4DA7">
          <w:rPr>
            <w:noProof/>
            <w:webHidden/>
          </w:rPr>
          <w:t>20</w:t>
        </w:r>
        <w:r w:rsidR="006A6A33">
          <w:rPr>
            <w:noProof/>
            <w:webHidden/>
          </w:rPr>
          <w:fldChar w:fldCharType="end"/>
        </w:r>
      </w:hyperlink>
    </w:p>
    <w:p w14:paraId="0B51617B" w14:textId="62D1046D" w:rsidR="006A6A33" w:rsidRDefault="0000000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166580298" w:history="1">
        <w:r w:rsidR="006A6A33" w:rsidRPr="00DC0FAB">
          <w:rPr>
            <w:rStyle w:val="Hyperlink"/>
            <w:noProof/>
          </w:rPr>
          <w:t>Figure 3: Number of Class 4 EGMs in NZ (DIA, 2023)</w:t>
        </w:r>
        <w:r w:rsidR="006A6A33">
          <w:rPr>
            <w:noProof/>
            <w:webHidden/>
          </w:rPr>
          <w:tab/>
        </w:r>
        <w:r w:rsidR="006A6A33">
          <w:rPr>
            <w:noProof/>
            <w:webHidden/>
          </w:rPr>
          <w:fldChar w:fldCharType="begin"/>
        </w:r>
        <w:r w:rsidR="006A6A33">
          <w:rPr>
            <w:noProof/>
            <w:webHidden/>
          </w:rPr>
          <w:instrText xml:space="preserve"> PAGEREF _Toc166580298 \h </w:instrText>
        </w:r>
        <w:r w:rsidR="006A6A33">
          <w:rPr>
            <w:noProof/>
            <w:webHidden/>
          </w:rPr>
        </w:r>
        <w:r w:rsidR="006A6A33">
          <w:rPr>
            <w:noProof/>
            <w:webHidden/>
          </w:rPr>
          <w:fldChar w:fldCharType="separate"/>
        </w:r>
        <w:r w:rsidR="004F4DA7">
          <w:rPr>
            <w:noProof/>
            <w:webHidden/>
          </w:rPr>
          <w:t>24</w:t>
        </w:r>
        <w:r w:rsidR="006A6A33">
          <w:rPr>
            <w:noProof/>
            <w:webHidden/>
          </w:rPr>
          <w:fldChar w:fldCharType="end"/>
        </w:r>
      </w:hyperlink>
    </w:p>
    <w:p w14:paraId="4C156D9F" w14:textId="3108D494" w:rsidR="006A6A33" w:rsidRDefault="0000000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166580299" w:history="1">
        <w:r w:rsidR="006A6A33" w:rsidRPr="00DC0FAB">
          <w:rPr>
            <w:rStyle w:val="Hyperlink"/>
            <w:noProof/>
          </w:rPr>
          <w:t>Figure 4: Number of Class 4 venues in NZ (DIA, 2023)</w:t>
        </w:r>
        <w:r w:rsidR="006A6A33">
          <w:rPr>
            <w:noProof/>
            <w:webHidden/>
          </w:rPr>
          <w:tab/>
        </w:r>
        <w:r w:rsidR="006A6A33">
          <w:rPr>
            <w:noProof/>
            <w:webHidden/>
          </w:rPr>
          <w:fldChar w:fldCharType="begin"/>
        </w:r>
        <w:r w:rsidR="006A6A33">
          <w:rPr>
            <w:noProof/>
            <w:webHidden/>
          </w:rPr>
          <w:instrText xml:space="preserve"> PAGEREF _Toc166580299 \h </w:instrText>
        </w:r>
        <w:r w:rsidR="006A6A33">
          <w:rPr>
            <w:noProof/>
            <w:webHidden/>
          </w:rPr>
        </w:r>
        <w:r w:rsidR="006A6A33">
          <w:rPr>
            <w:noProof/>
            <w:webHidden/>
          </w:rPr>
          <w:fldChar w:fldCharType="separate"/>
        </w:r>
        <w:r w:rsidR="004F4DA7">
          <w:rPr>
            <w:noProof/>
            <w:webHidden/>
          </w:rPr>
          <w:t>25</w:t>
        </w:r>
        <w:r w:rsidR="006A6A33">
          <w:rPr>
            <w:noProof/>
            <w:webHidden/>
          </w:rPr>
          <w:fldChar w:fldCharType="end"/>
        </w:r>
      </w:hyperlink>
    </w:p>
    <w:p w14:paraId="6D1B409B" w14:textId="577A2C16" w:rsidR="006A6A33" w:rsidRDefault="0000000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166580300" w:history="1">
        <w:r w:rsidR="006A6A33" w:rsidRPr="00DC0FAB">
          <w:rPr>
            <w:rStyle w:val="Hyperlink"/>
            <w:noProof/>
          </w:rPr>
          <w:t>Figure 5: Number of Class 4 venues by deprivation rating (DIA, 2023)</w:t>
        </w:r>
        <w:r w:rsidR="006A6A33">
          <w:rPr>
            <w:noProof/>
            <w:webHidden/>
          </w:rPr>
          <w:tab/>
        </w:r>
        <w:r w:rsidR="006A6A33">
          <w:rPr>
            <w:noProof/>
            <w:webHidden/>
          </w:rPr>
          <w:fldChar w:fldCharType="begin"/>
        </w:r>
        <w:r w:rsidR="006A6A33">
          <w:rPr>
            <w:noProof/>
            <w:webHidden/>
          </w:rPr>
          <w:instrText xml:space="preserve"> PAGEREF _Toc166580300 \h </w:instrText>
        </w:r>
        <w:r w:rsidR="006A6A33">
          <w:rPr>
            <w:noProof/>
            <w:webHidden/>
          </w:rPr>
        </w:r>
        <w:r w:rsidR="006A6A33">
          <w:rPr>
            <w:noProof/>
            <w:webHidden/>
          </w:rPr>
          <w:fldChar w:fldCharType="separate"/>
        </w:r>
        <w:r w:rsidR="004F4DA7">
          <w:rPr>
            <w:noProof/>
            <w:webHidden/>
          </w:rPr>
          <w:t>26</w:t>
        </w:r>
        <w:r w:rsidR="006A6A33">
          <w:rPr>
            <w:noProof/>
            <w:webHidden/>
          </w:rPr>
          <w:fldChar w:fldCharType="end"/>
        </w:r>
      </w:hyperlink>
    </w:p>
    <w:p w14:paraId="498A5DF7" w14:textId="0DBF59B9" w:rsidR="006A6A33" w:rsidRDefault="0000000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166580301" w:history="1">
        <w:r w:rsidR="006A6A33" w:rsidRPr="00DC0FAB">
          <w:rPr>
            <w:rStyle w:val="Hyperlink"/>
            <w:noProof/>
          </w:rPr>
          <w:t>Figure 6: Gambling policies in Territorial Local Authorities (Ministry of Health, 2023)</w:t>
        </w:r>
        <w:r w:rsidR="006A6A33">
          <w:rPr>
            <w:noProof/>
            <w:webHidden/>
          </w:rPr>
          <w:tab/>
        </w:r>
        <w:r w:rsidR="006A6A33">
          <w:rPr>
            <w:noProof/>
            <w:webHidden/>
          </w:rPr>
          <w:fldChar w:fldCharType="begin"/>
        </w:r>
        <w:r w:rsidR="006A6A33">
          <w:rPr>
            <w:noProof/>
            <w:webHidden/>
          </w:rPr>
          <w:instrText xml:space="preserve"> PAGEREF _Toc166580301 \h </w:instrText>
        </w:r>
        <w:r w:rsidR="006A6A33">
          <w:rPr>
            <w:noProof/>
            <w:webHidden/>
          </w:rPr>
        </w:r>
        <w:r w:rsidR="006A6A33">
          <w:rPr>
            <w:noProof/>
            <w:webHidden/>
          </w:rPr>
          <w:fldChar w:fldCharType="separate"/>
        </w:r>
        <w:r w:rsidR="004F4DA7">
          <w:rPr>
            <w:noProof/>
            <w:webHidden/>
          </w:rPr>
          <w:t>27</w:t>
        </w:r>
        <w:r w:rsidR="006A6A33">
          <w:rPr>
            <w:noProof/>
            <w:webHidden/>
          </w:rPr>
          <w:fldChar w:fldCharType="end"/>
        </w:r>
      </w:hyperlink>
    </w:p>
    <w:p w14:paraId="5C4396AF" w14:textId="70939F73" w:rsidR="006A6A33" w:rsidRDefault="0000000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166580302" w:history="1">
        <w:r w:rsidR="006A6A33" w:rsidRPr="00DC0FAB">
          <w:rPr>
            <w:rStyle w:val="Hyperlink"/>
            <w:noProof/>
          </w:rPr>
          <w:t xml:space="preserve">Figure 7: Estimated market share of New Zealand online gambling in 2020 </w:t>
        </w:r>
        <w:r w:rsidR="006A6A33" w:rsidRPr="00DC0FAB">
          <w:rPr>
            <w:rStyle w:val="Hyperlink"/>
            <w:rFonts w:ascii="Segoe UI" w:hAnsi="Segoe UI" w:cs="Segoe UI"/>
            <w:noProof/>
          </w:rPr>
          <w:t>(Bevin, 2022)</w:t>
        </w:r>
        <w:r w:rsidR="006A6A33">
          <w:rPr>
            <w:noProof/>
            <w:webHidden/>
          </w:rPr>
          <w:tab/>
        </w:r>
        <w:r w:rsidR="006A6A33">
          <w:rPr>
            <w:noProof/>
            <w:webHidden/>
          </w:rPr>
          <w:fldChar w:fldCharType="begin"/>
        </w:r>
        <w:r w:rsidR="006A6A33">
          <w:rPr>
            <w:noProof/>
            <w:webHidden/>
          </w:rPr>
          <w:instrText xml:space="preserve"> PAGEREF _Toc166580302 \h </w:instrText>
        </w:r>
        <w:r w:rsidR="006A6A33">
          <w:rPr>
            <w:noProof/>
            <w:webHidden/>
          </w:rPr>
        </w:r>
        <w:r w:rsidR="006A6A33">
          <w:rPr>
            <w:noProof/>
            <w:webHidden/>
          </w:rPr>
          <w:fldChar w:fldCharType="separate"/>
        </w:r>
        <w:r w:rsidR="004F4DA7">
          <w:rPr>
            <w:noProof/>
            <w:webHidden/>
          </w:rPr>
          <w:t>30</w:t>
        </w:r>
        <w:r w:rsidR="006A6A33">
          <w:rPr>
            <w:noProof/>
            <w:webHidden/>
          </w:rPr>
          <w:fldChar w:fldCharType="end"/>
        </w:r>
      </w:hyperlink>
    </w:p>
    <w:p w14:paraId="27F89C21" w14:textId="7169156B" w:rsidR="006A6A33" w:rsidRDefault="0000000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166580303" w:history="1">
        <w:r w:rsidR="006A6A33" w:rsidRPr="00DC0FAB">
          <w:rPr>
            <w:rStyle w:val="Hyperlink"/>
            <w:noProof/>
          </w:rPr>
          <w:t xml:space="preserve">Figure 8: Gaming machine profit per quarter </w:t>
        </w:r>
        <w:r w:rsidR="006A6A33" w:rsidRPr="00DC0FAB">
          <w:rPr>
            <w:rStyle w:val="Hyperlink"/>
            <w:rFonts w:cs="Calibri"/>
            <w:noProof/>
          </w:rPr>
          <w:t>(Department of Internal Affairs, 2023c)</w:t>
        </w:r>
        <w:r w:rsidR="006A6A33">
          <w:rPr>
            <w:noProof/>
            <w:webHidden/>
          </w:rPr>
          <w:tab/>
        </w:r>
        <w:r w:rsidR="006A6A33">
          <w:rPr>
            <w:noProof/>
            <w:webHidden/>
          </w:rPr>
          <w:fldChar w:fldCharType="begin"/>
        </w:r>
        <w:r w:rsidR="006A6A33">
          <w:rPr>
            <w:noProof/>
            <w:webHidden/>
          </w:rPr>
          <w:instrText xml:space="preserve"> PAGEREF _Toc166580303 \h </w:instrText>
        </w:r>
        <w:r w:rsidR="006A6A33">
          <w:rPr>
            <w:noProof/>
            <w:webHidden/>
          </w:rPr>
        </w:r>
        <w:r w:rsidR="006A6A33">
          <w:rPr>
            <w:noProof/>
            <w:webHidden/>
          </w:rPr>
          <w:fldChar w:fldCharType="separate"/>
        </w:r>
        <w:r w:rsidR="004F4DA7">
          <w:rPr>
            <w:noProof/>
            <w:webHidden/>
          </w:rPr>
          <w:t>32</w:t>
        </w:r>
        <w:r w:rsidR="006A6A33">
          <w:rPr>
            <w:noProof/>
            <w:webHidden/>
          </w:rPr>
          <w:fldChar w:fldCharType="end"/>
        </w:r>
      </w:hyperlink>
    </w:p>
    <w:p w14:paraId="078A6EB1" w14:textId="0C56AADC" w:rsidR="006A6A33" w:rsidRDefault="0000000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166580304" w:history="1">
        <w:r w:rsidR="006A6A33" w:rsidRPr="00DC0FAB">
          <w:rPr>
            <w:rStyle w:val="Hyperlink"/>
            <w:noProof/>
          </w:rPr>
          <w:t xml:space="preserve">Figure 9: Total return to communities through gaming machine profits of Non-Club Societies &amp; Trusts and Clubs </w:t>
        </w:r>
        <w:r w:rsidR="006A6A33" w:rsidRPr="00DC0FAB">
          <w:rPr>
            <w:rStyle w:val="Hyperlink"/>
            <w:rFonts w:ascii="Segoe UI" w:hAnsi="Segoe UI" w:cs="Segoe UI"/>
            <w:noProof/>
          </w:rPr>
          <w:t>(Department of Internal Affairs, 2023b)</w:t>
        </w:r>
        <w:r w:rsidR="006A6A33">
          <w:rPr>
            <w:noProof/>
            <w:webHidden/>
          </w:rPr>
          <w:tab/>
        </w:r>
        <w:r w:rsidR="006A6A33">
          <w:rPr>
            <w:noProof/>
            <w:webHidden/>
          </w:rPr>
          <w:fldChar w:fldCharType="begin"/>
        </w:r>
        <w:r w:rsidR="006A6A33">
          <w:rPr>
            <w:noProof/>
            <w:webHidden/>
          </w:rPr>
          <w:instrText xml:space="preserve"> PAGEREF _Toc166580304 \h </w:instrText>
        </w:r>
        <w:r w:rsidR="006A6A33">
          <w:rPr>
            <w:noProof/>
            <w:webHidden/>
          </w:rPr>
        </w:r>
        <w:r w:rsidR="006A6A33">
          <w:rPr>
            <w:noProof/>
            <w:webHidden/>
          </w:rPr>
          <w:fldChar w:fldCharType="separate"/>
        </w:r>
        <w:r w:rsidR="004F4DA7">
          <w:rPr>
            <w:noProof/>
            <w:webHidden/>
          </w:rPr>
          <w:t>34</w:t>
        </w:r>
        <w:r w:rsidR="006A6A33">
          <w:rPr>
            <w:noProof/>
            <w:webHidden/>
          </w:rPr>
          <w:fldChar w:fldCharType="end"/>
        </w:r>
      </w:hyperlink>
    </w:p>
    <w:p w14:paraId="64C52177" w14:textId="45D33A82" w:rsidR="006A6A33" w:rsidRDefault="0000000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166580305" w:history="1">
        <w:r w:rsidR="006A6A33" w:rsidRPr="00DC0FAB">
          <w:rPr>
            <w:rStyle w:val="Hyperlink"/>
            <w:noProof/>
          </w:rPr>
          <w:t xml:space="preserve">Figure 10. Approved pokie grants in 2022 by main category </w:t>
        </w:r>
        <w:r w:rsidR="006A6A33" w:rsidRPr="00DC0FAB">
          <w:rPr>
            <w:rStyle w:val="Hyperlink"/>
            <w:rFonts w:ascii="Segoe UI" w:hAnsi="Segoe UI" w:cs="Segoe UI"/>
            <w:noProof/>
          </w:rPr>
          <w:t>(Department of Internal Affairs, 2022)</w:t>
        </w:r>
        <w:r w:rsidR="006A6A33">
          <w:rPr>
            <w:noProof/>
            <w:webHidden/>
          </w:rPr>
          <w:tab/>
        </w:r>
        <w:r w:rsidR="006A6A33">
          <w:rPr>
            <w:noProof/>
            <w:webHidden/>
          </w:rPr>
          <w:fldChar w:fldCharType="begin"/>
        </w:r>
        <w:r w:rsidR="006A6A33">
          <w:rPr>
            <w:noProof/>
            <w:webHidden/>
          </w:rPr>
          <w:instrText xml:space="preserve"> PAGEREF _Toc166580305 \h </w:instrText>
        </w:r>
        <w:r w:rsidR="006A6A33">
          <w:rPr>
            <w:noProof/>
            <w:webHidden/>
          </w:rPr>
        </w:r>
        <w:r w:rsidR="006A6A33">
          <w:rPr>
            <w:noProof/>
            <w:webHidden/>
          </w:rPr>
          <w:fldChar w:fldCharType="separate"/>
        </w:r>
        <w:r w:rsidR="004F4DA7">
          <w:rPr>
            <w:noProof/>
            <w:webHidden/>
          </w:rPr>
          <w:t>35</w:t>
        </w:r>
        <w:r w:rsidR="006A6A33">
          <w:rPr>
            <w:noProof/>
            <w:webHidden/>
          </w:rPr>
          <w:fldChar w:fldCharType="end"/>
        </w:r>
      </w:hyperlink>
    </w:p>
    <w:p w14:paraId="79A1AFAA" w14:textId="4D560601" w:rsidR="006A6A33" w:rsidRDefault="0000000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166580306" w:history="1">
        <w:r w:rsidR="006A6A33" w:rsidRPr="00DC0FAB">
          <w:rPr>
            <w:rStyle w:val="Hyperlink"/>
            <w:rFonts w:cs="Calibri"/>
            <w:noProof/>
          </w:rPr>
          <w:t>Figure 11: Prevalence of moderate-risk and problem gambling by ethnicity (Te Whatu Ora, 2020)</w:t>
        </w:r>
        <w:r w:rsidR="006A6A33">
          <w:rPr>
            <w:noProof/>
            <w:webHidden/>
          </w:rPr>
          <w:tab/>
        </w:r>
        <w:r w:rsidR="006A6A33">
          <w:rPr>
            <w:noProof/>
            <w:webHidden/>
          </w:rPr>
          <w:fldChar w:fldCharType="begin"/>
        </w:r>
        <w:r w:rsidR="006A6A33">
          <w:rPr>
            <w:noProof/>
            <w:webHidden/>
          </w:rPr>
          <w:instrText xml:space="preserve"> PAGEREF _Toc166580306 \h </w:instrText>
        </w:r>
        <w:r w:rsidR="006A6A33">
          <w:rPr>
            <w:noProof/>
            <w:webHidden/>
          </w:rPr>
        </w:r>
        <w:r w:rsidR="006A6A33">
          <w:rPr>
            <w:noProof/>
            <w:webHidden/>
          </w:rPr>
          <w:fldChar w:fldCharType="separate"/>
        </w:r>
        <w:r w:rsidR="004F4DA7">
          <w:rPr>
            <w:noProof/>
            <w:webHidden/>
          </w:rPr>
          <w:t>38</w:t>
        </w:r>
        <w:r w:rsidR="006A6A33">
          <w:rPr>
            <w:noProof/>
            <w:webHidden/>
          </w:rPr>
          <w:fldChar w:fldCharType="end"/>
        </w:r>
      </w:hyperlink>
    </w:p>
    <w:p w14:paraId="4ADCFA01" w14:textId="0F9E6B65" w:rsidR="006A6A33" w:rsidRDefault="0000000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166580307" w:history="1">
        <w:r w:rsidR="006A6A33" w:rsidRPr="00DC0FAB">
          <w:rPr>
            <w:rStyle w:val="Hyperlink"/>
            <w:rFonts w:cs="Calibri"/>
            <w:noProof/>
          </w:rPr>
          <w:t>Figure 12. Harm presentations to gambling harm intervention services per 10,000 participants in 2020 (Department of Internal Affairs, 2023a; Statistics NZ, 2024; Te Whatu Ora, 2020)</w:t>
        </w:r>
        <w:r w:rsidR="006A6A33">
          <w:rPr>
            <w:noProof/>
            <w:webHidden/>
          </w:rPr>
          <w:tab/>
        </w:r>
        <w:r w:rsidR="006A6A33">
          <w:rPr>
            <w:noProof/>
            <w:webHidden/>
          </w:rPr>
          <w:fldChar w:fldCharType="begin"/>
        </w:r>
        <w:r w:rsidR="006A6A33">
          <w:rPr>
            <w:noProof/>
            <w:webHidden/>
          </w:rPr>
          <w:instrText xml:space="preserve"> PAGEREF _Toc166580307 \h </w:instrText>
        </w:r>
        <w:r w:rsidR="006A6A33">
          <w:rPr>
            <w:noProof/>
            <w:webHidden/>
          </w:rPr>
        </w:r>
        <w:r w:rsidR="006A6A33">
          <w:rPr>
            <w:noProof/>
            <w:webHidden/>
          </w:rPr>
          <w:fldChar w:fldCharType="separate"/>
        </w:r>
        <w:r w:rsidR="004F4DA7">
          <w:rPr>
            <w:noProof/>
            <w:webHidden/>
          </w:rPr>
          <w:t>56</w:t>
        </w:r>
        <w:r w:rsidR="006A6A33">
          <w:rPr>
            <w:noProof/>
            <w:webHidden/>
          </w:rPr>
          <w:fldChar w:fldCharType="end"/>
        </w:r>
      </w:hyperlink>
    </w:p>
    <w:p w14:paraId="1A6FCBE9" w14:textId="26E15B6E" w:rsidR="006A6A33" w:rsidRDefault="0000000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166580308" w:history="1">
        <w:r w:rsidR="006A6A33" w:rsidRPr="00DC0FAB">
          <w:rPr>
            <w:rStyle w:val="Hyperlink"/>
            <w:rFonts w:cs="Calibri"/>
            <w:noProof/>
          </w:rPr>
          <w:t>Figure 13. Expenditure per player by gambling type in 2020 (Bevin, 2022; Department of Internal Affairs, 2023a; Statistics NZ, 2024; Te Whatu Ora, 2020)</w:t>
        </w:r>
        <w:r w:rsidR="006A6A33">
          <w:rPr>
            <w:noProof/>
            <w:webHidden/>
          </w:rPr>
          <w:tab/>
        </w:r>
        <w:r w:rsidR="006A6A33">
          <w:rPr>
            <w:noProof/>
            <w:webHidden/>
          </w:rPr>
          <w:fldChar w:fldCharType="begin"/>
        </w:r>
        <w:r w:rsidR="006A6A33">
          <w:rPr>
            <w:noProof/>
            <w:webHidden/>
          </w:rPr>
          <w:instrText xml:space="preserve"> PAGEREF _Toc166580308 \h </w:instrText>
        </w:r>
        <w:r w:rsidR="006A6A33">
          <w:rPr>
            <w:noProof/>
            <w:webHidden/>
          </w:rPr>
        </w:r>
        <w:r w:rsidR="006A6A33">
          <w:rPr>
            <w:noProof/>
            <w:webHidden/>
          </w:rPr>
          <w:fldChar w:fldCharType="separate"/>
        </w:r>
        <w:r w:rsidR="004F4DA7">
          <w:rPr>
            <w:noProof/>
            <w:webHidden/>
          </w:rPr>
          <w:t>57</w:t>
        </w:r>
        <w:r w:rsidR="006A6A33">
          <w:rPr>
            <w:noProof/>
            <w:webHidden/>
          </w:rPr>
          <w:fldChar w:fldCharType="end"/>
        </w:r>
      </w:hyperlink>
    </w:p>
    <w:p w14:paraId="29F8C4A6" w14:textId="4DEE716D" w:rsidR="00592693" w:rsidRPr="00C75F88" w:rsidRDefault="00592693" w:rsidP="0079394C">
      <w:pPr>
        <w:spacing w:after="60"/>
        <w:rPr>
          <w:rFonts w:cs="Calibri"/>
        </w:rPr>
      </w:pPr>
      <w:r w:rsidRPr="00C75F88">
        <w:rPr>
          <w:rFonts w:cs="Calibri"/>
        </w:rPr>
        <w:fldChar w:fldCharType="end"/>
      </w:r>
    </w:p>
    <w:p w14:paraId="479CDB69" w14:textId="77777777" w:rsidR="00592693" w:rsidRPr="00C75F88" w:rsidRDefault="00592693" w:rsidP="00592693">
      <w:pPr>
        <w:spacing w:line="259" w:lineRule="auto"/>
        <w:rPr>
          <w:rFonts w:cs="Calibri"/>
        </w:rPr>
      </w:pPr>
    </w:p>
    <w:p w14:paraId="06E04ADC" w14:textId="77777777" w:rsidR="00E2764A" w:rsidRPr="005B0DFA" w:rsidRDefault="00E2764A" w:rsidP="00C75F88">
      <w:pPr>
        <w:pStyle w:val="Heading5"/>
        <w:numPr>
          <w:ilvl w:val="0"/>
          <w:numId w:val="0"/>
        </w:numPr>
      </w:pPr>
      <w:bookmarkStart w:id="0" w:name="_Toc166507357"/>
      <w:r w:rsidRPr="005B0DFA">
        <w:lastRenderedPageBreak/>
        <w:t>Glossary</w:t>
      </w:r>
      <w:bookmarkEnd w:id="0"/>
    </w:p>
    <w:tbl>
      <w:tblPr>
        <w:tblStyle w:val="zGlossaryTable"/>
        <w:tblW w:w="0" w:type="auto"/>
        <w:tblLook w:val="04A0" w:firstRow="1" w:lastRow="0" w:firstColumn="1" w:lastColumn="0" w:noHBand="0" w:noVBand="1"/>
      </w:tblPr>
      <w:tblGrid>
        <w:gridCol w:w="2977"/>
        <w:gridCol w:w="6039"/>
      </w:tblGrid>
      <w:tr w:rsidR="00332C00" w:rsidRPr="00C2659E" w14:paraId="2C2B05B6" w14:textId="77777777">
        <w:trPr>
          <w:cnfStyle w:val="100000000000" w:firstRow="1" w:lastRow="0" w:firstColumn="0" w:lastColumn="0" w:oddVBand="0" w:evenVBand="0" w:oddHBand="0" w:evenHBand="0" w:firstRowFirstColumn="0" w:firstRowLastColumn="0" w:lastRowFirstColumn="0" w:lastRowLastColumn="0"/>
        </w:trPr>
        <w:tc>
          <w:tcPr>
            <w:tcW w:w="2977" w:type="dxa"/>
          </w:tcPr>
          <w:p w14:paraId="69476B8A" w14:textId="77777777" w:rsidR="00332C00" w:rsidRPr="00C2659E" w:rsidRDefault="00332C00">
            <w:r w:rsidRPr="00C2659E">
              <w:t>Abbreviation</w:t>
            </w:r>
          </w:p>
        </w:tc>
        <w:tc>
          <w:tcPr>
            <w:tcW w:w="6039" w:type="dxa"/>
          </w:tcPr>
          <w:p w14:paraId="73F57F8C" w14:textId="77777777" w:rsidR="00332C00" w:rsidRPr="00C2659E" w:rsidRDefault="00332C00">
            <w:r w:rsidRPr="00C2659E">
              <w:t>Stands for</w:t>
            </w:r>
          </w:p>
        </w:tc>
      </w:tr>
      <w:tr w:rsidR="00332C00" w:rsidRPr="00C2659E" w14:paraId="165C53CC" w14:textId="77777777">
        <w:tc>
          <w:tcPr>
            <w:tcW w:w="2977" w:type="dxa"/>
          </w:tcPr>
          <w:p w14:paraId="0986E7AB" w14:textId="77777777" w:rsidR="00332C00" w:rsidRPr="00C2659E" w:rsidRDefault="00332C00">
            <w:r>
              <w:t>EGM</w:t>
            </w:r>
          </w:p>
        </w:tc>
        <w:tc>
          <w:tcPr>
            <w:tcW w:w="6039" w:type="dxa"/>
          </w:tcPr>
          <w:p w14:paraId="177248B7" w14:textId="77777777" w:rsidR="00332C00" w:rsidRPr="00C2659E" w:rsidRDefault="00332C00">
            <w:r>
              <w:t>Electronic gaming machine</w:t>
            </w:r>
          </w:p>
        </w:tc>
      </w:tr>
      <w:tr w:rsidR="00332C00" w:rsidRPr="00C2659E" w14:paraId="323A8B80" w14:textId="77777777">
        <w:tc>
          <w:tcPr>
            <w:tcW w:w="2977" w:type="dxa"/>
          </w:tcPr>
          <w:p w14:paraId="6F077F3D" w14:textId="77777777" w:rsidR="00332C00" w:rsidRDefault="00332C00">
            <w:r>
              <w:t>GMPs</w:t>
            </w:r>
          </w:p>
        </w:tc>
        <w:tc>
          <w:tcPr>
            <w:tcW w:w="6039" w:type="dxa"/>
          </w:tcPr>
          <w:p w14:paraId="0DA947F7" w14:textId="77777777" w:rsidR="00332C00" w:rsidRDefault="00332C00">
            <w:r>
              <w:t>Gaming machine profits</w:t>
            </w:r>
          </w:p>
        </w:tc>
      </w:tr>
      <w:tr w:rsidR="00332C00" w:rsidRPr="00C2659E" w14:paraId="6DB107C7" w14:textId="77777777">
        <w:tc>
          <w:tcPr>
            <w:tcW w:w="2977" w:type="dxa"/>
          </w:tcPr>
          <w:p w14:paraId="0B066CE5" w14:textId="77777777" w:rsidR="00332C00" w:rsidRPr="00C2659E" w:rsidRDefault="00332C00">
            <w:r>
              <w:t>HLS</w:t>
            </w:r>
          </w:p>
        </w:tc>
        <w:tc>
          <w:tcPr>
            <w:tcW w:w="6039" w:type="dxa"/>
          </w:tcPr>
          <w:p w14:paraId="108C33EF" w14:textId="36BFD79D" w:rsidR="00332C00" w:rsidRPr="00C2659E" w:rsidRDefault="00332C00">
            <w:r>
              <w:t>Health and Lifestyle</w:t>
            </w:r>
            <w:r w:rsidR="004E00F7">
              <w:t>s</w:t>
            </w:r>
            <w:r>
              <w:t xml:space="preserve"> Survey</w:t>
            </w:r>
          </w:p>
        </w:tc>
      </w:tr>
      <w:tr w:rsidR="00332C00" w:rsidRPr="00C2659E" w14:paraId="1CEDC272" w14:textId="77777777">
        <w:tc>
          <w:tcPr>
            <w:tcW w:w="2977" w:type="dxa"/>
          </w:tcPr>
          <w:p w14:paraId="3B8440B9" w14:textId="77777777" w:rsidR="00332C00" w:rsidRDefault="00332C00">
            <w:r>
              <w:t>JITAI</w:t>
            </w:r>
          </w:p>
        </w:tc>
        <w:tc>
          <w:tcPr>
            <w:tcW w:w="6039" w:type="dxa"/>
          </w:tcPr>
          <w:p w14:paraId="5BB3D48B" w14:textId="77777777" w:rsidR="00332C00" w:rsidRDefault="00332C00">
            <w:r>
              <w:t>Just-In-Time Adaptive Intervention</w:t>
            </w:r>
          </w:p>
        </w:tc>
      </w:tr>
      <w:tr w:rsidR="00332C00" w:rsidRPr="00C2659E" w14:paraId="641E42DF" w14:textId="77777777">
        <w:tc>
          <w:tcPr>
            <w:tcW w:w="2977" w:type="dxa"/>
          </w:tcPr>
          <w:p w14:paraId="6849631B" w14:textId="77777777" w:rsidR="00332C00" w:rsidRDefault="00332C00">
            <w:r>
              <w:t>NGS</w:t>
            </w:r>
          </w:p>
        </w:tc>
        <w:tc>
          <w:tcPr>
            <w:tcW w:w="6039" w:type="dxa"/>
          </w:tcPr>
          <w:p w14:paraId="626BFEE3" w14:textId="77777777" w:rsidR="00332C00" w:rsidRDefault="00332C00">
            <w:r>
              <w:t>National Gambling Study</w:t>
            </w:r>
          </w:p>
        </w:tc>
      </w:tr>
      <w:tr w:rsidR="00332C00" w:rsidRPr="00C2659E" w14:paraId="2D0AB3EE" w14:textId="77777777">
        <w:tc>
          <w:tcPr>
            <w:tcW w:w="2977" w:type="dxa"/>
          </w:tcPr>
          <w:p w14:paraId="77F8613D" w14:textId="77777777" w:rsidR="00332C00" w:rsidRDefault="00332C00">
            <w:r>
              <w:t>NSOs</w:t>
            </w:r>
          </w:p>
        </w:tc>
        <w:tc>
          <w:tcPr>
            <w:tcW w:w="6039" w:type="dxa"/>
          </w:tcPr>
          <w:p w14:paraId="0EB76783" w14:textId="77777777" w:rsidR="00332C00" w:rsidRDefault="00332C00">
            <w:r>
              <w:t>National Sporting Organisations</w:t>
            </w:r>
          </w:p>
        </w:tc>
      </w:tr>
      <w:tr w:rsidR="00332C00" w:rsidRPr="00C2659E" w14:paraId="21288316" w14:textId="77777777">
        <w:tc>
          <w:tcPr>
            <w:tcW w:w="2977" w:type="dxa"/>
          </w:tcPr>
          <w:p w14:paraId="0EA572CD" w14:textId="77777777" w:rsidR="00332C00" w:rsidRDefault="00332C00">
            <w:r>
              <w:t>PGF</w:t>
            </w:r>
          </w:p>
        </w:tc>
        <w:tc>
          <w:tcPr>
            <w:tcW w:w="6039" w:type="dxa"/>
          </w:tcPr>
          <w:p w14:paraId="7C31E4EE" w14:textId="77777777" w:rsidR="00332C00" w:rsidRDefault="00332C00">
            <w:r>
              <w:t>Problem Gambling Foundation</w:t>
            </w:r>
          </w:p>
        </w:tc>
      </w:tr>
      <w:tr w:rsidR="00332C00" w:rsidRPr="00C2659E" w14:paraId="1C2DD4AB" w14:textId="77777777">
        <w:tc>
          <w:tcPr>
            <w:tcW w:w="2977" w:type="dxa"/>
          </w:tcPr>
          <w:p w14:paraId="2A39A9F3" w14:textId="77777777" w:rsidR="00332C00" w:rsidRPr="00C2659E" w:rsidRDefault="00332C00">
            <w:r>
              <w:t>PGSI</w:t>
            </w:r>
          </w:p>
        </w:tc>
        <w:tc>
          <w:tcPr>
            <w:tcW w:w="6039" w:type="dxa"/>
          </w:tcPr>
          <w:p w14:paraId="0139A9A5" w14:textId="77777777" w:rsidR="00332C00" w:rsidRPr="00C2659E" w:rsidRDefault="00332C00">
            <w:r>
              <w:t>Problem Gambling Severity Index</w:t>
            </w:r>
          </w:p>
        </w:tc>
      </w:tr>
      <w:tr w:rsidR="00332C00" w:rsidRPr="00C2659E" w14:paraId="065191ED" w14:textId="77777777">
        <w:tc>
          <w:tcPr>
            <w:tcW w:w="2977" w:type="dxa"/>
          </w:tcPr>
          <w:p w14:paraId="254460AB" w14:textId="77777777" w:rsidR="00332C00" w:rsidRPr="00C2659E" w:rsidRDefault="00332C00">
            <w:r>
              <w:t>SGHS</w:t>
            </w:r>
          </w:p>
        </w:tc>
        <w:tc>
          <w:tcPr>
            <w:tcW w:w="6039" w:type="dxa"/>
          </w:tcPr>
          <w:p w14:paraId="4B3D361B" w14:textId="77777777" w:rsidR="00332C00" w:rsidRPr="00C2659E" w:rsidRDefault="00332C00">
            <w:r>
              <w:t>Short Gambling Harm Screen</w:t>
            </w:r>
          </w:p>
        </w:tc>
      </w:tr>
      <w:tr w:rsidR="00332C00" w:rsidRPr="00C2659E" w14:paraId="6B96F786" w14:textId="77777777">
        <w:tc>
          <w:tcPr>
            <w:tcW w:w="2977" w:type="dxa"/>
          </w:tcPr>
          <w:p w14:paraId="0257E04E" w14:textId="77777777" w:rsidR="00332C00" w:rsidRPr="00C2659E" w:rsidRDefault="00332C00">
            <w:r>
              <w:t>SOGS</w:t>
            </w:r>
          </w:p>
        </w:tc>
        <w:tc>
          <w:tcPr>
            <w:tcW w:w="6039" w:type="dxa"/>
          </w:tcPr>
          <w:p w14:paraId="0044D473" w14:textId="77777777" w:rsidR="00332C00" w:rsidRPr="00C2659E" w:rsidRDefault="00332C00">
            <w:r>
              <w:t>South Oaks Gambling Screen</w:t>
            </w:r>
          </w:p>
        </w:tc>
      </w:tr>
      <w:tr w:rsidR="00332C00" w:rsidRPr="00C2659E" w14:paraId="5AFFFA02" w14:textId="77777777">
        <w:tc>
          <w:tcPr>
            <w:tcW w:w="2977" w:type="dxa"/>
          </w:tcPr>
          <w:p w14:paraId="19A2C5EA" w14:textId="77777777" w:rsidR="00332C00" w:rsidRDefault="00332C00">
            <w:r>
              <w:t>TLA</w:t>
            </w:r>
          </w:p>
        </w:tc>
        <w:tc>
          <w:tcPr>
            <w:tcW w:w="6039" w:type="dxa"/>
          </w:tcPr>
          <w:p w14:paraId="148F5D6E" w14:textId="77777777" w:rsidR="00332C00" w:rsidRDefault="00332C00">
            <w:r>
              <w:t>Territorial Local Authority</w:t>
            </w:r>
          </w:p>
        </w:tc>
      </w:tr>
    </w:tbl>
    <w:p w14:paraId="0A31BD8A" w14:textId="78C11230" w:rsidR="00E2764A" w:rsidRPr="00C2659E" w:rsidRDefault="00E2764A" w:rsidP="00E2764A"/>
    <w:p w14:paraId="06BE6D9D" w14:textId="77777777" w:rsidR="00CB7109" w:rsidRDefault="00CB7109" w:rsidP="000271F5"/>
    <w:p w14:paraId="4067D156" w14:textId="77777777" w:rsidR="007156C7" w:rsidRPr="007156C7" w:rsidRDefault="007156C7" w:rsidP="007156C7"/>
    <w:p w14:paraId="6D9ABE87" w14:textId="77777777" w:rsidR="007156C7" w:rsidRDefault="007156C7" w:rsidP="007156C7"/>
    <w:p w14:paraId="7242CFFB" w14:textId="77777777" w:rsidR="007156C7" w:rsidRPr="007156C7" w:rsidRDefault="007156C7" w:rsidP="007156C7">
      <w:pPr>
        <w:jc w:val="center"/>
      </w:pPr>
    </w:p>
    <w:p w14:paraId="48EDD1A0" w14:textId="3D8C591A" w:rsidR="005D568D" w:rsidRDefault="005D568D" w:rsidP="005F52EA">
      <w:pPr>
        <w:pStyle w:val="Heading5"/>
        <w:numPr>
          <w:ilvl w:val="0"/>
          <w:numId w:val="0"/>
        </w:numPr>
      </w:pPr>
      <w:bookmarkStart w:id="1" w:name="_Toc157758575"/>
      <w:bookmarkStart w:id="2" w:name="_Toc157758642"/>
      <w:bookmarkStart w:id="3" w:name="_Toc157762687"/>
      <w:bookmarkStart w:id="4" w:name="_Toc157762744"/>
      <w:bookmarkStart w:id="5" w:name="_Toc157758576"/>
      <w:bookmarkStart w:id="6" w:name="_Toc157758643"/>
      <w:bookmarkStart w:id="7" w:name="_Toc157762688"/>
      <w:bookmarkStart w:id="8" w:name="_Toc157762745"/>
      <w:bookmarkStart w:id="9" w:name="_Toc157758577"/>
      <w:bookmarkStart w:id="10" w:name="_Toc157758644"/>
      <w:bookmarkStart w:id="11" w:name="_Toc157762689"/>
      <w:bookmarkStart w:id="12" w:name="_Toc157762746"/>
      <w:bookmarkStart w:id="13" w:name="_Toc166507358"/>
      <w:bookmarkEnd w:id="1"/>
      <w:bookmarkEnd w:id="2"/>
      <w:bookmarkEnd w:id="3"/>
      <w:bookmarkEnd w:id="4"/>
      <w:bookmarkEnd w:id="5"/>
      <w:bookmarkEnd w:id="6"/>
      <w:bookmarkEnd w:id="7"/>
      <w:bookmarkEnd w:id="8"/>
      <w:bookmarkEnd w:id="9"/>
      <w:bookmarkEnd w:id="10"/>
      <w:bookmarkEnd w:id="11"/>
      <w:bookmarkEnd w:id="12"/>
      <w:r>
        <w:lastRenderedPageBreak/>
        <w:t>Executive summary</w:t>
      </w:r>
      <w:bookmarkEnd w:id="13"/>
    </w:p>
    <w:p w14:paraId="56C5175F" w14:textId="315E44B3" w:rsidR="00A01B38" w:rsidRPr="002F108B" w:rsidRDefault="00A01B38" w:rsidP="005F52EA">
      <w:pPr>
        <w:pStyle w:val="Heading6"/>
        <w:numPr>
          <w:ilvl w:val="0"/>
          <w:numId w:val="0"/>
        </w:numPr>
      </w:pPr>
      <w:bookmarkStart w:id="14" w:name="_Toc158998825"/>
      <w:bookmarkStart w:id="15" w:name="_Toc163488361"/>
      <w:bookmarkStart w:id="16" w:name="_Toc163573792"/>
      <w:bookmarkStart w:id="17" w:name="_Toc163574223"/>
      <w:bookmarkStart w:id="18" w:name="_Toc163654617"/>
      <w:bookmarkStart w:id="19" w:name="_Toc166507359"/>
      <w:r>
        <w:t>Background</w:t>
      </w:r>
      <w:bookmarkEnd w:id="14"/>
      <w:bookmarkEnd w:id="15"/>
      <w:bookmarkEnd w:id="16"/>
      <w:bookmarkEnd w:id="17"/>
      <w:bookmarkEnd w:id="18"/>
      <w:bookmarkEnd w:id="19"/>
    </w:p>
    <w:p w14:paraId="51674AB6" w14:textId="15916762" w:rsidR="00A01B38" w:rsidRDefault="000A4213" w:rsidP="00A01B38">
      <w:r>
        <w:t>U</w:t>
      </w:r>
      <w:r w:rsidRPr="000C1817">
        <w:t xml:space="preserve">nder the Gambling Act 2003 (s318), </w:t>
      </w:r>
      <w:bookmarkStart w:id="20" w:name="_Hlk163376056"/>
      <w:r w:rsidR="00F04888">
        <w:rPr>
          <w:lang w:val="en-US"/>
        </w:rPr>
        <w:t>Manat</w:t>
      </w:r>
      <w:r w:rsidR="00F04888">
        <w:rPr>
          <w:rFonts w:cs="Calibri"/>
          <w:lang w:val="en-US"/>
        </w:rPr>
        <w:t>ū</w:t>
      </w:r>
      <w:r w:rsidR="00F04888">
        <w:rPr>
          <w:lang w:val="en-US"/>
        </w:rPr>
        <w:t xml:space="preserve"> </w:t>
      </w:r>
      <w:r w:rsidR="00686005">
        <w:rPr>
          <w:lang w:val="en-US"/>
        </w:rPr>
        <w:t>Hauora</w:t>
      </w:r>
      <w:r w:rsidR="00F04888">
        <w:rPr>
          <w:lang w:val="en-US"/>
        </w:rPr>
        <w:t xml:space="preserve"> </w:t>
      </w:r>
      <w:bookmarkEnd w:id="20"/>
      <w:r w:rsidR="00F04888">
        <w:rPr>
          <w:lang w:val="en-US"/>
        </w:rPr>
        <w:t>(</w:t>
      </w:r>
      <w:r w:rsidRPr="000C1817">
        <w:t>the Ministry of Health</w:t>
      </w:r>
      <w:r w:rsidR="00F04888">
        <w:t xml:space="preserve">) </w:t>
      </w:r>
      <w:r w:rsidRPr="000C1817">
        <w:t xml:space="preserve">is required to undertake a </w:t>
      </w:r>
      <w:r w:rsidR="00BC089B">
        <w:t>N</w:t>
      </w:r>
      <w:r w:rsidRPr="000C1817">
        <w:t xml:space="preserve">eeds </w:t>
      </w:r>
      <w:r w:rsidR="00BC089B">
        <w:t>A</w:t>
      </w:r>
      <w:r w:rsidRPr="000C1817">
        <w:t xml:space="preserve">ssessment to inform the development of the three-year Strategy to Prevent and Minimise Gambling Harm across Aotearoa New Zealand. The Ministry previously commissioned external agencies to conduct </w:t>
      </w:r>
      <w:r w:rsidR="00BC089B">
        <w:t>N</w:t>
      </w:r>
      <w:r w:rsidR="00BC089B" w:rsidRPr="000C1817">
        <w:t xml:space="preserve">eeds </w:t>
      </w:r>
      <w:r w:rsidR="00BC089B">
        <w:t>A</w:t>
      </w:r>
      <w:r w:rsidRPr="000C1817">
        <w:t>ssessment reports in 2009</w:t>
      </w:r>
      <w:r>
        <w:t>,</w:t>
      </w:r>
      <w:r w:rsidRPr="00D946C4">
        <w:rPr>
          <w:rStyle w:val="FootnoteReference"/>
        </w:rPr>
        <w:footnoteReference w:id="2"/>
      </w:r>
      <w:r w:rsidRPr="000C1817">
        <w:t xml:space="preserve"> 2012</w:t>
      </w:r>
      <w:r>
        <w:t>,</w:t>
      </w:r>
      <w:r w:rsidRPr="00D946C4">
        <w:rPr>
          <w:rStyle w:val="FootnoteReference"/>
        </w:rPr>
        <w:footnoteReference w:id="3"/>
      </w:r>
      <w:r w:rsidRPr="000C1817">
        <w:t xml:space="preserve"> 2015</w:t>
      </w:r>
      <w:r>
        <w:t>,</w:t>
      </w:r>
      <w:r w:rsidRPr="000C1817">
        <w:rPr>
          <w:rStyle w:val="FootnoteReference"/>
        </w:rPr>
        <w:footnoteReference w:id="4"/>
      </w:r>
      <w:r w:rsidRPr="000C1817">
        <w:t xml:space="preserve"> 2018</w:t>
      </w:r>
      <w:r w:rsidRPr="00D946C4">
        <w:rPr>
          <w:rStyle w:val="FootnoteReference"/>
        </w:rPr>
        <w:footnoteReference w:id="5"/>
      </w:r>
      <w:r w:rsidRPr="000C1817">
        <w:t xml:space="preserve"> and 2021</w:t>
      </w:r>
      <w:r w:rsidRPr="000C1817">
        <w:rPr>
          <w:rStyle w:val="FootnoteReference"/>
        </w:rPr>
        <w:footnoteReference w:id="6"/>
      </w:r>
      <w:r w:rsidRPr="000C1817">
        <w:t xml:space="preserve"> for consultation and development of the respective three-year strategies.</w:t>
      </w:r>
    </w:p>
    <w:p w14:paraId="0F0213E1" w14:textId="2BC0677B" w:rsidR="008F6636" w:rsidRPr="000C1817" w:rsidRDefault="00A916B8" w:rsidP="008F6636">
      <w:r>
        <w:t xml:space="preserve">In </w:t>
      </w:r>
      <w:r w:rsidR="00C634FA">
        <w:t xml:space="preserve">November 2023, </w:t>
      </w:r>
      <w:r w:rsidR="008F6636">
        <w:t xml:space="preserve">the Ministry commissioned Malatest International and Sapere </w:t>
      </w:r>
      <w:r w:rsidR="008F6636" w:rsidRPr="000C1817">
        <w:t xml:space="preserve">to conduct a </w:t>
      </w:r>
      <w:r w:rsidR="00BC089B">
        <w:t>N</w:t>
      </w:r>
      <w:r w:rsidR="008F6636" w:rsidRPr="000C1817">
        <w:t xml:space="preserve">eeds </w:t>
      </w:r>
      <w:r w:rsidR="00BC089B">
        <w:t>A</w:t>
      </w:r>
      <w:r w:rsidR="008F6636" w:rsidRPr="000C1817">
        <w:t xml:space="preserve">ssessment to inform the Strategy to Prevent and Minimise Gambling Harm 2025/26-2027/28 (the </w:t>
      </w:r>
      <w:r w:rsidR="008F6636" w:rsidRPr="00F16BA9">
        <w:t>Strategy)</w:t>
      </w:r>
      <w:r w:rsidR="008F6636" w:rsidRPr="000C1817">
        <w:t xml:space="preserve"> and assist with informing public consultation discussions in 2024.</w:t>
      </w:r>
    </w:p>
    <w:p w14:paraId="5DC15E5A" w14:textId="5672AE12" w:rsidR="008F6636" w:rsidRPr="000C1817" w:rsidRDefault="008F6636" w:rsidP="008F6636">
      <w:r w:rsidRPr="000C1817">
        <w:t xml:space="preserve">As with previous years, the </w:t>
      </w:r>
      <w:r w:rsidR="009B3463">
        <w:t xml:space="preserve">purpose of the </w:t>
      </w:r>
      <w:r w:rsidR="00BC089B">
        <w:t>N</w:t>
      </w:r>
      <w:r w:rsidRPr="000C1817">
        <w:t xml:space="preserve">eeds </w:t>
      </w:r>
      <w:r w:rsidR="00BC089B">
        <w:t>A</w:t>
      </w:r>
      <w:r w:rsidRPr="000C1817">
        <w:t xml:space="preserve">ssessment </w:t>
      </w:r>
      <w:r w:rsidR="00C173B4">
        <w:t>is to</w:t>
      </w:r>
      <w:r w:rsidRPr="000C1817">
        <w:t xml:space="preserve">: </w:t>
      </w:r>
    </w:p>
    <w:p w14:paraId="5E4D84B3" w14:textId="130C11DA" w:rsidR="008F6636" w:rsidRPr="000C1817" w:rsidRDefault="007156C7" w:rsidP="008F6636">
      <w:pPr>
        <w:pStyle w:val="Bulleted"/>
      </w:pPr>
      <w:r>
        <w:t>I</w:t>
      </w:r>
      <w:r w:rsidR="008F6636" w:rsidRPr="000C1817">
        <w:t>dentify changes in the evidence since the last needs assessment completed in 2021</w:t>
      </w:r>
      <w:r w:rsidR="009B3463">
        <w:t>; and</w:t>
      </w:r>
    </w:p>
    <w:p w14:paraId="5EE8B758" w14:textId="44652298" w:rsidR="008F6636" w:rsidRPr="000C1817" w:rsidRDefault="007156C7" w:rsidP="008F6636">
      <w:pPr>
        <w:pStyle w:val="Bulleted"/>
      </w:pPr>
      <w:r>
        <w:t>I</w:t>
      </w:r>
      <w:r w:rsidR="008F6636" w:rsidRPr="000C1817">
        <w:t>dentify gaps in service delivery.</w:t>
      </w:r>
    </w:p>
    <w:p w14:paraId="2F64D861" w14:textId="1BFE29EC" w:rsidR="008F6636" w:rsidRDefault="008F6636" w:rsidP="00DA2800">
      <w:r w:rsidRPr="000C1817">
        <w:t xml:space="preserve">An additional requirement of the 2024 </w:t>
      </w:r>
      <w:r w:rsidR="00BC089B">
        <w:t>N</w:t>
      </w:r>
      <w:r w:rsidRPr="000C1817">
        <w:t xml:space="preserve">eeds </w:t>
      </w:r>
      <w:r w:rsidR="00BC089B">
        <w:t>A</w:t>
      </w:r>
      <w:r w:rsidRPr="000C1817">
        <w:t xml:space="preserve">ssessment </w:t>
      </w:r>
      <w:r w:rsidR="00C173B4">
        <w:t>wa</w:t>
      </w:r>
      <w:r w:rsidRPr="000C1817">
        <w:t xml:space="preserve">s to undertake a strategic review to assist with informing necessary funding requirements. </w:t>
      </w:r>
    </w:p>
    <w:p w14:paraId="4A142F53" w14:textId="77777777" w:rsidR="00237538" w:rsidRDefault="00237538" w:rsidP="00237538">
      <w:pPr>
        <w:rPr>
          <w:lang w:val="en-US"/>
        </w:rPr>
      </w:pPr>
      <w:r>
        <w:rPr>
          <w:lang w:val="en-US"/>
        </w:rPr>
        <w:t xml:space="preserve">It is important to note </w:t>
      </w:r>
      <w:r>
        <w:t xml:space="preserve">this needs assessment was conducted during a significant time of change across Aotearoa New Zealand’s government, health, minimising gambling harm agency and provider sectors. </w:t>
      </w:r>
      <w:r w:rsidRPr="00F0764B">
        <w:t xml:space="preserve">Systems and sector changes provide important context for findings </w:t>
      </w:r>
      <w:r>
        <w:t>highlighted in this report – and in some cases findings may be obsolete due to the constantly changing nature of the sector at the time of data collection. For example, at the time of writing this needs assessment, the government passed a bill to disestablish The Māori Health Authority - Te Aka Whai Ora which would result in their functions being distributed between Health New Zealand and the Ministry.</w:t>
      </w:r>
    </w:p>
    <w:p w14:paraId="4B95FA5E" w14:textId="77777777" w:rsidR="00A01B38" w:rsidRPr="002F108B" w:rsidRDefault="00A01B38" w:rsidP="00DA2800">
      <w:pPr>
        <w:pStyle w:val="Heading6"/>
        <w:numPr>
          <w:ilvl w:val="0"/>
          <w:numId w:val="0"/>
        </w:numPr>
      </w:pPr>
      <w:bookmarkStart w:id="21" w:name="_Toc158998826"/>
      <w:bookmarkStart w:id="22" w:name="_Toc163488362"/>
      <w:bookmarkStart w:id="23" w:name="_Toc163573793"/>
      <w:bookmarkStart w:id="24" w:name="_Toc163574224"/>
      <w:bookmarkStart w:id="25" w:name="_Toc163654618"/>
      <w:bookmarkStart w:id="26" w:name="_Toc166507360"/>
      <w:r>
        <w:t>Methods</w:t>
      </w:r>
      <w:bookmarkEnd w:id="21"/>
      <w:bookmarkEnd w:id="22"/>
      <w:bookmarkEnd w:id="23"/>
      <w:bookmarkEnd w:id="24"/>
      <w:bookmarkEnd w:id="25"/>
      <w:bookmarkEnd w:id="26"/>
    </w:p>
    <w:p w14:paraId="45FE4DE8" w14:textId="5D43B745" w:rsidR="00436432" w:rsidRPr="004B3DB0" w:rsidRDefault="00436432" w:rsidP="00A01B38">
      <w:r>
        <w:rPr>
          <w:b/>
          <w:bCs/>
        </w:rPr>
        <w:t>Literature review:</w:t>
      </w:r>
      <w:r w:rsidR="004B3DB0">
        <w:rPr>
          <w:b/>
          <w:bCs/>
        </w:rPr>
        <w:t xml:space="preserve"> </w:t>
      </w:r>
      <w:r w:rsidR="004B3DB0" w:rsidRPr="00A40A50">
        <w:t xml:space="preserve">This </w:t>
      </w:r>
      <w:r w:rsidR="004B3DB0">
        <w:t>N</w:t>
      </w:r>
      <w:r w:rsidR="004B3DB0" w:rsidRPr="00A40A50">
        <w:t xml:space="preserve">eeds </w:t>
      </w:r>
      <w:r w:rsidR="004B3DB0">
        <w:t>A</w:t>
      </w:r>
      <w:r w:rsidR="004B3DB0" w:rsidRPr="00A40A50">
        <w:t xml:space="preserve">ssessment provides an updated review of the literature since the last </w:t>
      </w:r>
      <w:r w:rsidR="004B3DB0">
        <w:t>N</w:t>
      </w:r>
      <w:r w:rsidR="004B3DB0" w:rsidRPr="00A40A50">
        <w:t xml:space="preserve">eeds </w:t>
      </w:r>
      <w:r w:rsidR="004B3DB0">
        <w:t>A</w:t>
      </w:r>
      <w:r w:rsidR="004B3DB0" w:rsidRPr="00A40A50">
        <w:t>ssessment in 20</w:t>
      </w:r>
      <w:r w:rsidR="004B3DB0">
        <w:t>21</w:t>
      </w:r>
      <w:r w:rsidR="004B3DB0" w:rsidRPr="00A40A50">
        <w:t xml:space="preserve">. It focuses on literature published between </w:t>
      </w:r>
      <w:r w:rsidR="004B3DB0">
        <w:t>2022 and 2024</w:t>
      </w:r>
      <w:r w:rsidR="004B3DB0" w:rsidRPr="00A40A50">
        <w:t xml:space="preserve"> relevant to gambling </w:t>
      </w:r>
      <w:r w:rsidR="004B3DB0" w:rsidRPr="00A40A50">
        <w:rPr>
          <w:rFonts w:eastAsia="Acumin Pro"/>
        </w:rPr>
        <w:t>participation</w:t>
      </w:r>
      <w:r w:rsidR="004B3DB0" w:rsidRPr="00A40A50">
        <w:t xml:space="preserve">, access to different gambling forms (including online gambling and changing </w:t>
      </w:r>
      <w:r w:rsidR="004B3DB0" w:rsidRPr="00A40A50">
        <w:lastRenderedPageBreak/>
        <w:t>technologies) and expenditure. It also examines recent evidence relating to harmful gambling prevalence,</w:t>
      </w:r>
      <w:r w:rsidR="004B3DB0" w:rsidRPr="00A40A50">
        <w:rPr>
          <w:rFonts w:eastAsia="Acumin Pro"/>
        </w:rPr>
        <w:t xml:space="preserve"> </w:t>
      </w:r>
      <w:r w:rsidR="004B3DB0" w:rsidRPr="00A40A50">
        <w:t>motivations,</w:t>
      </w:r>
      <w:r w:rsidR="004B3DB0" w:rsidRPr="00A40A50">
        <w:rPr>
          <w:rFonts w:eastAsia="Acumin Pro"/>
        </w:rPr>
        <w:t xml:space="preserve"> risks, provider services and clients and gaps in services.</w:t>
      </w:r>
    </w:p>
    <w:p w14:paraId="74E37937" w14:textId="642C710C" w:rsidR="00A01B38" w:rsidRDefault="00436432" w:rsidP="00A01B38">
      <w:r>
        <w:rPr>
          <w:b/>
          <w:bCs/>
        </w:rPr>
        <w:t>Interviews and focus groups:</w:t>
      </w:r>
      <w:r w:rsidR="00366739">
        <w:rPr>
          <w:b/>
          <w:bCs/>
        </w:rPr>
        <w:t xml:space="preserve"> </w:t>
      </w:r>
      <w:r w:rsidR="007156C7">
        <w:t>A total of</w:t>
      </w:r>
      <w:r w:rsidR="00366739">
        <w:t xml:space="preserve"> </w:t>
      </w:r>
      <w:r w:rsidR="007156C7">
        <w:t>15</w:t>
      </w:r>
      <w:r w:rsidR="00A01B38">
        <w:t xml:space="preserve"> individual and </w:t>
      </w:r>
      <w:r w:rsidR="007156C7">
        <w:t>16</w:t>
      </w:r>
      <w:r w:rsidR="00A01B38">
        <w:t xml:space="preserve"> group interviews </w:t>
      </w:r>
      <w:r w:rsidR="007156C7">
        <w:t>were</w:t>
      </w:r>
      <w:r w:rsidR="00A01B38">
        <w:t xml:space="preserve"> conducted with</w:t>
      </w:r>
      <w:r w:rsidR="00114F73">
        <w:t xml:space="preserve"> </w:t>
      </w:r>
      <w:r w:rsidR="007156C7">
        <w:t>77</w:t>
      </w:r>
      <w:r w:rsidR="00A01B38">
        <w:t xml:space="preserve"> representatives from </w:t>
      </w:r>
      <w:r w:rsidR="006701CD">
        <w:t xml:space="preserve">various </w:t>
      </w:r>
      <w:r w:rsidR="00A01B38">
        <w:t xml:space="preserve">gambling </w:t>
      </w:r>
      <w:r w:rsidR="006701CD">
        <w:t>stakeholder</w:t>
      </w:r>
      <w:r w:rsidR="00114F73">
        <w:t xml:space="preserve"> group</w:t>
      </w:r>
      <w:r w:rsidR="006701CD">
        <w:t>s</w:t>
      </w:r>
      <w:r w:rsidR="00A01B38">
        <w:t xml:space="preserve"> </w:t>
      </w:r>
      <w:r w:rsidR="00BC089B">
        <w:t xml:space="preserve">including </w:t>
      </w:r>
      <w:r w:rsidR="006A6A33">
        <w:t>G</w:t>
      </w:r>
      <w:r w:rsidR="00A01B38">
        <w:t>overnment</w:t>
      </w:r>
      <w:r w:rsidR="00BC089B">
        <w:t xml:space="preserve"> departments and </w:t>
      </w:r>
      <w:r w:rsidR="00A01B38">
        <w:t>research institutions, the gambling industry (Casinos, Hospitality NZ, Lotto NZ, TAB NZ, Clubs NZ</w:t>
      </w:r>
      <w:r w:rsidR="00114F73">
        <w:t>, GMANZ</w:t>
      </w:r>
      <w:r w:rsidR="00A01B38">
        <w:t>)</w:t>
      </w:r>
      <w:r w:rsidR="007156C7">
        <w:t xml:space="preserve">, </w:t>
      </w:r>
      <w:r w:rsidR="00A01B38">
        <w:t>gambling harm service providers (public health and/or clinical intervention)</w:t>
      </w:r>
      <w:r w:rsidR="007156C7">
        <w:t xml:space="preserve"> and consumer/lived experience representatives</w:t>
      </w:r>
      <w:r w:rsidR="005C3A99">
        <w:t xml:space="preserve"> (</w:t>
      </w:r>
      <w:r w:rsidR="005C3A99">
        <w:rPr>
          <w:lang w:val="en-US"/>
        </w:rPr>
        <w:t>current and historical harmful gambling experiences)</w:t>
      </w:r>
      <w:r w:rsidR="00A01B38">
        <w:t>.</w:t>
      </w:r>
    </w:p>
    <w:p w14:paraId="55AE16DC" w14:textId="1137FBCC" w:rsidR="00A01B38" w:rsidRDefault="00A01B38" w:rsidP="00A01B38">
      <w:pPr>
        <w:rPr>
          <w:lang w:val="en-US"/>
        </w:rPr>
      </w:pPr>
      <w:r w:rsidRPr="00FB3D6A">
        <w:rPr>
          <w:lang w:val="en-US"/>
        </w:rPr>
        <w:t xml:space="preserve">Ethics approval for the </w:t>
      </w:r>
      <w:r w:rsidR="00BC089B">
        <w:t>N</w:t>
      </w:r>
      <w:r w:rsidRPr="00FB3D6A">
        <w:t xml:space="preserve">eeds </w:t>
      </w:r>
      <w:r w:rsidR="00BC089B">
        <w:t>A</w:t>
      </w:r>
      <w:r w:rsidRPr="00FB3D6A">
        <w:t>ssessment</w:t>
      </w:r>
      <w:r w:rsidRPr="00FB3D6A">
        <w:rPr>
          <w:lang w:val="en-US"/>
        </w:rPr>
        <w:t xml:space="preserve"> was received from the Aotearoa Research Ethics Committee on </w:t>
      </w:r>
      <w:r w:rsidR="000F6128" w:rsidRPr="00FB3D6A">
        <w:rPr>
          <w:lang w:val="en-US"/>
        </w:rPr>
        <w:t>17</w:t>
      </w:r>
      <w:r w:rsidRPr="00FB3D6A">
        <w:rPr>
          <w:lang w:val="en-US"/>
        </w:rPr>
        <w:t xml:space="preserve"> February 2024</w:t>
      </w:r>
      <w:r w:rsidR="00DF6FE6" w:rsidRPr="00FB3D6A">
        <w:rPr>
          <w:lang w:val="en-US"/>
        </w:rPr>
        <w:t xml:space="preserve"> for consumer engagement</w:t>
      </w:r>
      <w:r w:rsidRPr="00FB3D6A">
        <w:rPr>
          <w:lang w:val="en-US"/>
        </w:rPr>
        <w:t>.</w:t>
      </w:r>
    </w:p>
    <w:p w14:paraId="744F1CD3" w14:textId="0983303C" w:rsidR="007E34FD" w:rsidRDefault="007E34FD" w:rsidP="007E34FD">
      <w:pPr>
        <w:pStyle w:val="Heading6"/>
        <w:numPr>
          <w:ilvl w:val="0"/>
          <w:numId w:val="0"/>
        </w:numPr>
      </w:pPr>
      <w:bookmarkStart w:id="27" w:name="_Toc158998827"/>
      <w:bookmarkStart w:id="28" w:name="_Toc163488363"/>
      <w:bookmarkStart w:id="29" w:name="_Toc163573794"/>
      <w:bookmarkStart w:id="30" w:name="_Toc163574225"/>
      <w:bookmarkStart w:id="31" w:name="_Toc163654619"/>
      <w:bookmarkStart w:id="32" w:name="_Toc166507361"/>
      <w:r>
        <w:t>What does the evidence tell us?</w:t>
      </w:r>
      <w:bookmarkEnd w:id="27"/>
      <w:bookmarkEnd w:id="28"/>
      <w:bookmarkEnd w:id="29"/>
      <w:bookmarkEnd w:id="30"/>
      <w:bookmarkEnd w:id="31"/>
      <w:bookmarkEnd w:id="32"/>
    </w:p>
    <w:p w14:paraId="229A463F" w14:textId="77777777" w:rsidR="001A03CC" w:rsidRDefault="001A03CC" w:rsidP="001A03CC">
      <w:r>
        <w:t xml:space="preserve">We draw the following key conclusions from the updated literature search and funding review: </w:t>
      </w:r>
    </w:p>
    <w:p w14:paraId="1385B282" w14:textId="1B3259B4" w:rsidR="001A03CC" w:rsidRDefault="001A03CC" w:rsidP="00F85486">
      <w:pPr>
        <w:pStyle w:val="Bulleted"/>
      </w:pPr>
      <w:r>
        <w:t xml:space="preserve">Gambling activity has remained relatively constant in New Zealand, with data indicating that most adults engage in gambling at some stage in their lives; however, there has been a significant growth in the use of </w:t>
      </w:r>
      <w:r w:rsidRPr="003E384D">
        <w:t>online forms of gambling in recent years</w:t>
      </w:r>
      <w:r w:rsidR="000774FD" w:rsidRPr="00FB3D6A">
        <w:t>, most of which sits outside of the New Zealand gambling regulatory system</w:t>
      </w:r>
      <w:r>
        <w:t>.</w:t>
      </w:r>
    </w:p>
    <w:p w14:paraId="0B1DF3FB" w14:textId="54BE31C4" w:rsidR="001A03CC" w:rsidRDefault="001A03CC" w:rsidP="00F85486">
      <w:pPr>
        <w:pStyle w:val="Bulleted"/>
      </w:pPr>
      <w:r>
        <w:t xml:space="preserve">There has been a reduction in </w:t>
      </w:r>
      <w:r w:rsidR="00602FEA">
        <w:t>high-risk</w:t>
      </w:r>
      <w:r>
        <w:t xml:space="preserve"> </w:t>
      </w:r>
      <w:r w:rsidR="00602FEA">
        <w:t>EGMs (</w:t>
      </w:r>
      <w:r>
        <w:t>electronic gaming machines</w:t>
      </w:r>
      <w:r w:rsidR="00602FEA">
        <w:t>)</w:t>
      </w:r>
      <w:r>
        <w:t xml:space="preserve">, though the distribution and availability of these machines remains disproportionately high in </w:t>
      </w:r>
      <w:r w:rsidR="00954607">
        <w:t>areas of high-deprivation</w:t>
      </w:r>
      <w:r>
        <w:t>.</w:t>
      </w:r>
    </w:p>
    <w:p w14:paraId="172593FE" w14:textId="39BB317B" w:rsidR="001A03CC" w:rsidRDefault="001A03CC" w:rsidP="00F85486">
      <w:pPr>
        <w:pStyle w:val="Bulleted"/>
      </w:pPr>
      <w:r>
        <w:t>The shift towards online forms of gambling is disrupting the gambling levy setting arrangements, as it is revealing inconsistencies within the funding regime.</w:t>
      </w:r>
    </w:p>
    <w:p w14:paraId="4A169EE5" w14:textId="4318AFC0" w:rsidR="007E34FD" w:rsidRDefault="007E34FD" w:rsidP="007E34FD">
      <w:pPr>
        <w:pStyle w:val="Heading6"/>
        <w:numPr>
          <w:ilvl w:val="0"/>
          <w:numId w:val="0"/>
        </w:numPr>
      </w:pPr>
      <w:bookmarkStart w:id="33" w:name="_Toc158998828"/>
      <w:bookmarkStart w:id="34" w:name="_Toc163488364"/>
      <w:bookmarkStart w:id="35" w:name="_Toc163573795"/>
      <w:bookmarkStart w:id="36" w:name="_Toc163574226"/>
      <w:bookmarkStart w:id="37" w:name="_Toc163654620"/>
      <w:bookmarkStart w:id="38" w:name="_Toc166507362"/>
      <w:r>
        <w:t>What does the funding review tell us?</w:t>
      </w:r>
      <w:bookmarkEnd w:id="33"/>
      <w:bookmarkEnd w:id="34"/>
      <w:bookmarkEnd w:id="35"/>
      <w:bookmarkEnd w:id="36"/>
      <w:bookmarkEnd w:id="37"/>
      <w:bookmarkEnd w:id="38"/>
      <w:r>
        <w:t xml:space="preserve"> </w:t>
      </w:r>
    </w:p>
    <w:p w14:paraId="2CF60F90" w14:textId="03674CD1" w:rsidR="006E1830" w:rsidRPr="000B6CB4" w:rsidRDefault="006E1830" w:rsidP="006E1830">
      <w:pPr>
        <w:spacing w:before="240"/>
      </w:pPr>
      <w:r>
        <w:t>Key</w:t>
      </w:r>
      <w:r w:rsidRPr="000572C7">
        <w:t xml:space="preserve"> </w:t>
      </w:r>
      <w:r w:rsidRPr="000B6CB4">
        <w:t>industry and cost statistics and trends</w:t>
      </w:r>
      <w:r>
        <w:t xml:space="preserve"> </w:t>
      </w:r>
      <w:r w:rsidRPr="000B6CB4">
        <w:t>indicate that</w:t>
      </w:r>
      <w:r>
        <w:t>,</w:t>
      </w:r>
      <w:r w:rsidRPr="000B6CB4">
        <w:t xml:space="preserve"> under the status quo</w:t>
      </w:r>
      <w:r>
        <w:t>,</w:t>
      </w:r>
      <w:r w:rsidRPr="000B6CB4">
        <w:t xml:space="preserve"> there will be ongoing pressure on harm minimisation service providers which could incentivise a reduction in the scope of care they provide to those that seek help</w:t>
      </w:r>
      <w:r>
        <w:t xml:space="preserve"> for gambling problems</w:t>
      </w:r>
      <w:r w:rsidRPr="000B6CB4">
        <w:t>.</w:t>
      </w:r>
      <w:r>
        <w:t xml:space="preserve"> There is, however, a much larger set of issues arising from the growth of online gambling and the </w:t>
      </w:r>
      <w:r w:rsidR="00623132">
        <w:t>unregulated nature of this new market.</w:t>
      </w:r>
    </w:p>
    <w:p w14:paraId="232D2840" w14:textId="77777777" w:rsidR="009F377B" w:rsidRPr="005F52EA" w:rsidRDefault="009F377B" w:rsidP="009F377B">
      <w:r>
        <w:t>The Gambling Commission, the Problem Gambling Foundation and a number of other stakeholders have raised the need for a review of the funding regime for the harm minimisation levy.</w:t>
      </w:r>
      <w:r w:rsidRPr="00FA2465">
        <w:t xml:space="preserve"> </w:t>
      </w:r>
    </w:p>
    <w:p w14:paraId="76BFC1E7" w14:textId="7D3B2202" w:rsidR="006E1830" w:rsidRDefault="00D65CA3" w:rsidP="006E1830">
      <w:pPr>
        <w:spacing w:before="240"/>
      </w:pPr>
      <w:r>
        <w:t>W</w:t>
      </w:r>
      <w:r w:rsidR="00623132">
        <w:t>e</w:t>
      </w:r>
      <w:r w:rsidR="006E1830" w:rsidRPr="000572C7">
        <w:t xml:space="preserve"> </w:t>
      </w:r>
      <w:r w:rsidR="006E1830" w:rsidRPr="000C1817">
        <w:t>analys</w:t>
      </w:r>
      <w:r w:rsidR="006E1830">
        <w:t>e</w:t>
      </w:r>
      <w:r w:rsidR="006E1830" w:rsidRPr="000C1817">
        <w:t xml:space="preserve"> the organisational arrangements</w:t>
      </w:r>
      <w:r w:rsidR="006E1830">
        <w:t xml:space="preserve"> for the funding of the levy</w:t>
      </w:r>
      <w:r w:rsidR="00623132">
        <w:t>,</w:t>
      </w:r>
      <w:r w:rsidR="006E1830">
        <w:t xml:space="preserve"> then we consider two possible future scenarios for the future of the sector taking into account the trends and growth of online gambling</w:t>
      </w:r>
      <w:r w:rsidR="00CD7BDF">
        <w:t xml:space="preserve"> in </w:t>
      </w:r>
      <w:r w:rsidR="005F52EA">
        <w:t>particular and</w:t>
      </w:r>
      <w:r w:rsidR="006E1830">
        <w:t xml:space="preserve"> examine the funding implications of these.</w:t>
      </w:r>
    </w:p>
    <w:p w14:paraId="7AE7878A" w14:textId="4E0BD59C" w:rsidR="00FA2465" w:rsidRDefault="00F814E9" w:rsidP="005F52EA">
      <w:r>
        <w:lastRenderedPageBreak/>
        <w:t xml:space="preserve">The </w:t>
      </w:r>
      <w:r w:rsidR="6A012FB0">
        <w:t>two</w:t>
      </w:r>
      <w:r>
        <w:t xml:space="preserve"> scenarios considered are</w:t>
      </w:r>
      <w:r w:rsidR="00101B04">
        <w:t xml:space="preserve"> </w:t>
      </w:r>
      <w:r w:rsidRPr="005F52EA">
        <w:t>status quo</w:t>
      </w:r>
      <w:r>
        <w:t xml:space="preserve"> (offshore-based gambling providers continue to provide services to New Zealanders but do not pay towards the levy); and</w:t>
      </w:r>
      <w:r w:rsidR="00EF51E8">
        <w:t xml:space="preserve"> </w:t>
      </w:r>
      <w:r w:rsidR="005C447B">
        <w:t xml:space="preserve">offshore-based </w:t>
      </w:r>
      <w:r w:rsidRPr="005F52EA">
        <w:t>gambling providers are regulated and pay</w:t>
      </w:r>
      <w:r>
        <w:t xml:space="preserve"> </w:t>
      </w:r>
      <w:r w:rsidR="00D218B6">
        <w:t>towards</w:t>
      </w:r>
      <w:r w:rsidRPr="005F52EA">
        <w:t xml:space="preserve"> the levy</w:t>
      </w:r>
      <w:r>
        <w:t xml:space="preserve"> in New Zealand.</w:t>
      </w:r>
    </w:p>
    <w:p w14:paraId="3BF552F6" w14:textId="061A83A6" w:rsidR="00BE6F92" w:rsidRDefault="00BE6F92" w:rsidP="005F52EA">
      <w:r>
        <w:t>Under the status quo</w:t>
      </w:r>
      <w:r w:rsidR="00F721FA" w:rsidRPr="00F721FA">
        <w:t xml:space="preserve"> </w:t>
      </w:r>
      <w:r w:rsidR="00F721FA">
        <w:t>(</w:t>
      </w:r>
      <w:r w:rsidR="008F524C">
        <w:t>subject</w:t>
      </w:r>
      <w:r w:rsidR="00F721FA">
        <w:t xml:space="preserve"> to the announcement on 14 March 2024 that Cabinet had decided in-principle to regulate online gambling services)</w:t>
      </w:r>
      <w:r>
        <w:t>, based on the findings in this report</w:t>
      </w:r>
      <w:r w:rsidR="00D218B6">
        <w:t>,</w:t>
      </w:r>
      <w:r>
        <w:t xml:space="preserve"> we expect the proportion of New Zealanders who use offshore-based online gambling providers to </w:t>
      </w:r>
      <w:r w:rsidR="00242795">
        <w:t xml:space="preserve">continue to </w:t>
      </w:r>
      <w:r>
        <w:t>increase</w:t>
      </w:r>
      <w:r w:rsidR="00EA1668">
        <w:t>,</w:t>
      </w:r>
      <w:r>
        <w:t xml:space="preserve"> however this will not be reflected by any increase in levy payments. If expenditure on offshore</w:t>
      </w:r>
      <w:r w:rsidR="004A6452">
        <w:t>-based</w:t>
      </w:r>
      <w:r>
        <w:t xml:space="preserve"> unregulated gambling providers continues to increase, we may observe a decrease in expenditure on regulated providers. Consequently, a lower proportion of overall gambling spend would be subject to the levy, and the approximately $79m investment package outlined in the Strategy may be underfunded unless the levies are raised</w:t>
      </w:r>
      <w:r w:rsidR="00BF3925">
        <w:rPr>
          <w:rStyle w:val="FootnoteReference"/>
        </w:rPr>
        <w:footnoteReference w:id="7"/>
      </w:r>
      <w:r>
        <w:t xml:space="preserve">. </w:t>
      </w:r>
    </w:p>
    <w:p w14:paraId="28804BE8" w14:textId="370E9F7C" w:rsidR="00A95FAE" w:rsidRDefault="00452BF4" w:rsidP="00534EA1">
      <w:r>
        <w:t xml:space="preserve">The </w:t>
      </w:r>
      <w:r w:rsidR="00534EA1">
        <w:t>second scenario</w:t>
      </w:r>
      <w:r>
        <w:t xml:space="preserve"> is that</w:t>
      </w:r>
      <w:r w:rsidR="00534EA1">
        <w:t xml:space="preserve"> offshore-based online gambling websites that are accessed by (or available to) New Zealanders</w:t>
      </w:r>
      <w:r>
        <w:t xml:space="preserve"> are regulated </w:t>
      </w:r>
      <w:r w:rsidR="00E6257B">
        <w:t>and required to contribute to the levy</w:t>
      </w:r>
      <w:r w:rsidR="00AA3836">
        <w:t>, consistent with the announcement on 1</w:t>
      </w:r>
      <w:r w:rsidR="00EB10D3">
        <w:t>4</w:t>
      </w:r>
      <w:r w:rsidR="00AA3836">
        <w:t xml:space="preserve"> March 2024.</w:t>
      </w:r>
      <w:r w:rsidR="00534EA1">
        <w:t xml:space="preserve"> </w:t>
      </w:r>
    </w:p>
    <w:p w14:paraId="2E535EBB" w14:textId="52BA37E8" w:rsidR="00534EA1" w:rsidRDefault="00103DD4" w:rsidP="00534EA1">
      <w:r>
        <w:t>Currently, our analysis shows that</w:t>
      </w:r>
      <w:r w:rsidR="00534EA1">
        <w:t xml:space="preserve"> those gambling on </w:t>
      </w:r>
      <w:r w:rsidR="005C447B">
        <w:t xml:space="preserve">offshore-based </w:t>
      </w:r>
      <w:r w:rsidR="00534EA1">
        <w:t>sites and EGMs/casinos appear more likely to receive gambling harm intervention services than those gambling on Lotto or the TAB.</w:t>
      </w:r>
      <w:r w:rsidR="004222C0">
        <w:t xml:space="preserve"> </w:t>
      </w:r>
      <w:r w:rsidR="00534EA1">
        <w:t xml:space="preserve">Similar trends emerge when looking at expenditure, as individuals gambling on </w:t>
      </w:r>
      <w:r w:rsidR="005C447B">
        <w:t xml:space="preserve">offshore-based </w:t>
      </w:r>
      <w:r w:rsidR="00534EA1">
        <w:t>sites and EGMs/casinos lose significantly more annually than those gambling on Lotto or the TAB.</w:t>
      </w:r>
      <w:r w:rsidR="004222C0">
        <w:t xml:space="preserve"> </w:t>
      </w:r>
      <w:r w:rsidR="00534EA1">
        <w:t xml:space="preserve">The results indicate that </w:t>
      </w:r>
      <w:r w:rsidR="005C447B">
        <w:t xml:space="preserve">offshore-based </w:t>
      </w:r>
      <w:r w:rsidR="00534EA1">
        <w:t>gambling incurs a similar amount of harm to EGMs/casinos, suggesting that a levy of similar magnitude could be appropriate</w:t>
      </w:r>
      <w:r w:rsidR="00D4257F">
        <w:t>, if introduced</w:t>
      </w:r>
      <w:r w:rsidR="00534EA1">
        <w:t xml:space="preserve">. </w:t>
      </w:r>
    </w:p>
    <w:p w14:paraId="4F65EB9F" w14:textId="4CFF9034" w:rsidR="00534EA1" w:rsidRDefault="00534EA1" w:rsidP="00534EA1">
      <w:r>
        <w:t>If offshore</w:t>
      </w:r>
      <w:r w:rsidR="0007293B">
        <w:t>-based</w:t>
      </w:r>
      <w:r>
        <w:t xml:space="preserve"> operators </w:t>
      </w:r>
      <w:r w:rsidR="0007293B">
        <w:t>are included</w:t>
      </w:r>
      <w:r>
        <w:t xml:space="preserve"> as an additional levy-paying sector, and the levy amount remained unchanged, the levies for the four existing sectors would decrease, reflecting their proportionally reduced expenditure and presentations relative to the overall sum under consideration. </w:t>
      </w:r>
      <w:r w:rsidR="0007293B">
        <w:t>Levels of</w:t>
      </w:r>
      <w:r>
        <w:t xml:space="preserve"> harm minimisation would remain the same, and the existing levy-paying sectors </w:t>
      </w:r>
      <w:r w:rsidR="00F8714C">
        <w:t>would pay</w:t>
      </w:r>
      <w:r>
        <w:t xml:space="preserve"> reduced levies. </w:t>
      </w:r>
      <w:r w:rsidR="004222C0">
        <w:t>A</w:t>
      </w:r>
      <w:r>
        <w:t xml:space="preserve"> more consistent approach could involve extending the existing levy or introducing a separate levy to offshore-based gambling providers</w:t>
      </w:r>
      <w:r w:rsidR="004222C0">
        <w:t xml:space="preserve"> that provide gambling services to New Zealanders</w:t>
      </w:r>
      <w:r w:rsidR="008C0C1D">
        <w:t>, recognising the fact that the harm caused by th</w:t>
      </w:r>
      <w:r w:rsidR="00F47001">
        <w:t>ose</w:t>
      </w:r>
      <w:r w:rsidR="008C0C1D">
        <w:t xml:space="preserve"> offshore-based providers </w:t>
      </w:r>
      <w:r w:rsidR="00F47001">
        <w:t xml:space="preserve">is to New Zealanders, and </w:t>
      </w:r>
      <w:r w:rsidR="00FE5F6B">
        <w:t xml:space="preserve">thus will </w:t>
      </w:r>
      <w:r w:rsidR="00337397">
        <w:t xml:space="preserve">come within the </w:t>
      </w:r>
      <w:r w:rsidR="000774FD">
        <w:t xml:space="preserve">gamut </w:t>
      </w:r>
      <w:r w:rsidR="00337397">
        <w:t>of</w:t>
      </w:r>
      <w:r w:rsidR="007413A1">
        <w:t xml:space="preserve"> New Zealand gambling harm </w:t>
      </w:r>
      <w:r w:rsidR="00163913">
        <w:t>reduction providers.</w:t>
      </w:r>
    </w:p>
    <w:p w14:paraId="140D1BBD" w14:textId="6DD71C1C" w:rsidR="00534EA1" w:rsidRDefault="00534EA1" w:rsidP="00534EA1">
      <w:r>
        <w:t>Regulating offshore</w:t>
      </w:r>
      <w:r w:rsidR="004222C0">
        <w:t>-based</w:t>
      </w:r>
      <w:r>
        <w:t xml:space="preserve"> gambling operators </w:t>
      </w:r>
      <w:r w:rsidR="002557B5">
        <w:t xml:space="preserve">would </w:t>
      </w:r>
      <w:r w:rsidR="007C1E4B">
        <w:t xml:space="preserve">therefore </w:t>
      </w:r>
      <w:r>
        <w:t xml:space="preserve">acknowledge the harm associated with this growing </w:t>
      </w:r>
      <w:r w:rsidR="007156C7">
        <w:t>market and</w:t>
      </w:r>
      <w:r>
        <w:t xml:space="preserve"> </w:t>
      </w:r>
      <w:r w:rsidR="002557B5">
        <w:t xml:space="preserve">would </w:t>
      </w:r>
      <w:r>
        <w:t>potentially justif</w:t>
      </w:r>
      <w:r w:rsidR="002557B5">
        <w:t>y</w:t>
      </w:r>
      <w:r>
        <w:t xml:space="preserve"> additional funding and a levy</w:t>
      </w:r>
      <w:r w:rsidR="00057003">
        <w:t xml:space="preserve"> on these providers</w:t>
      </w:r>
      <w:r>
        <w:t>. The magnitude of this levy would be determined by the sum of the additional investment package in the next Strategy and the projected expenditure/harm presentations of the offshore</w:t>
      </w:r>
      <w:r w:rsidR="00871263">
        <w:t>-based</w:t>
      </w:r>
      <w:r>
        <w:t xml:space="preserve"> gambling market, should a similar approach be adopted to that of the existing Strategy</w:t>
      </w:r>
      <w:r w:rsidR="00057003">
        <w:t>.</w:t>
      </w:r>
    </w:p>
    <w:p w14:paraId="4062553E" w14:textId="2DA54601" w:rsidR="007E34FD" w:rsidRDefault="006A4732" w:rsidP="007E34FD">
      <w:pPr>
        <w:pStyle w:val="Heading6"/>
        <w:numPr>
          <w:ilvl w:val="0"/>
          <w:numId w:val="0"/>
        </w:numPr>
      </w:pPr>
      <w:bookmarkStart w:id="39" w:name="_Toc163573796"/>
      <w:bookmarkStart w:id="40" w:name="_Toc163574227"/>
      <w:bookmarkStart w:id="41" w:name="_Toc163654621"/>
      <w:bookmarkStart w:id="42" w:name="_Toc166507363"/>
      <w:r>
        <w:lastRenderedPageBreak/>
        <w:t>What has the sector told us about m</w:t>
      </w:r>
      <w:r w:rsidR="00CD777E">
        <w:t>inimising gambling harm sector gaps and needs</w:t>
      </w:r>
      <w:bookmarkEnd w:id="39"/>
      <w:r>
        <w:t>?</w:t>
      </w:r>
      <w:bookmarkEnd w:id="40"/>
      <w:bookmarkEnd w:id="41"/>
      <w:bookmarkEnd w:id="42"/>
    </w:p>
    <w:p w14:paraId="3BAA687D" w14:textId="3FB1F4BA" w:rsidR="00954607" w:rsidRDefault="00954607" w:rsidP="00954607">
      <w:r>
        <w:t xml:space="preserve">Although a small number of participants highlighted a few systems change opportunities, almost all identified a number of perceived gaps and risks that require attention. </w:t>
      </w:r>
    </w:p>
    <w:p w14:paraId="7E5FDE3B" w14:textId="3DF0C5C7" w:rsidR="00CD777E" w:rsidRDefault="00954607" w:rsidP="0035317A">
      <w:r>
        <w:rPr>
          <w:b/>
          <w:bCs/>
        </w:rPr>
        <w:t>Participants’ perce</w:t>
      </w:r>
      <w:r w:rsidR="00B91D6C">
        <w:rPr>
          <w:b/>
          <w:bCs/>
        </w:rPr>
        <w:t>ptions of</w:t>
      </w:r>
      <w:r>
        <w:rPr>
          <w:b/>
          <w:bCs/>
        </w:rPr>
        <w:t xml:space="preserve"> sector </w:t>
      </w:r>
      <w:r w:rsidR="005C4E09">
        <w:rPr>
          <w:b/>
          <w:bCs/>
        </w:rPr>
        <w:t>strengths</w:t>
      </w:r>
      <w:r>
        <w:rPr>
          <w:b/>
          <w:bCs/>
        </w:rPr>
        <w:t xml:space="preserve">: </w:t>
      </w:r>
      <w:r>
        <w:t>A few participants perceived that systems change has provided some new opportunities f</w:t>
      </w:r>
      <w:r w:rsidR="00C65186">
        <w:t xml:space="preserve">or </w:t>
      </w:r>
      <w:r w:rsidR="005A78C8">
        <w:t xml:space="preserve">agencies to engage in </w:t>
      </w:r>
      <w:r w:rsidR="00C65186">
        <w:t>open, challenging</w:t>
      </w:r>
      <w:r w:rsidR="00E65A57">
        <w:t>,</w:t>
      </w:r>
      <w:r w:rsidR="00C65186">
        <w:t xml:space="preserve"> and shared conversations and learnings; improved </w:t>
      </w:r>
      <w:r w:rsidR="00CD777E">
        <w:t>partnerships between Te Whatu Ora and Te Aka Whai Ora</w:t>
      </w:r>
      <w:r w:rsidR="00C65186">
        <w:t>; collective agency responsibilities and responses to provider queries; a review of historical minimising gambling harm systems and providers; and a review of outdated and inconsistent gambling regulations.</w:t>
      </w:r>
    </w:p>
    <w:p w14:paraId="336DE8C2" w14:textId="03BF4D4F" w:rsidR="00B91D6C" w:rsidRDefault="00B91D6C" w:rsidP="0035317A">
      <w:pPr>
        <w:rPr>
          <w:b/>
          <w:bCs/>
        </w:rPr>
      </w:pPr>
      <w:r>
        <w:rPr>
          <w:b/>
          <w:bCs/>
        </w:rPr>
        <w:t xml:space="preserve">Participants’ perceptions of sector gaps: </w:t>
      </w:r>
    </w:p>
    <w:p w14:paraId="27D21C2D" w14:textId="196ADB5B" w:rsidR="00C65186" w:rsidRDefault="00B91D6C" w:rsidP="00B91D6C">
      <w:pPr>
        <w:pStyle w:val="Bulleted"/>
        <w:rPr>
          <w:rFonts w:cstheme="minorHAnsi"/>
          <w:shd w:val="clear" w:color="auto" w:fill="FFFFFF"/>
        </w:rPr>
      </w:pPr>
      <w:r>
        <w:t xml:space="preserve">Most participants perceived that </w:t>
      </w:r>
      <w:r w:rsidRPr="00B91D6C">
        <w:t>s</w:t>
      </w:r>
      <w:r w:rsidR="00C65186" w:rsidRPr="00B91D6C">
        <w:t>ystems change has not been well executed</w:t>
      </w:r>
      <w:r>
        <w:t xml:space="preserve"> and noted</w:t>
      </w:r>
      <w:r w:rsidR="009E6653">
        <w:t xml:space="preserve"> </w:t>
      </w:r>
      <w:r w:rsidR="00503ADD">
        <w:t xml:space="preserve">the sector was not </w:t>
      </w:r>
      <w:r w:rsidR="009E6653">
        <w:t xml:space="preserve">well prepared to understand and work with </w:t>
      </w:r>
      <w:r>
        <w:t xml:space="preserve">such extensive </w:t>
      </w:r>
      <w:r w:rsidR="009E6653">
        <w:t xml:space="preserve">changes. Separating roles and responsibilities for implementing the Strategy across </w:t>
      </w:r>
      <w:r w:rsidR="009E6653">
        <w:rPr>
          <w:rFonts w:cstheme="minorHAnsi"/>
          <w:shd w:val="clear" w:color="auto" w:fill="FFFFFF"/>
        </w:rPr>
        <w:t xml:space="preserve">three government agencies </w:t>
      </w:r>
      <w:r>
        <w:rPr>
          <w:rFonts w:cstheme="minorHAnsi"/>
          <w:shd w:val="clear" w:color="auto" w:fill="FFFFFF"/>
        </w:rPr>
        <w:t xml:space="preserve">was described as </w:t>
      </w:r>
      <w:r w:rsidR="009E6653">
        <w:rPr>
          <w:rFonts w:cstheme="minorHAnsi"/>
          <w:shd w:val="clear" w:color="auto" w:fill="FFFFFF"/>
        </w:rPr>
        <w:t>further complicat</w:t>
      </w:r>
      <w:r>
        <w:rPr>
          <w:rFonts w:cstheme="minorHAnsi"/>
          <w:shd w:val="clear" w:color="auto" w:fill="FFFFFF"/>
        </w:rPr>
        <w:t xml:space="preserve">ing </w:t>
      </w:r>
      <w:r w:rsidR="009E6653">
        <w:rPr>
          <w:rFonts w:cstheme="minorHAnsi"/>
          <w:shd w:val="clear" w:color="auto" w:fill="FFFFFF"/>
        </w:rPr>
        <w:t>an already complex system, and introduc</w:t>
      </w:r>
      <w:r>
        <w:rPr>
          <w:rFonts w:cstheme="minorHAnsi"/>
          <w:shd w:val="clear" w:color="auto" w:fill="FFFFFF"/>
        </w:rPr>
        <w:t>ing</w:t>
      </w:r>
      <w:r w:rsidR="009E6653">
        <w:rPr>
          <w:rFonts w:cstheme="minorHAnsi"/>
          <w:shd w:val="clear" w:color="auto" w:fill="FFFFFF"/>
        </w:rPr>
        <w:t xml:space="preserve"> several risks that require mitigation:</w:t>
      </w:r>
    </w:p>
    <w:p w14:paraId="0D2C54B3" w14:textId="7C70290B" w:rsidR="009E6653" w:rsidRDefault="00B91D6C" w:rsidP="00B91D6C">
      <w:pPr>
        <w:pStyle w:val="Second-levelbullets"/>
      </w:pPr>
      <w:r>
        <w:t xml:space="preserve">Risk one - </w:t>
      </w:r>
      <w:r w:rsidR="009E6653">
        <w:t xml:space="preserve">Separation of specialist gambling </w:t>
      </w:r>
      <w:r w:rsidR="009E6653" w:rsidRPr="004B0E82">
        <w:t>harm and multi-disciplinary skillsets within government agencies</w:t>
      </w:r>
      <w:r w:rsidR="009E6653">
        <w:t>: Splitting</w:t>
      </w:r>
      <w:r w:rsidR="009E6653" w:rsidRPr="004B0E82">
        <w:t xml:space="preserve"> </w:t>
      </w:r>
      <w:r w:rsidR="009E6653">
        <w:t xml:space="preserve">functions for </w:t>
      </w:r>
      <w:r w:rsidR="009E6653" w:rsidRPr="004B0E82">
        <w:t>procurement, funding and commissioning, and evaluation of services from policy and research</w:t>
      </w:r>
      <w:r w:rsidR="009E6653">
        <w:t xml:space="preserve"> was perceived </w:t>
      </w:r>
      <w:r w:rsidR="00503ADD">
        <w:t xml:space="preserve">by participants </w:t>
      </w:r>
      <w:r w:rsidR="009E6653">
        <w:t xml:space="preserve">as ignorant of interdependencies </w:t>
      </w:r>
      <w:r w:rsidR="00503ADD">
        <w:t xml:space="preserve">and crossover </w:t>
      </w:r>
      <w:r w:rsidR="009E6653">
        <w:t>between different components of the gambling sector; and reducing access to specialist skillsets and expertise within agencies.</w:t>
      </w:r>
    </w:p>
    <w:p w14:paraId="6C581B12" w14:textId="35F8FF41" w:rsidR="009E6653" w:rsidRDefault="00B91D6C" w:rsidP="00B91D6C">
      <w:pPr>
        <w:pStyle w:val="Second-levelbullets"/>
      </w:pPr>
      <w:r>
        <w:t xml:space="preserve">Risk two - </w:t>
      </w:r>
      <w:r w:rsidR="009E6653">
        <w:t xml:space="preserve">A </w:t>
      </w:r>
      <w:r w:rsidR="009E6653" w:rsidRPr="008C60D1">
        <w:t>lack of clarity and understanding about different government agency roles and responsibilities</w:t>
      </w:r>
      <w:r w:rsidR="009E6653">
        <w:t xml:space="preserve">: </w:t>
      </w:r>
      <w:r w:rsidR="005A78C8">
        <w:t xml:space="preserve">There remains a lack of clarity </w:t>
      </w:r>
      <w:r w:rsidR="009E6653" w:rsidRPr="008C60D1">
        <w:t xml:space="preserve">about </w:t>
      </w:r>
      <w:r w:rsidR="009E6653">
        <w:t xml:space="preserve">how </w:t>
      </w:r>
      <w:r w:rsidR="009E6653" w:rsidRPr="008C60D1">
        <w:t xml:space="preserve">roles and responsibilities across agencies </w:t>
      </w:r>
      <w:r w:rsidR="009E6653">
        <w:t>were</w:t>
      </w:r>
      <w:r w:rsidR="009E6653" w:rsidRPr="008C60D1">
        <w:t xml:space="preserve"> determined and </w:t>
      </w:r>
      <w:r w:rsidR="005A78C8">
        <w:t>l</w:t>
      </w:r>
      <w:r w:rsidR="009E6653" w:rsidRPr="008C60D1">
        <w:t xml:space="preserve">imited </w:t>
      </w:r>
      <w:r w:rsidR="00503ADD">
        <w:t xml:space="preserve">agency </w:t>
      </w:r>
      <w:r w:rsidR="009E6653" w:rsidRPr="008C60D1">
        <w:t>communication has led to confusion for some in the agency and provider sector</w:t>
      </w:r>
      <w:r w:rsidR="009E6653">
        <w:t>.</w:t>
      </w:r>
    </w:p>
    <w:p w14:paraId="337FB422" w14:textId="2997DF2A" w:rsidR="009E6653" w:rsidRPr="009E6653" w:rsidRDefault="00B91D6C" w:rsidP="00B91D6C">
      <w:pPr>
        <w:pStyle w:val="Second-levelbullets"/>
      </w:pPr>
      <w:r>
        <w:rPr>
          <w:lang w:val="en-US"/>
        </w:rPr>
        <w:t xml:space="preserve">Risk three - </w:t>
      </w:r>
      <w:r w:rsidR="009E6653">
        <w:rPr>
          <w:lang w:val="en-US"/>
        </w:rPr>
        <w:t>Reduced gambling-specific public sector workforce capacity: A small number of participants highlighted that integration of gambling agencies into Te Whatu Ora and initiatives with a broader AoD focus has reduced gambling-specific workforce capacity, autonomy</w:t>
      </w:r>
      <w:r w:rsidR="00561C47">
        <w:rPr>
          <w:lang w:val="en-US"/>
        </w:rPr>
        <w:t>,</w:t>
      </w:r>
      <w:r w:rsidR="009E6653">
        <w:rPr>
          <w:lang w:val="en-US"/>
        </w:rPr>
        <w:t xml:space="preserve"> and institutional knowledge within agencies.</w:t>
      </w:r>
    </w:p>
    <w:p w14:paraId="70C8332D" w14:textId="59269824" w:rsidR="009E6653" w:rsidRDefault="00B91D6C" w:rsidP="00B91D6C">
      <w:pPr>
        <w:pStyle w:val="Bulleted"/>
      </w:pPr>
      <w:r w:rsidRPr="00B91D6C">
        <w:t xml:space="preserve">Most participants perceived that recent provider procurement was not well executed: </w:t>
      </w:r>
      <w:r w:rsidR="009E6653" w:rsidRPr="00B91D6C">
        <w:t>executed</w:t>
      </w:r>
      <w:r>
        <w:t>.</w:t>
      </w:r>
      <w:r w:rsidR="009E6653">
        <w:rPr>
          <w:b/>
          <w:bCs/>
        </w:rPr>
        <w:t xml:space="preserve"> </w:t>
      </w:r>
      <w:r w:rsidR="00503ADD">
        <w:t xml:space="preserve">A small number of participants noted that moving commissioning functions to Te Whatu Ora and Te Aka Whai Ora could potentially strengthen provider procurement. However, most participants did not consider this the case and described </w:t>
      </w:r>
      <w:r w:rsidR="00491B73">
        <w:t>Te Whatu Ora’s recent provider procurement process</w:t>
      </w:r>
      <w:r w:rsidR="009E6653">
        <w:t xml:space="preserve"> </w:t>
      </w:r>
      <w:r w:rsidR="00503ADD">
        <w:t xml:space="preserve">as </w:t>
      </w:r>
      <w:r w:rsidR="00491B73">
        <w:t>l</w:t>
      </w:r>
      <w:r w:rsidR="009E6653">
        <w:t>itigious and transactional</w:t>
      </w:r>
      <w:r w:rsidR="00491B73">
        <w:t>; r</w:t>
      </w:r>
      <w:r w:rsidR="009E6653">
        <w:t>esource and time intensive</w:t>
      </w:r>
      <w:r w:rsidR="00491B73">
        <w:t>; i</w:t>
      </w:r>
      <w:r w:rsidR="00491B73" w:rsidRPr="007F2250">
        <w:t>nformed by agency representatives with limited gambling sector knowledge</w:t>
      </w:r>
      <w:r w:rsidR="00491B73">
        <w:t xml:space="preserve"> and provider engagement; l</w:t>
      </w:r>
      <w:r w:rsidR="009E6653">
        <w:t>imiting service options and increasing clinical risk</w:t>
      </w:r>
      <w:r w:rsidR="00491B73">
        <w:t>.</w:t>
      </w:r>
    </w:p>
    <w:p w14:paraId="502964B0" w14:textId="05CE26ED" w:rsidR="00491B73" w:rsidRDefault="000B55A3" w:rsidP="00491B73">
      <w:pPr>
        <w:rPr>
          <w:lang w:val="en-US"/>
        </w:rPr>
      </w:pPr>
      <w:r>
        <w:rPr>
          <w:b/>
          <w:bCs/>
        </w:rPr>
        <w:lastRenderedPageBreak/>
        <w:t xml:space="preserve">Participants’ perceptions of sector needs: </w:t>
      </w:r>
      <w:r>
        <w:t xml:space="preserve">All </w:t>
      </w:r>
      <w:r w:rsidRPr="000B55A3">
        <w:t xml:space="preserve">participants noted the </w:t>
      </w:r>
      <w:r w:rsidR="00491B73" w:rsidRPr="000B55A3">
        <w:t>gambling harm sector needs a well-functioning system</w:t>
      </w:r>
      <w:r w:rsidRPr="000B55A3">
        <w:t xml:space="preserve">. </w:t>
      </w:r>
      <w:r w:rsidR="005A78C8" w:rsidRPr="000B55A3">
        <w:rPr>
          <w:lang w:val="en-US"/>
        </w:rPr>
        <w:t>All participants were o</w:t>
      </w:r>
      <w:r w:rsidR="005A78C8">
        <w:rPr>
          <w:lang w:val="en-US"/>
        </w:rPr>
        <w:t>bservably in a state of change and disruption at the time of interviewing – while it was noted that change can provide an opportunity to re-set, most participants emphasised that change must be supported by a well-functioning, communicative</w:t>
      </w:r>
      <w:r w:rsidR="00156E75">
        <w:rPr>
          <w:lang w:val="en-US"/>
        </w:rPr>
        <w:t>,</w:t>
      </w:r>
      <w:r w:rsidR="005A78C8">
        <w:rPr>
          <w:lang w:val="en-US"/>
        </w:rPr>
        <w:t xml:space="preserve"> and co-ordinated system</w:t>
      </w:r>
      <w:r w:rsidR="00503ADD">
        <w:rPr>
          <w:lang w:val="en-US"/>
        </w:rPr>
        <w:t xml:space="preserve"> which consists of: </w:t>
      </w:r>
    </w:p>
    <w:p w14:paraId="357F45B8" w14:textId="26E519D1" w:rsidR="005A78C8" w:rsidRPr="005A78C8" w:rsidRDefault="005A78C8" w:rsidP="005A78C8">
      <w:pPr>
        <w:pStyle w:val="Bulleted"/>
        <w:rPr>
          <w:rFonts w:eastAsiaTheme="minorEastAsia"/>
          <w:color w:val="auto"/>
          <w:lang w:val="en-US" w:eastAsia="en-US"/>
        </w:rPr>
      </w:pPr>
      <w:r>
        <w:rPr>
          <w:lang w:val="en-US"/>
        </w:rPr>
        <w:t>Improved co-ordination across government agencies</w:t>
      </w:r>
      <w:r w:rsidR="00141932">
        <w:rPr>
          <w:lang w:val="en-US"/>
        </w:rPr>
        <w:t>: Most participants noted a need to i</w:t>
      </w:r>
      <w:r>
        <w:rPr>
          <w:lang w:val="en-US"/>
        </w:rPr>
        <w:t>nclu</w:t>
      </w:r>
      <w:r w:rsidR="00141932">
        <w:rPr>
          <w:lang w:val="en-US"/>
        </w:rPr>
        <w:t xml:space="preserve">de </w:t>
      </w:r>
      <w:r>
        <w:rPr>
          <w:lang w:val="en-US"/>
        </w:rPr>
        <w:t xml:space="preserve">the gambling expertise within </w:t>
      </w:r>
      <w:r w:rsidRPr="00D12259">
        <w:rPr>
          <w:shd w:val="clear" w:color="auto" w:fill="FFFFFF"/>
        </w:rPr>
        <w:t>Manatū Hauora</w:t>
      </w:r>
      <w:r>
        <w:rPr>
          <w:shd w:val="clear" w:color="auto" w:fill="FFFFFF"/>
        </w:rPr>
        <w:t xml:space="preserve"> to transition systems (especially data and monitoring systems) and knowledge to Te Whatu Ora and Te Aka Whai Ora. </w:t>
      </w:r>
      <w:r w:rsidR="00503ADD">
        <w:rPr>
          <w:shd w:val="clear" w:color="auto" w:fill="FFFFFF"/>
        </w:rPr>
        <w:t>R</w:t>
      </w:r>
      <w:r>
        <w:rPr>
          <w:shd w:val="clear" w:color="auto" w:fill="FFFFFF"/>
        </w:rPr>
        <w:t xml:space="preserve">epresentation from all three agencies on future procurement panels </w:t>
      </w:r>
      <w:r w:rsidR="00141932">
        <w:rPr>
          <w:shd w:val="clear" w:color="auto" w:fill="FFFFFF"/>
        </w:rPr>
        <w:t>is required</w:t>
      </w:r>
      <w:r w:rsidR="00503ADD">
        <w:rPr>
          <w:shd w:val="clear" w:color="auto" w:fill="FFFFFF"/>
        </w:rPr>
        <w:t xml:space="preserve"> and avoidance of separate agencies undertaking major commissioning processes at the same time</w:t>
      </w:r>
      <w:r w:rsidR="000B55A3">
        <w:rPr>
          <w:shd w:val="clear" w:color="auto" w:fill="FFFFFF"/>
        </w:rPr>
        <w:t xml:space="preserve"> or in such close succession</w:t>
      </w:r>
      <w:r w:rsidR="00503ADD">
        <w:rPr>
          <w:shd w:val="clear" w:color="auto" w:fill="FFFFFF"/>
        </w:rPr>
        <w:t xml:space="preserve">. </w:t>
      </w:r>
      <w:r>
        <w:rPr>
          <w:shd w:val="clear" w:color="auto" w:fill="FFFFFF"/>
        </w:rPr>
        <w:t xml:space="preserve"> </w:t>
      </w:r>
    </w:p>
    <w:p w14:paraId="624D73AC" w14:textId="67D18C2B" w:rsidR="00141932" w:rsidRPr="008F5485" w:rsidRDefault="00503ADD" w:rsidP="00BE011F">
      <w:pPr>
        <w:pStyle w:val="Bulleted"/>
        <w:rPr>
          <w:lang w:val="en-US"/>
        </w:rPr>
      </w:pPr>
      <w:r w:rsidRPr="008F5485">
        <w:rPr>
          <w:lang w:val="en-US"/>
        </w:rPr>
        <w:t xml:space="preserve">Strong relationships, co-ordination and connection across the sector: </w:t>
      </w:r>
      <w:r w:rsidR="008F5485">
        <w:rPr>
          <w:lang w:val="en-US"/>
        </w:rPr>
        <w:t>Some</w:t>
      </w:r>
      <w:r w:rsidRPr="008F5485">
        <w:rPr>
          <w:lang w:val="en-US"/>
        </w:rPr>
        <w:t xml:space="preserve"> participants </w:t>
      </w:r>
      <w:r w:rsidR="008F5485">
        <w:rPr>
          <w:lang w:val="en-US"/>
        </w:rPr>
        <w:t>considered</w:t>
      </w:r>
      <w:r w:rsidRPr="008F5485">
        <w:rPr>
          <w:lang w:val="en-US"/>
        </w:rPr>
        <w:t xml:space="preserve"> relationships across the sector had moved backwards – </w:t>
      </w:r>
      <w:r w:rsidRPr="008F5485">
        <w:rPr>
          <w:rStyle w:val="QuotesChar"/>
          <w:rFonts w:eastAsiaTheme="minorHAnsi"/>
          <w:sz w:val="22"/>
          <w:szCs w:val="22"/>
        </w:rPr>
        <w:t>to the 1990’s</w:t>
      </w:r>
      <w:r w:rsidRPr="008F5485">
        <w:rPr>
          <w:sz w:val="24"/>
          <w:szCs w:val="24"/>
          <w:lang w:val="en-US"/>
        </w:rPr>
        <w:t xml:space="preserve"> </w:t>
      </w:r>
      <w:r w:rsidRPr="008F5485">
        <w:rPr>
          <w:lang w:val="en-US"/>
        </w:rPr>
        <w:t xml:space="preserve">- and emphasised an urgent need to re-establish stronger sectoral relationships. </w:t>
      </w:r>
      <w:r w:rsidR="00141932" w:rsidRPr="008F5485">
        <w:rPr>
          <w:lang w:val="en-US"/>
        </w:rPr>
        <w:t xml:space="preserve">Some participants also </w:t>
      </w:r>
      <w:r w:rsidR="008F5485">
        <w:rPr>
          <w:lang w:val="en-US"/>
        </w:rPr>
        <w:t>acknowledged</w:t>
      </w:r>
      <w:r w:rsidR="00141932" w:rsidRPr="008F5485">
        <w:rPr>
          <w:lang w:val="en-US"/>
        </w:rPr>
        <w:t xml:space="preserve"> the gambling industry </w:t>
      </w:r>
      <w:r w:rsidR="008F5485">
        <w:rPr>
          <w:lang w:val="en-US"/>
        </w:rPr>
        <w:t xml:space="preserve">as </w:t>
      </w:r>
      <w:r w:rsidR="00141932" w:rsidRPr="008F5485">
        <w:rPr>
          <w:lang w:val="en-US"/>
        </w:rPr>
        <w:t>a critical relationship partner to ensure efficient and effective systems and seamless transitions for harmful gamblers from venues to support services</w:t>
      </w:r>
      <w:r w:rsidR="008F5485">
        <w:rPr>
          <w:lang w:val="en-US"/>
        </w:rPr>
        <w:t>.</w:t>
      </w:r>
    </w:p>
    <w:p w14:paraId="36B2CD84" w14:textId="742DEAA3" w:rsidR="005A78C8" w:rsidRPr="00141932" w:rsidRDefault="00141932" w:rsidP="005A78C8">
      <w:pPr>
        <w:pStyle w:val="Bulleted"/>
        <w:rPr>
          <w:rFonts w:eastAsiaTheme="minorHAnsi"/>
          <w:color w:val="auto"/>
          <w:lang w:val="en-US" w:eastAsia="en-US"/>
        </w:rPr>
      </w:pPr>
      <w:r>
        <w:rPr>
          <w:lang w:val="en-US"/>
        </w:rPr>
        <w:t xml:space="preserve">Strong communications across the sector: </w:t>
      </w:r>
      <w:r w:rsidR="008F5485">
        <w:rPr>
          <w:lang w:val="en-US"/>
        </w:rPr>
        <w:t>Some p</w:t>
      </w:r>
      <w:r w:rsidRPr="00866C59">
        <w:rPr>
          <w:lang w:val="en-US"/>
        </w:rPr>
        <w:t>articipants expressed a lack of communication and clarity from government agencies across the sector – a critical factor given the state of flux and health and gambling sector reforms all stakeholders were experiencing at the time of interviewing.</w:t>
      </w:r>
    </w:p>
    <w:p w14:paraId="35B89802" w14:textId="3D1CDBBB" w:rsidR="00141932" w:rsidRPr="00141932" w:rsidRDefault="00141932" w:rsidP="005A78C8">
      <w:pPr>
        <w:pStyle w:val="Bulleted"/>
        <w:rPr>
          <w:rFonts w:eastAsiaTheme="minorHAnsi"/>
          <w:color w:val="auto"/>
          <w:lang w:val="en-US" w:eastAsia="en-US"/>
        </w:rPr>
      </w:pPr>
      <w:r>
        <w:rPr>
          <w:lang w:val="en-US"/>
        </w:rPr>
        <w:t>Efficient data and monitoring systems: Some participants highlighted a need for a data collection and monitoring system that enables shared and timely access to data across three separate agencies.</w:t>
      </w:r>
    </w:p>
    <w:p w14:paraId="4B1C5B2E" w14:textId="5AB77E3E" w:rsidR="00141932" w:rsidRPr="00141932" w:rsidRDefault="00141932" w:rsidP="005A78C8">
      <w:pPr>
        <w:pStyle w:val="Bulleted"/>
        <w:rPr>
          <w:rFonts w:eastAsiaTheme="minorHAnsi"/>
          <w:color w:val="auto"/>
          <w:lang w:val="en-US" w:eastAsia="en-US"/>
        </w:rPr>
      </w:pPr>
      <w:r w:rsidRPr="00235599">
        <w:rPr>
          <w:lang w:val="en-US"/>
        </w:rPr>
        <w:t>A system that genuinely values and integrates lived experience into all aspects of gambling sector service development and delivery:</w:t>
      </w:r>
      <w:r>
        <w:rPr>
          <w:lang w:val="en-US"/>
        </w:rPr>
        <w:t xml:space="preserve"> </w:t>
      </w:r>
      <w:r w:rsidRPr="00235599">
        <w:rPr>
          <w:lang w:val="en-US"/>
        </w:rPr>
        <w:t xml:space="preserve">Partial and/or selective inclusion </w:t>
      </w:r>
      <w:r>
        <w:rPr>
          <w:lang w:val="en-US"/>
        </w:rPr>
        <w:t xml:space="preserve">of lived experience in sector initiatives and design </w:t>
      </w:r>
      <w:r w:rsidRPr="00235599">
        <w:rPr>
          <w:lang w:val="en-US"/>
        </w:rPr>
        <w:t xml:space="preserve">was not perceived to reflect or value the voice of lived experience. </w:t>
      </w:r>
      <w:r>
        <w:rPr>
          <w:lang w:val="en-US"/>
        </w:rPr>
        <w:t xml:space="preserve">Authentic and genuine commitments for lived experience could be reflected in actioning the government’s rhetoric and verbal commitments for inclusiveness; providing appropriate and adequate communications, notification and preparation for hui and lived experience representation as well as outcomes/actions resulting from korero and/or advice provided. </w:t>
      </w:r>
    </w:p>
    <w:p w14:paraId="3CA35A2A" w14:textId="3FEA4E66" w:rsidR="00141932" w:rsidRDefault="00141932" w:rsidP="00141932">
      <w:pPr>
        <w:pStyle w:val="Bulleted"/>
        <w:rPr>
          <w:lang w:val="en-US"/>
        </w:rPr>
      </w:pPr>
      <w:r w:rsidRPr="00566DF1">
        <w:rPr>
          <w:lang w:val="en-US"/>
        </w:rPr>
        <w:t xml:space="preserve">Clear and transparent funding: Some participants noted concerns about </w:t>
      </w:r>
      <w:r w:rsidR="000B55A3">
        <w:rPr>
          <w:lang w:val="en-US"/>
        </w:rPr>
        <w:t xml:space="preserve">perceived </w:t>
      </w:r>
      <w:r w:rsidRPr="00566DF1">
        <w:rPr>
          <w:lang w:val="en-US"/>
        </w:rPr>
        <w:t>reduc</w:t>
      </w:r>
      <w:r w:rsidR="000B55A3">
        <w:rPr>
          <w:lang w:val="en-US"/>
        </w:rPr>
        <w:t xml:space="preserve">tions in </w:t>
      </w:r>
      <w:r w:rsidRPr="00566DF1">
        <w:rPr>
          <w:lang w:val="en-US"/>
        </w:rPr>
        <w:t xml:space="preserve">clinical workforce </w:t>
      </w:r>
      <w:r w:rsidR="000B55A3">
        <w:rPr>
          <w:lang w:val="en-US"/>
        </w:rPr>
        <w:t xml:space="preserve">capacity </w:t>
      </w:r>
      <w:r w:rsidRPr="00566DF1">
        <w:rPr>
          <w:lang w:val="en-US"/>
        </w:rPr>
        <w:t>and whether funds previously allocated to the now disestablished provider would/could be re-allocated to optimise specialist clinical workforce capacity. Transparency of levy funds and expenditure was considered a critical need.</w:t>
      </w:r>
    </w:p>
    <w:p w14:paraId="185E8479" w14:textId="77777777" w:rsidR="00141932" w:rsidRDefault="00141932" w:rsidP="00141932">
      <w:pPr>
        <w:pStyle w:val="Bulleted"/>
        <w:rPr>
          <w:lang w:val="en-US"/>
        </w:rPr>
      </w:pPr>
      <w:r>
        <w:rPr>
          <w:lang w:val="en-US"/>
        </w:rPr>
        <w:t>Review of the Strategy to ensure:</w:t>
      </w:r>
    </w:p>
    <w:p w14:paraId="7D0CE168" w14:textId="1EB2E379" w:rsidR="00141932" w:rsidRDefault="00141932" w:rsidP="00141932">
      <w:pPr>
        <w:pStyle w:val="Second-levelbullets"/>
        <w:rPr>
          <w:lang w:val="en-US"/>
        </w:rPr>
      </w:pPr>
      <w:r>
        <w:rPr>
          <w:lang w:val="en-US"/>
        </w:rPr>
        <w:lastRenderedPageBreak/>
        <w:t>Funding for provider promotions/communications</w:t>
      </w:r>
    </w:p>
    <w:p w14:paraId="72304F9C" w14:textId="1862258B" w:rsidR="00141932" w:rsidRDefault="00141932" w:rsidP="00141932">
      <w:pPr>
        <w:pStyle w:val="Second-levelbullets"/>
        <w:rPr>
          <w:lang w:val="en-US"/>
        </w:rPr>
      </w:pPr>
      <w:r>
        <w:rPr>
          <w:lang w:val="en-US"/>
        </w:rPr>
        <w:t>Funding allocations for services across the gambling harm continuum</w:t>
      </w:r>
      <w:r w:rsidR="00C25F29">
        <w:rPr>
          <w:lang w:val="en-US"/>
        </w:rPr>
        <w:t xml:space="preserve"> (from mild/moderate to severe)</w:t>
      </w:r>
    </w:p>
    <w:p w14:paraId="6F7BE49E" w14:textId="6B0F3D99" w:rsidR="00141932" w:rsidRPr="007156C7" w:rsidRDefault="00C25F29" w:rsidP="005A78C8">
      <w:pPr>
        <w:pStyle w:val="Bulleted"/>
        <w:rPr>
          <w:rFonts w:eastAsiaTheme="minorHAnsi"/>
          <w:color w:val="auto"/>
          <w:lang w:val="en-US" w:eastAsia="en-US"/>
        </w:rPr>
      </w:pPr>
      <w:r w:rsidRPr="00DF485A">
        <w:rPr>
          <w:lang w:val="en-US"/>
        </w:rPr>
        <w:t xml:space="preserve">Online gambling regulation: </w:t>
      </w:r>
      <w:r>
        <w:rPr>
          <w:lang w:val="en-US"/>
        </w:rPr>
        <w:t>All</w:t>
      </w:r>
      <w:r w:rsidRPr="00DF485A">
        <w:rPr>
          <w:lang w:val="en-US"/>
        </w:rPr>
        <w:t xml:space="preserve"> participants noted an urgent need to regulate online gambling</w:t>
      </w:r>
      <w:r>
        <w:rPr>
          <w:lang w:val="en-US"/>
        </w:rPr>
        <w:t>. It is important to note</w:t>
      </w:r>
      <w:r w:rsidR="00D47377">
        <w:rPr>
          <w:lang w:val="en-US"/>
        </w:rPr>
        <w:t>,</w:t>
      </w:r>
      <w:r>
        <w:rPr>
          <w:lang w:val="en-US"/>
        </w:rPr>
        <w:t xml:space="preserve"> however, that any development of online regulations must consider potential and unanticipated consequences, such as a precedence being set for the expansion of online gambling products and/or advertising</w:t>
      </w:r>
    </w:p>
    <w:p w14:paraId="33454EC6" w14:textId="193C8B43" w:rsidR="00C25F29" w:rsidRDefault="00C25F29" w:rsidP="00BE011F">
      <w:pPr>
        <w:pStyle w:val="Bulleted"/>
      </w:pPr>
      <w:r w:rsidRPr="00C25F29">
        <w:rPr>
          <w:lang w:val="en-US"/>
        </w:rPr>
        <w:t xml:space="preserve">Review of the Gambling levy: A small number of participants noted a need to review the gambling levy to acknowledge different types of Class 4 venues; </w:t>
      </w:r>
      <w:r>
        <w:rPr>
          <w:lang w:val="en-US"/>
        </w:rPr>
        <w:t>s</w:t>
      </w:r>
      <w:r>
        <w:t>ervice provider responses to online gambling; underfunding based on presentation numbers only.</w:t>
      </w:r>
    </w:p>
    <w:p w14:paraId="5D716ABD" w14:textId="0BDDD500" w:rsidR="0035317A" w:rsidRDefault="006A4732" w:rsidP="00F85486">
      <w:pPr>
        <w:pStyle w:val="Heading6"/>
        <w:numPr>
          <w:ilvl w:val="0"/>
          <w:numId w:val="0"/>
        </w:numPr>
      </w:pPr>
      <w:bookmarkStart w:id="43" w:name="_Toc163573797"/>
      <w:bookmarkStart w:id="44" w:name="_Toc163574228"/>
      <w:bookmarkStart w:id="45" w:name="_Toc163654622"/>
      <w:bookmarkStart w:id="46" w:name="_Toc166507364"/>
      <w:r>
        <w:t>What has the sector told us about c</w:t>
      </w:r>
      <w:r w:rsidR="00C65186">
        <w:t>linical intervention service gaps and needs</w:t>
      </w:r>
      <w:bookmarkEnd w:id="43"/>
      <w:r>
        <w:t>?</w:t>
      </w:r>
      <w:bookmarkEnd w:id="44"/>
      <w:bookmarkEnd w:id="45"/>
      <w:bookmarkEnd w:id="46"/>
    </w:p>
    <w:p w14:paraId="4B9EC2D5" w14:textId="77777777" w:rsidR="00CA1281" w:rsidRDefault="00CA1281" w:rsidP="00CA1281">
      <w:r>
        <w:t xml:space="preserve">Most interviewed participants highlighted a range of clinical intervention service gaps and a need for the Strategy to support: </w:t>
      </w:r>
    </w:p>
    <w:p w14:paraId="2FB495A8" w14:textId="3F61A80D" w:rsidR="005F52EA" w:rsidRDefault="00CA1281" w:rsidP="00296035">
      <w:r>
        <w:rPr>
          <w:b/>
          <w:bCs/>
        </w:rPr>
        <w:t>Increased c</w:t>
      </w:r>
      <w:r w:rsidR="00C25F29">
        <w:rPr>
          <w:b/>
          <w:bCs/>
        </w:rPr>
        <w:t xml:space="preserve">linical </w:t>
      </w:r>
      <w:r w:rsidR="00296035">
        <w:rPr>
          <w:b/>
          <w:bCs/>
        </w:rPr>
        <w:t xml:space="preserve">workforce </w:t>
      </w:r>
      <w:r w:rsidR="00C25F29">
        <w:rPr>
          <w:b/>
          <w:bCs/>
        </w:rPr>
        <w:t xml:space="preserve">capacity: </w:t>
      </w:r>
      <w:r w:rsidR="00C25F29">
        <w:t xml:space="preserve">Most participants noted clinical capacity was not adequate to meet levels of need for harmful gamblers and whanau across Aotearoa New Zealand. Workforce capacity was </w:t>
      </w:r>
      <w:r>
        <w:t xml:space="preserve">perceived as being </w:t>
      </w:r>
      <w:r w:rsidR="00C25F29">
        <w:t>further reduced with the recently disestablished provider – participants advocated a need to ensure clinical workforce funds previously allocated to this provider were reinvested in maintaining and/or growing the clinical workforce. The potential to increase peer support services was commended but not at the cost of clinical workforce capacity – particularly in light of the extensive clinical supervision and oversight required for peer support services.</w:t>
      </w:r>
    </w:p>
    <w:p w14:paraId="40825EDB" w14:textId="52CEA7D6" w:rsidR="00C25F29" w:rsidRDefault="00CA1281" w:rsidP="00296035">
      <w:r>
        <w:rPr>
          <w:b/>
          <w:bCs/>
        </w:rPr>
        <w:t>Increased a</w:t>
      </w:r>
      <w:r w:rsidR="00C25F29">
        <w:rPr>
          <w:b/>
          <w:bCs/>
        </w:rPr>
        <w:t xml:space="preserve">ccess to </w:t>
      </w:r>
      <w:r>
        <w:rPr>
          <w:b/>
          <w:bCs/>
        </w:rPr>
        <w:t xml:space="preserve">out-of-hours </w:t>
      </w:r>
      <w:r w:rsidR="00C25F29">
        <w:rPr>
          <w:b/>
          <w:bCs/>
        </w:rPr>
        <w:t>clinical services</w:t>
      </w:r>
      <w:r>
        <w:rPr>
          <w:b/>
          <w:bCs/>
        </w:rPr>
        <w:t>, residential care and support in prisons</w:t>
      </w:r>
      <w:r w:rsidR="00C25F29">
        <w:rPr>
          <w:b/>
          <w:bCs/>
        </w:rPr>
        <w:t xml:space="preserve">: </w:t>
      </w:r>
      <w:r w:rsidR="00C25F29">
        <w:rPr>
          <w:lang w:val="en-US"/>
        </w:rPr>
        <w:t xml:space="preserve">Some participants emphasised the importance of reducing wait times and providing immediate clinical responses/intervention for harmful gamblers but noted that limited clinical workforce capacity compromised timely access and support. Access to clinical services can be strengthened by providing out of work hours and weekend services and support; residential services providing intensive support and reprieve for harmful gambling clients and </w:t>
      </w:r>
      <w:r w:rsidR="00C25F29">
        <w:t>wh</w:t>
      </w:r>
      <w:r w:rsidR="00C25F29">
        <w:rPr>
          <w:rFonts w:cs="Calibri"/>
        </w:rPr>
        <w:t>ā</w:t>
      </w:r>
      <w:r w:rsidR="00C25F29">
        <w:t>nau/families; adequate support in prisons and remand, and residential support on release</w:t>
      </w:r>
      <w:r w:rsidR="00E9317E">
        <w:t>.</w:t>
      </w:r>
    </w:p>
    <w:p w14:paraId="421FB977" w14:textId="7E036C5E" w:rsidR="00E9317E" w:rsidRDefault="00CA1281" w:rsidP="00E9317E">
      <w:pPr>
        <w:rPr>
          <w:b/>
          <w:bCs/>
          <w:lang w:val="en-US"/>
        </w:rPr>
      </w:pPr>
      <w:r>
        <w:rPr>
          <w:b/>
          <w:bCs/>
        </w:rPr>
        <w:t xml:space="preserve">Stronger </w:t>
      </w:r>
      <w:r w:rsidR="00C25F29">
        <w:rPr>
          <w:b/>
          <w:bCs/>
        </w:rPr>
        <w:t xml:space="preserve">workforce recruitment and retention </w:t>
      </w:r>
      <w:r>
        <w:rPr>
          <w:b/>
          <w:bCs/>
        </w:rPr>
        <w:t>strategies</w:t>
      </w:r>
      <w:r w:rsidR="00E9317E">
        <w:rPr>
          <w:b/>
          <w:bCs/>
        </w:rPr>
        <w:t xml:space="preserve">: </w:t>
      </w:r>
      <w:r w:rsidR="00E9317E">
        <w:rPr>
          <w:lang w:val="en-US"/>
        </w:rPr>
        <w:t>Most participants advocated a need to grow gambling harm clinical capacity but also noted three main risks that require attention.</w:t>
      </w:r>
    </w:p>
    <w:p w14:paraId="561AE5B8" w14:textId="746E6BD3" w:rsidR="00E9317E" w:rsidRDefault="00E9317E" w:rsidP="00E9317E">
      <w:pPr>
        <w:pStyle w:val="Bulleted"/>
      </w:pPr>
      <w:r>
        <w:rPr>
          <w:b/>
          <w:bCs/>
          <w:lang w:val="en-US"/>
        </w:rPr>
        <w:t xml:space="preserve">Workforce recruitment (pipeline, education and qualification): </w:t>
      </w:r>
      <w:r>
        <w:rPr>
          <w:lang w:val="en-US"/>
        </w:rPr>
        <w:t>T</w:t>
      </w:r>
      <w:r w:rsidRPr="00596AA8">
        <w:t xml:space="preserve">he pipeline for qualified harmful gambling clinicians </w:t>
      </w:r>
      <w:r>
        <w:t xml:space="preserve">and specialists </w:t>
      </w:r>
      <w:r w:rsidRPr="00596AA8">
        <w:t xml:space="preserve">was </w:t>
      </w:r>
      <w:r>
        <w:t>considered</w:t>
      </w:r>
      <w:r w:rsidRPr="00596AA8">
        <w:t xml:space="preserve"> extremely limited.</w:t>
      </w:r>
      <w:r>
        <w:t xml:space="preserve"> A review and refinement of harmful gambling (AoD) course content was strongly recommended. Participants also highlighted the importance of ensuring that lived experience was represented and integrated into developing and delivering pipeline education and training.</w:t>
      </w:r>
    </w:p>
    <w:p w14:paraId="3C8D9016" w14:textId="11C3DA81" w:rsidR="00E9317E" w:rsidRDefault="00E9317E" w:rsidP="00E9317E">
      <w:pPr>
        <w:pStyle w:val="Bulleted"/>
      </w:pPr>
      <w:r>
        <w:rPr>
          <w:b/>
          <w:bCs/>
        </w:rPr>
        <w:lastRenderedPageBreak/>
        <w:t xml:space="preserve">Workforce development: </w:t>
      </w:r>
      <w:r>
        <w:t>Workforce development delivered by specialists in minimising gambling harm was considered critical. Current harmful gambling providers may be best placed to strengthen and deliver workforce development pathways for clinical and peer services, especially for priority populations.</w:t>
      </w:r>
    </w:p>
    <w:p w14:paraId="6B007D9C" w14:textId="65086F22" w:rsidR="00E9317E" w:rsidRDefault="00E9317E" w:rsidP="00E9317E">
      <w:pPr>
        <w:pStyle w:val="Bulleted"/>
        <w:rPr>
          <w:lang w:val="en-US"/>
        </w:rPr>
      </w:pPr>
      <w:r>
        <w:rPr>
          <w:b/>
          <w:bCs/>
          <w:lang w:val="en-US"/>
        </w:rPr>
        <w:t xml:space="preserve">Workforce retention and pay equity: </w:t>
      </w:r>
      <w:r>
        <w:rPr>
          <w:lang w:val="en-US"/>
        </w:rPr>
        <w:t xml:space="preserve">Some participants noted clinical staff retention was critical and emphasised a need to review and acknowledge the importance of pay equity – particularly in light of differential salary bands offered across NGO and government settings for clinical roles </w:t>
      </w:r>
      <w:r w:rsidR="008D2A2F">
        <w:rPr>
          <w:lang w:val="en-US"/>
        </w:rPr>
        <w:t xml:space="preserve">in </w:t>
      </w:r>
      <w:r>
        <w:rPr>
          <w:lang w:val="en-US"/>
        </w:rPr>
        <w:t>the AoD and social service sector.</w:t>
      </w:r>
    </w:p>
    <w:p w14:paraId="2089F3BC" w14:textId="77777777" w:rsidR="00CA1281" w:rsidRDefault="00CA1281" w:rsidP="00CA1281">
      <w:pPr>
        <w:rPr>
          <w:lang w:val="en-US"/>
        </w:rPr>
      </w:pPr>
      <w:r>
        <w:rPr>
          <w:b/>
          <w:bCs/>
          <w:lang w:val="en-US"/>
        </w:rPr>
        <w:t>Specialist responses to harmful gambling behaviour and co-morbidities</w:t>
      </w:r>
      <w:r w:rsidR="00E9317E">
        <w:rPr>
          <w:b/>
          <w:bCs/>
          <w:lang w:val="en-US"/>
        </w:rPr>
        <w:t>:</w:t>
      </w:r>
      <w:r w:rsidR="00E9317E">
        <w:rPr>
          <w:lang w:val="en-US"/>
        </w:rPr>
        <w:t xml:space="preserve"> </w:t>
      </w:r>
      <w:r w:rsidR="00E9317E">
        <w:t xml:space="preserve">Participants provided mixed perspectives about perceived shifts in the rhetoric and understanding of minimising gambling harm services in relation to comorbidities and wider addiction services. Some considered it necessary to ensure clinical responses to harmful gambling were not isolated from responses to other addictions. Others </w:t>
      </w:r>
      <w:r w:rsidR="00E9317E" w:rsidRPr="00380EDE">
        <w:rPr>
          <w:rStyle w:val="BulletedChar"/>
          <w:rFonts w:eastAsiaTheme="minorHAnsi"/>
        </w:rPr>
        <w:t>noted a need to recognise harmful gambling as a specialist area/workforce</w:t>
      </w:r>
      <w:r w:rsidR="00E9317E" w:rsidRPr="00E9317E">
        <w:rPr>
          <w:rStyle w:val="BulletedChar"/>
          <w:rFonts w:eastAsiaTheme="minorHAnsi"/>
        </w:rPr>
        <w:t xml:space="preserve"> </w:t>
      </w:r>
      <w:r w:rsidR="00E9317E">
        <w:rPr>
          <w:rStyle w:val="BulletedChar"/>
          <w:rFonts w:eastAsiaTheme="minorHAnsi"/>
        </w:rPr>
        <w:t xml:space="preserve">with </w:t>
      </w:r>
      <w:r w:rsidR="00E9317E" w:rsidRPr="00380EDE">
        <w:rPr>
          <w:rStyle w:val="BulletedChar"/>
          <w:rFonts w:eastAsiaTheme="minorHAnsi"/>
        </w:rPr>
        <w:t xml:space="preserve">deep understandings about gambling-specific contexts and treatment pathways </w:t>
      </w:r>
      <w:r w:rsidR="00E9317E">
        <w:rPr>
          <w:rStyle w:val="BulletedChar"/>
          <w:rFonts w:eastAsiaTheme="minorHAnsi"/>
        </w:rPr>
        <w:t xml:space="preserve">that </w:t>
      </w:r>
      <w:r w:rsidR="00E9317E" w:rsidRPr="00380EDE">
        <w:rPr>
          <w:rStyle w:val="BulletedChar"/>
          <w:rFonts w:eastAsiaTheme="minorHAnsi"/>
        </w:rPr>
        <w:t>cannot be addressed by generic addictions clinical responses. Integrating the Gambling Helpline into Whakarongorau Aotearoa</w:t>
      </w:r>
      <w:r w:rsidR="00E9317E">
        <w:rPr>
          <w:rStyle w:val="BulletedChar"/>
          <w:rFonts w:eastAsiaTheme="minorHAnsi"/>
        </w:rPr>
        <w:t xml:space="preserve">, and reduced referrals and robust responses to harmful gamblers </w:t>
      </w:r>
      <w:r w:rsidR="00E9317E" w:rsidRPr="00380EDE">
        <w:rPr>
          <w:rStyle w:val="BulletedChar"/>
          <w:rFonts w:eastAsiaTheme="minorHAnsi"/>
        </w:rPr>
        <w:t>w</w:t>
      </w:r>
      <w:r w:rsidR="00E9317E">
        <w:rPr>
          <w:rStyle w:val="BulletedChar"/>
          <w:rFonts w:eastAsiaTheme="minorHAnsi"/>
        </w:rPr>
        <w:t>ere</w:t>
      </w:r>
      <w:r w:rsidR="00E9317E" w:rsidRPr="00380EDE">
        <w:rPr>
          <w:rStyle w:val="BulletedChar"/>
          <w:rFonts w:eastAsiaTheme="minorHAnsi"/>
        </w:rPr>
        <w:t xml:space="preserve"> highlighted as an example of minimising specialist gambling expertise in response to harmful gambling</w:t>
      </w:r>
      <w:r w:rsidR="00E9317E">
        <w:t>.</w:t>
      </w:r>
    </w:p>
    <w:p w14:paraId="7E95F8C9" w14:textId="48E283A7" w:rsidR="008F5485" w:rsidRPr="00CA1281" w:rsidRDefault="00CA1281" w:rsidP="00CA1281">
      <w:pPr>
        <w:rPr>
          <w:lang w:val="en-US"/>
        </w:rPr>
      </w:pPr>
      <w:r>
        <w:rPr>
          <w:b/>
          <w:bCs/>
          <w:lang w:val="en-US"/>
        </w:rPr>
        <w:t>Clinical responses to o</w:t>
      </w:r>
      <w:r w:rsidR="008F5485">
        <w:rPr>
          <w:b/>
          <w:bCs/>
        </w:rPr>
        <w:t xml:space="preserve">nline gambling: </w:t>
      </w:r>
      <w:r w:rsidR="008F5485">
        <w:t>Most participants noted need for an urgent response to a fast-growing prevalence of online gambling and gaming and gambling participation. Some highlighted current and potential services and clinical models, but also noted limitations within the Gambling Act and Strategy to address/fund opportunities to minimise online gambling harms for current and prospective online harmful gamblers.</w:t>
      </w:r>
    </w:p>
    <w:p w14:paraId="25EE3DF1" w14:textId="17F9C868" w:rsidR="008F5485" w:rsidRDefault="00CA1281" w:rsidP="00CA1281">
      <w:r>
        <w:rPr>
          <w:b/>
          <w:bCs/>
        </w:rPr>
        <w:t>Improved m</w:t>
      </w:r>
      <w:r w:rsidR="008F5485">
        <w:rPr>
          <w:b/>
          <w:bCs/>
        </w:rPr>
        <w:t>ulti-venue exclusion</w:t>
      </w:r>
      <w:r>
        <w:rPr>
          <w:b/>
          <w:bCs/>
        </w:rPr>
        <w:t xml:space="preserve"> processes</w:t>
      </w:r>
      <w:r w:rsidR="008F5485">
        <w:rPr>
          <w:b/>
          <w:bCs/>
        </w:rPr>
        <w:t xml:space="preserve">: </w:t>
      </w:r>
      <w:r w:rsidR="008F5485">
        <w:t xml:space="preserve">Most participants commended and supported multi-venue exclusions but also recommended </w:t>
      </w:r>
      <w:r>
        <w:t>a need to provide clinical follow-up throughout and at the end of MVE contracts, reduce wait time between sign-ups and setting up/implementing orders, strict adherence to venue harm minimisation processes (e.g</w:t>
      </w:r>
      <w:r w:rsidR="006A6A33">
        <w:t>.</w:t>
      </w:r>
      <w:r>
        <w:t>, storing patron photo’s out of sight), optimising the use of the CONCERN database and facial recognition equipment</w:t>
      </w:r>
      <w:r w:rsidR="008F5485">
        <w:t xml:space="preserve">. </w:t>
      </w:r>
    </w:p>
    <w:p w14:paraId="2C34738F" w14:textId="127436CF" w:rsidR="00C65186" w:rsidRDefault="006A4732" w:rsidP="00C65186">
      <w:pPr>
        <w:pStyle w:val="Heading6"/>
        <w:numPr>
          <w:ilvl w:val="0"/>
          <w:numId w:val="0"/>
        </w:numPr>
      </w:pPr>
      <w:bookmarkStart w:id="47" w:name="_Toc163573798"/>
      <w:bookmarkStart w:id="48" w:name="_Toc163574229"/>
      <w:bookmarkStart w:id="49" w:name="_Toc163654623"/>
      <w:bookmarkStart w:id="50" w:name="_Toc166507365"/>
      <w:r>
        <w:t>What has the sector told us about p</w:t>
      </w:r>
      <w:r w:rsidR="00C65186">
        <w:t>ublic health service gaps and needs</w:t>
      </w:r>
      <w:bookmarkEnd w:id="47"/>
      <w:r>
        <w:t>?</w:t>
      </w:r>
      <w:bookmarkEnd w:id="48"/>
      <w:bookmarkEnd w:id="49"/>
      <w:bookmarkEnd w:id="50"/>
    </w:p>
    <w:p w14:paraId="38593A32" w14:textId="5492C2E1" w:rsidR="00CA1281" w:rsidRDefault="00CA1281" w:rsidP="00CA1281">
      <w:r>
        <w:t xml:space="preserve">Most participants identified a range of public health service gaps and a need for the Strategy to ensure: </w:t>
      </w:r>
    </w:p>
    <w:p w14:paraId="52F3B321" w14:textId="5AFE7BE3" w:rsidR="00296035" w:rsidRPr="00296035" w:rsidRDefault="00296035" w:rsidP="00303C88">
      <w:pPr>
        <w:pStyle w:val="Bulleted"/>
      </w:pPr>
      <w:r w:rsidRPr="00303C88">
        <w:t xml:space="preserve">Adequate funding for provider promotion and awareness raising initiatives: </w:t>
      </w:r>
      <w:r w:rsidR="00303C88" w:rsidRPr="00303C88">
        <w:t>P</w:t>
      </w:r>
      <w:r w:rsidR="00303C88">
        <w:t>erceived u</w:t>
      </w:r>
      <w:r w:rsidRPr="00296035">
        <w:t xml:space="preserve">nderinvestment in provider promotions has limited the extent and reach of provider awareness raising and public health initiatives – providers cannot compete in a competitive online market promoting gambling activity. </w:t>
      </w:r>
    </w:p>
    <w:p w14:paraId="6A2BD885" w14:textId="77777777" w:rsidR="00296035" w:rsidRPr="00303C88" w:rsidRDefault="00296035" w:rsidP="00303C88">
      <w:pPr>
        <w:pStyle w:val="Bulleted"/>
      </w:pPr>
      <w:r w:rsidRPr="00303C88">
        <w:lastRenderedPageBreak/>
        <w:t>Development of health promotion and public health resources to increase awareness about gaming and online gambling.</w:t>
      </w:r>
    </w:p>
    <w:p w14:paraId="2F1E56DC" w14:textId="1AA19616" w:rsidR="00296035" w:rsidRPr="00303C88" w:rsidRDefault="00296035" w:rsidP="00303C88">
      <w:pPr>
        <w:pStyle w:val="Bulleted"/>
      </w:pPr>
      <w:r w:rsidRPr="00303C88">
        <w:t xml:space="preserve">Evaluation of health promotion and public health resources to understand impacts on attitudes, awareness, recall of key messages and gambling behaviour. </w:t>
      </w:r>
    </w:p>
    <w:p w14:paraId="39F70905" w14:textId="346A74F0" w:rsidR="00296035" w:rsidRPr="00296035" w:rsidRDefault="00296035" w:rsidP="00296035">
      <w:pPr>
        <w:pStyle w:val="Bulleted"/>
      </w:pPr>
      <w:r>
        <w:t xml:space="preserve">Development and promotion of destigmatising initiatives and key messages and, public health responses to online gambling. </w:t>
      </w:r>
      <w:r w:rsidR="00303C88">
        <w:t>Some p</w:t>
      </w:r>
      <w:r>
        <w:t>articipants</w:t>
      </w:r>
      <w:r w:rsidR="00303C88">
        <w:t xml:space="preserve"> specifically</w:t>
      </w:r>
      <w:r>
        <w:t xml:space="preserve"> highlighted a need to minimise stigma/shame associated with harmful gambling (for Asian and other priority groups) and reframe messaging </w:t>
      </w:r>
      <w:r w:rsidR="00F26A23">
        <w:t>within</w:t>
      </w:r>
      <w:r>
        <w:t xml:space="preserve"> a trauma-informed </w:t>
      </w:r>
      <w:r w:rsidR="00F26A23">
        <w:t>context.</w:t>
      </w:r>
    </w:p>
    <w:p w14:paraId="0C2EA9D3" w14:textId="07CFC7F9" w:rsidR="00296035" w:rsidRDefault="00296035" w:rsidP="00296035">
      <w:pPr>
        <w:pStyle w:val="Bulleted"/>
      </w:pPr>
      <w:r>
        <w:t>A centralised national database of individuals excluded from gambling venues.</w:t>
      </w:r>
    </w:p>
    <w:p w14:paraId="7CC974D9" w14:textId="77777777" w:rsidR="00114F73" w:rsidRDefault="006015AB" w:rsidP="00114F73">
      <w:r w:rsidRPr="00D43689">
        <w:rPr>
          <w:b/>
          <w:bCs/>
        </w:rPr>
        <w:t>Harm minimisation training for gambling venues:</w:t>
      </w:r>
      <w:r>
        <w:t xml:space="preserve"> </w:t>
      </w:r>
      <w:r w:rsidR="00114F73">
        <w:t>Participants highlighted collaborations between the gambling industry and service providers to delivery harm minimisation training and better support venue staff to effectively engage with potential harmful gambling patrons. Participants noted that e</w:t>
      </w:r>
      <w:r>
        <w:t xml:space="preserve">fforts made by the gambling industry </w:t>
      </w:r>
      <w:r w:rsidR="00114F73">
        <w:t>can</w:t>
      </w:r>
      <w:r>
        <w:t xml:space="preserve"> be strengthened by</w:t>
      </w:r>
      <w:r w:rsidR="00114F73">
        <w:t>:</w:t>
      </w:r>
    </w:p>
    <w:p w14:paraId="0B765D9D" w14:textId="77777777" w:rsidR="00114F73" w:rsidRDefault="00114F73" w:rsidP="00114F73">
      <w:pPr>
        <w:pStyle w:val="Bulleted"/>
      </w:pPr>
      <w:r>
        <w:t>I</w:t>
      </w:r>
      <w:r w:rsidR="003B4D03">
        <w:t>ncluding lived experience and M</w:t>
      </w:r>
      <w:r w:rsidR="003B4D03" w:rsidRPr="00296035">
        <w:rPr>
          <w:rFonts w:cstheme="minorHAnsi"/>
        </w:rPr>
        <w:t>ā</w:t>
      </w:r>
      <w:r w:rsidR="003B4D03">
        <w:t>ori, Pacific and Asian gambling harm providers/facilitators</w:t>
      </w:r>
    </w:p>
    <w:p w14:paraId="2EDB05BC" w14:textId="77777777" w:rsidR="00114F73" w:rsidRDefault="00114F73" w:rsidP="00114F73">
      <w:pPr>
        <w:pStyle w:val="Bulleted"/>
      </w:pPr>
      <w:r>
        <w:t xml:space="preserve">Revising and adding </w:t>
      </w:r>
      <w:r w:rsidR="003B4D03">
        <w:t>content focused on enhanc</w:t>
      </w:r>
      <w:r>
        <w:t>ing</w:t>
      </w:r>
      <w:r w:rsidR="003B4D03">
        <w:t xml:space="preserve"> venue staff understandings about the extent of harms, their role in reducing these harms, types of support services to refer to and what these services can provide. </w:t>
      </w:r>
    </w:p>
    <w:p w14:paraId="11D7666B" w14:textId="699FB476" w:rsidR="00114F73" w:rsidRDefault="003B4D03" w:rsidP="00114F73">
      <w:r>
        <w:t>It is important to note that one participant also highlighted a need to ensure harm minimisation and safety measures were in place for venue staff given their frequent presence in an environment that normalises gambling behaviour and increases accessibility to gambling - Improved training content and venue rules about personal use of EGMs were recommended.</w:t>
      </w:r>
      <w:bookmarkStart w:id="51" w:name="_Toc163573799"/>
      <w:bookmarkStart w:id="52" w:name="_Toc163574230"/>
    </w:p>
    <w:p w14:paraId="13BBD6B6" w14:textId="3038E5DF" w:rsidR="00C65186" w:rsidRPr="002F108B" w:rsidRDefault="006A4732" w:rsidP="00C65186">
      <w:pPr>
        <w:pStyle w:val="Heading6"/>
        <w:numPr>
          <w:ilvl w:val="0"/>
          <w:numId w:val="0"/>
        </w:numPr>
      </w:pPr>
      <w:bookmarkStart w:id="53" w:name="_Toc163654624"/>
      <w:bookmarkStart w:id="54" w:name="_Toc166507366"/>
      <w:r>
        <w:t>What has the sector told us about r</w:t>
      </w:r>
      <w:r w:rsidR="00C65186">
        <w:t>esearch gaps and needs</w:t>
      </w:r>
      <w:bookmarkEnd w:id="51"/>
      <w:r>
        <w:t>?</w:t>
      </w:r>
      <w:bookmarkEnd w:id="52"/>
      <w:bookmarkEnd w:id="53"/>
      <w:bookmarkEnd w:id="54"/>
    </w:p>
    <w:p w14:paraId="5DEC45EB" w14:textId="3D2BA6CF" w:rsidR="00F26A23" w:rsidRDefault="00F26A23" w:rsidP="00F26A23">
      <w:r>
        <w:t xml:space="preserve">Most interviewed participants highlighted a range of research and evidence gaps and </w:t>
      </w:r>
      <w:r w:rsidR="00303C88">
        <w:t>noted a need for the Strategy to include:</w:t>
      </w:r>
      <w:r>
        <w:t xml:space="preserve"> </w:t>
      </w:r>
    </w:p>
    <w:p w14:paraId="6E596A1F" w14:textId="17E02AD3" w:rsidR="00F26A23" w:rsidRDefault="00303C88" w:rsidP="00BE011F">
      <w:pPr>
        <w:pStyle w:val="Bulleted"/>
      </w:pPr>
      <w:r>
        <w:rPr>
          <w:b/>
          <w:bCs/>
        </w:rPr>
        <w:t>A range of commissioning approaches</w:t>
      </w:r>
      <w:r w:rsidR="00F26A23" w:rsidRPr="00F26A23">
        <w:rPr>
          <w:b/>
          <w:bCs/>
        </w:rPr>
        <w:t xml:space="preserve">: </w:t>
      </w:r>
      <w:r w:rsidR="00F26A23">
        <w:t>Some participants noted limited research funding opportunities in recent years and potentially limiting opportunities with the recent RFP - live at the time of interviewing. Others highlighted limited opportunities for timely research that is responsive to sector needs. Commissioning research at the same time as service provider procurement was considered ill-timed and rushed during the latter part of 2023.</w:t>
      </w:r>
    </w:p>
    <w:p w14:paraId="0CC349AE" w14:textId="61018D9A" w:rsidR="00F26A23" w:rsidRDefault="00303C88" w:rsidP="00BE011F">
      <w:pPr>
        <w:pStyle w:val="Bulleted"/>
      </w:pPr>
      <w:r>
        <w:rPr>
          <w:b/>
          <w:bCs/>
        </w:rPr>
        <w:t>More up-to-date p</w:t>
      </w:r>
      <w:r w:rsidR="00F26A23">
        <w:rPr>
          <w:b/>
          <w:bCs/>
        </w:rPr>
        <w:t>revalence data</w:t>
      </w:r>
      <w:r>
        <w:rPr>
          <w:b/>
          <w:bCs/>
        </w:rPr>
        <w:t xml:space="preserve"> and improved research dissemination</w:t>
      </w:r>
      <w:r w:rsidR="00F26A23">
        <w:rPr>
          <w:b/>
          <w:bCs/>
        </w:rPr>
        <w:t xml:space="preserve">: </w:t>
      </w:r>
      <w:r w:rsidR="00F26A23">
        <w:t xml:space="preserve">Participants </w:t>
      </w:r>
      <w:r w:rsidR="006A4732">
        <w:t>provide</w:t>
      </w:r>
      <w:r w:rsidR="00F26A23">
        <w:t>d mixed understandings about the quality and availability of prevalence data – There is a need to ensure research findings and communications are clear and available, and dissemination methods build on what is currently in place.</w:t>
      </w:r>
    </w:p>
    <w:p w14:paraId="6162EAF2" w14:textId="00193FBB" w:rsidR="00F26A23" w:rsidRDefault="00303C88" w:rsidP="00BE011F">
      <w:pPr>
        <w:pStyle w:val="Bulleted"/>
      </w:pPr>
      <w:r>
        <w:rPr>
          <w:b/>
          <w:bCs/>
        </w:rPr>
        <w:lastRenderedPageBreak/>
        <w:t>Review and refinement of r</w:t>
      </w:r>
      <w:r w:rsidR="00F26A23">
        <w:rPr>
          <w:b/>
          <w:bCs/>
        </w:rPr>
        <w:t xml:space="preserve">esearch priorities: </w:t>
      </w:r>
      <w:r w:rsidR="00F26A23">
        <w:t>A small number of participants noted a need to review and reset the gambling harm research priorities and agenda</w:t>
      </w:r>
      <w:r w:rsidR="00F26A23" w:rsidRPr="00A028D1">
        <w:t>.</w:t>
      </w:r>
      <w:r w:rsidR="00F26A23">
        <w:t xml:space="preserve"> Some participants also emphasised a requirement for greater inclusion of lived experience voice.</w:t>
      </w:r>
    </w:p>
    <w:p w14:paraId="0DF4932F" w14:textId="1874F5CC" w:rsidR="00F26A23" w:rsidRDefault="00303C88" w:rsidP="00BE011F">
      <w:pPr>
        <w:pStyle w:val="Bulleted"/>
      </w:pPr>
      <w:r>
        <w:rPr>
          <w:b/>
          <w:bCs/>
        </w:rPr>
        <w:t>Growth and retention of gambling harm research capacity</w:t>
      </w:r>
      <w:r w:rsidR="00F26A23">
        <w:rPr>
          <w:b/>
          <w:bCs/>
        </w:rPr>
        <w:t xml:space="preserve">: </w:t>
      </w:r>
      <w:r w:rsidR="00F26A23">
        <w:t xml:space="preserve">A small number of participants noted a need to increase gambling research capacity </w:t>
      </w:r>
      <w:r w:rsidR="00CA1281">
        <w:t xml:space="preserve">in Aotearoa New Zealand </w:t>
      </w:r>
      <w:r w:rsidR="00F26A23">
        <w:t>and suggested investment in building the pipeline of potential researchers/experts in the field through MA/PhD scholarships.</w:t>
      </w:r>
    </w:p>
    <w:p w14:paraId="7172DFEA" w14:textId="4469D1ED" w:rsidR="0035317A" w:rsidRDefault="00F26A23" w:rsidP="00F26A23">
      <w:pPr>
        <w:pStyle w:val="Bulleted"/>
      </w:pPr>
      <w:r w:rsidRPr="0057520A">
        <w:rPr>
          <w:b/>
          <w:bCs/>
        </w:rPr>
        <w:t xml:space="preserve">Research that responds to regulation and policy needs: </w:t>
      </w:r>
      <w:r>
        <w:t>Some participants highlighted a critical need to translate research into policy implications and optimise the use of routinely collected data in agencies to inform policy and strategic information needs and priorities. Learnings may be gained from the process MSD undertook with the Growing Up in New Zealand data where researchers and policy analysts worked together to address information gaps and analysis.</w:t>
      </w:r>
    </w:p>
    <w:p w14:paraId="3F512212" w14:textId="3986711F" w:rsidR="00E1746C" w:rsidRDefault="00E1746C" w:rsidP="00E1746C">
      <w:pPr>
        <w:pStyle w:val="Bulleted"/>
      </w:pPr>
      <w:r>
        <w:rPr>
          <w:b/>
          <w:bCs/>
        </w:rPr>
        <w:t xml:space="preserve">Provider </w:t>
      </w:r>
      <w:r w:rsidR="00711A7B">
        <w:rPr>
          <w:b/>
          <w:bCs/>
        </w:rPr>
        <w:t>service</w:t>
      </w:r>
      <w:r>
        <w:rPr>
          <w:b/>
          <w:bCs/>
        </w:rPr>
        <w:t xml:space="preserve"> data: </w:t>
      </w:r>
      <w:r>
        <w:t xml:space="preserve">A small number of participants also noted a need to critically review all gambling research and ensure that </w:t>
      </w:r>
      <w:r w:rsidR="005F175C">
        <w:t xml:space="preserve">provider </w:t>
      </w:r>
      <w:r w:rsidR="00711A7B">
        <w:t>service</w:t>
      </w:r>
      <w:r>
        <w:t xml:space="preserve"> data and levy considerations clarify:</w:t>
      </w:r>
    </w:p>
    <w:p w14:paraId="2694F12B" w14:textId="77777777" w:rsidR="00E1746C" w:rsidRDefault="00E1746C" w:rsidP="00E1746C">
      <w:pPr>
        <w:pStyle w:val="Second-levelbullets"/>
      </w:pPr>
      <w:r>
        <w:t>Whether the number of persons presenting to services are unique individuals or multiple presentations by the same person</w:t>
      </w:r>
    </w:p>
    <w:p w14:paraId="05022BA6" w14:textId="5F0BC250" w:rsidR="00E1746C" w:rsidRPr="0035317A" w:rsidRDefault="00E1746C" w:rsidP="00E1746C">
      <w:pPr>
        <w:pStyle w:val="Second-levelbullets"/>
      </w:pPr>
      <w:r>
        <w:t>Unique versus multiple treatments.</w:t>
      </w:r>
    </w:p>
    <w:p w14:paraId="6697724A" w14:textId="77777777" w:rsidR="007E34FD" w:rsidRPr="007E34FD" w:rsidRDefault="007E34FD" w:rsidP="00F85486"/>
    <w:p w14:paraId="2C1F6C6B" w14:textId="77777777" w:rsidR="007E34FD" w:rsidRPr="007E34FD" w:rsidRDefault="007E34FD" w:rsidP="00F85486"/>
    <w:p w14:paraId="1C83E95E" w14:textId="77777777" w:rsidR="00A01B38" w:rsidRPr="00A01B38" w:rsidRDefault="00A01B38" w:rsidP="00F85486"/>
    <w:p w14:paraId="7C9E623F" w14:textId="2FDB6BAA" w:rsidR="006A12EF" w:rsidRDefault="006A12EF" w:rsidP="006A12EF">
      <w:pPr>
        <w:pStyle w:val="Heading5"/>
      </w:pPr>
      <w:bookmarkStart w:id="55" w:name="_Toc166507367"/>
      <w:r>
        <w:lastRenderedPageBreak/>
        <w:t>Background</w:t>
      </w:r>
      <w:bookmarkEnd w:id="55"/>
    </w:p>
    <w:p w14:paraId="6199D92B" w14:textId="5C34428B" w:rsidR="00DA2800" w:rsidRDefault="00DA2800" w:rsidP="00DA2800">
      <w:r>
        <w:t>U</w:t>
      </w:r>
      <w:r w:rsidRPr="000C1817">
        <w:t xml:space="preserve">nder the Gambling Act 2003 (s318), </w:t>
      </w:r>
      <w:r>
        <w:rPr>
          <w:lang w:val="en-US"/>
        </w:rPr>
        <w:t>Manat</w:t>
      </w:r>
      <w:r>
        <w:rPr>
          <w:rFonts w:cs="Calibri"/>
          <w:lang w:val="en-US"/>
        </w:rPr>
        <w:t>ū</w:t>
      </w:r>
      <w:r>
        <w:rPr>
          <w:lang w:val="en-US"/>
        </w:rPr>
        <w:t xml:space="preserve"> </w:t>
      </w:r>
      <w:r w:rsidR="00686005">
        <w:rPr>
          <w:lang w:val="en-US"/>
        </w:rPr>
        <w:t>Hauora</w:t>
      </w:r>
      <w:r>
        <w:rPr>
          <w:lang w:val="en-US"/>
        </w:rPr>
        <w:t xml:space="preserve"> (</w:t>
      </w:r>
      <w:r w:rsidRPr="000C1817">
        <w:t>the Ministry of Health</w:t>
      </w:r>
      <w:r>
        <w:t xml:space="preserve">) </w:t>
      </w:r>
      <w:r w:rsidRPr="000C1817">
        <w:t xml:space="preserve">is required to undertake a </w:t>
      </w:r>
      <w:r w:rsidR="00BC089B">
        <w:t>N</w:t>
      </w:r>
      <w:r w:rsidRPr="000C1817">
        <w:t xml:space="preserve">eeds </w:t>
      </w:r>
      <w:r w:rsidR="00BC089B">
        <w:t>A</w:t>
      </w:r>
      <w:r w:rsidRPr="000C1817">
        <w:t xml:space="preserve">ssessment to inform the development of the three-year Strategy to Prevent and Minimise Gambling Harm across Aotearoa New Zealand. The Ministry previously commissioned external agencies to conduct </w:t>
      </w:r>
      <w:r w:rsidR="00BC089B">
        <w:t>N</w:t>
      </w:r>
      <w:r w:rsidRPr="000C1817">
        <w:t xml:space="preserve">eeds </w:t>
      </w:r>
      <w:r w:rsidR="00BC089B">
        <w:t>A</w:t>
      </w:r>
      <w:r w:rsidRPr="000C1817">
        <w:t>ssessment reports in 2009</w:t>
      </w:r>
      <w:r>
        <w:t>,</w:t>
      </w:r>
      <w:r w:rsidRPr="00D946C4">
        <w:rPr>
          <w:rStyle w:val="FootnoteReference"/>
        </w:rPr>
        <w:footnoteReference w:id="8"/>
      </w:r>
      <w:r w:rsidRPr="000C1817">
        <w:t xml:space="preserve"> 2012</w:t>
      </w:r>
      <w:r>
        <w:t>,</w:t>
      </w:r>
      <w:r w:rsidRPr="00D946C4">
        <w:rPr>
          <w:rStyle w:val="FootnoteReference"/>
        </w:rPr>
        <w:footnoteReference w:id="9"/>
      </w:r>
      <w:r w:rsidRPr="000C1817">
        <w:t xml:space="preserve"> 2015</w:t>
      </w:r>
      <w:r>
        <w:t>,</w:t>
      </w:r>
      <w:r w:rsidRPr="000C1817">
        <w:rPr>
          <w:rStyle w:val="FootnoteReference"/>
        </w:rPr>
        <w:footnoteReference w:id="10"/>
      </w:r>
      <w:r w:rsidRPr="000C1817">
        <w:t xml:space="preserve"> 2018</w:t>
      </w:r>
      <w:r w:rsidRPr="00D946C4">
        <w:rPr>
          <w:rStyle w:val="FootnoteReference"/>
        </w:rPr>
        <w:footnoteReference w:id="11"/>
      </w:r>
      <w:r w:rsidRPr="000C1817">
        <w:t xml:space="preserve"> and 2021</w:t>
      </w:r>
      <w:r w:rsidRPr="000C1817">
        <w:rPr>
          <w:rStyle w:val="FootnoteReference"/>
        </w:rPr>
        <w:footnoteReference w:id="12"/>
      </w:r>
      <w:r w:rsidRPr="000C1817">
        <w:t xml:space="preserve"> for consultation and development of the respective three-year strategies.</w:t>
      </w:r>
    </w:p>
    <w:p w14:paraId="662D367D" w14:textId="2E983528" w:rsidR="00DA2800" w:rsidRPr="000C1817" w:rsidRDefault="00DA2800" w:rsidP="00DA2800">
      <w:r>
        <w:t xml:space="preserve">In November 2023, the Ministry commissioned Malatest International and Sapere </w:t>
      </w:r>
      <w:r w:rsidRPr="000C1817">
        <w:t xml:space="preserve">to conduct a </w:t>
      </w:r>
      <w:r w:rsidR="00BC089B">
        <w:t>N</w:t>
      </w:r>
      <w:r w:rsidRPr="000C1817">
        <w:t xml:space="preserve">eeds </w:t>
      </w:r>
      <w:r w:rsidR="00BC089B">
        <w:t>A</w:t>
      </w:r>
      <w:r w:rsidRPr="000C1817">
        <w:t xml:space="preserve">ssessment to inform the Strategy to Prevent and Minimise Gambling Harm 2025/26-2027/28 (the </w:t>
      </w:r>
      <w:r w:rsidRPr="00F16BA9">
        <w:t>Strategy)</w:t>
      </w:r>
      <w:r w:rsidRPr="000C1817">
        <w:t xml:space="preserve"> and assist with informing public consultation discussions in 2024.</w:t>
      </w:r>
    </w:p>
    <w:p w14:paraId="6F903A84" w14:textId="3A058172" w:rsidR="00DA2800" w:rsidRPr="000C1817" w:rsidRDefault="00DA2800" w:rsidP="00DA2800">
      <w:r w:rsidRPr="000C1817">
        <w:t xml:space="preserve">As with previous years, the </w:t>
      </w:r>
      <w:r w:rsidR="00BC089B">
        <w:t>N</w:t>
      </w:r>
      <w:r w:rsidRPr="000C1817">
        <w:t xml:space="preserve">eeds </w:t>
      </w:r>
      <w:r w:rsidR="00BC089B">
        <w:t>A</w:t>
      </w:r>
      <w:r w:rsidRPr="000C1817">
        <w:t xml:space="preserve">ssessment </w:t>
      </w:r>
      <w:r>
        <w:t>is purposed to</w:t>
      </w:r>
      <w:r w:rsidRPr="000C1817">
        <w:t xml:space="preserve">: </w:t>
      </w:r>
    </w:p>
    <w:p w14:paraId="0B21C361" w14:textId="77777777" w:rsidR="00DA2800" w:rsidRPr="00F16BA9" w:rsidRDefault="00DA2800" w:rsidP="00F16BA9">
      <w:pPr>
        <w:pStyle w:val="Bulleted"/>
      </w:pPr>
      <w:r w:rsidRPr="00F16BA9">
        <w:t>Identify changes in the evidence since the last needs assessment completed in 2021</w:t>
      </w:r>
    </w:p>
    <w:p w14:paraId="29512998" w14:textId="77777777" w:rsidR="00DA2800" w:rsidRPr="00F16BA9" w:rsidRDefault="00DA2800" w:rsidP="00F16BA9">
      <w:pPr>
        <w:pStyle w:val="Bulleted"/>
      </w:pPr>
      <w:r w:rsidRPr="00F16BA9">
        <w:t>Identify gaps in service delivery.</w:t>
      </w:r>
    </w:p>
    <w:p w14:paraId="29B57F64" w14:textId="44B7A302" w:rsidR="00DA2800" w:rsidRPr="000C1817" w:rsidRDefault="00DA2800" w:rsidP="00DA2800">
      <w:r w:rsidRPr="000C1817">
        <w:t xml:space="preserve">An additional requirement of the 2024 </w:t>
      </w:r>
      <w:r w:rsidR="00BC089B">
        <w:t>N</w:t>
      </w:r>
      <w:r w:rsidRPr="000C1817">
        <w:t xml:space="preserve">eeds </w:t>
      </w:r>
      <w:r w:rsidR="00BC089B">
        <w:t>A</w:t>
      </w:r>
      <w:r w:rsidRPr="000C1817">
        <w:t xml:space="preserve">ssessment </w:t>
      </w:r>
      <w:r>
        <w:t>wa</w:t>
      </w:r>
      <w:r w:rsidRPr="000C1817">
        <w:t>s to undertake a strategic review to assist with informing necessary funding requirements. This was recommended to the Ministers of Health and Internal Affairs by the Gambling Commission in the previous Strategy consultation in 2022</w:t>
      </w:r>
      <w:r w:rsidRPr="000C1817">
        <w:rPr>
          <w:rStyle w:val="FootnoteReference"/>
        </w:rPr>
        <w:footnoteReference w:id="13"/>
      </w:r>
      <w:r w:rsidRPr="000C1817">
        <w:t xml:space="preserve"> </w:t>
      </w:r>
      <w:r>
        <w:t>–</w:t>
      </w:r>
      <w:r w:rsidRPr="000C1817">
        <w:t xml:space="preserve"> as noted in the report:</w:t>
      </w:r>
    </w:p>
    <w:p w14:paraId="32E4EAA2" w14:textId="77777777" w:rsidR="00DA2800" w:rsidRDefault="00DA2800" w:rsidP="00DA2800">
      <w:pPr>
        <w:pStyle w:val="Quotes"/>
      </w:pPr>
      <w:r w:rsidRPr="000C1817">
        <w:t>“Rather than accepting a historically determined budget envelope, the Ministry should re-assess the future analytical and operational requirements of an integrated problem gambling strategy and develop an updated comprehensive strategy with costings based upon those requirements.”</w:t>
      </w:r>
    </w:p>
    <w:p w14:paraId="52380DA8" w14:textId="77777777" w:rsidR="00954607" w:rsidRDefault="00954607" w:rsidP="00954607">
      <w:pPr>
        <w:rPr>
          <w:lang w:val="en-US"/>
        </w:rPr>
      </w:pPr>
      <w:r>
        <w:rPr>
          <w:lang w:val="en-US"/>
        </w:rPr>
        <w:t xml:space="preserve">It is important to note </w:t>
      </w:r>
      <w:r>
        <w:t xml:space="preserve">this needs assessment was conducted during a significant time of change across Aotearoa New Zealand’s government, health, minimising gambling harm agency and provider sectors. </w:t>
      </w:r>
      <w:r w:rsidRPr="00F0764B">
        <w:t xml:space="preserve">Systems and sector changes provide important context for findings </w:t>
      </w:r>
      <w:r>
        <w:t>highlighted in this report – and in some cases findings may be obsolete due to the constantly changing nature of the sector at the time of data collection. For example, at the time of writing this needs assessment, the government passed a bill to disestablish The Māori Health Authority - Te Aka Whai Ora which would result in their functions being distributed between Health New Zealand and the Ministry.</w:t>
      </w:r>
    </w:p>
    <w:p w14:paraId="53A46B2B" w14:textId="77777777" w:rsidR="00954607" w:rsidRPr="000C1817" w:rsidRDefault="00954607" w:rsidP="00DA2800">
      <w:pPr>
        <w:pStyle w:val="Quotes"/>
      </w:pPr>
    </w:p>
    <w:p w14:paraId="1EE09BFE" w14:textId="6416CD2F" w:rsidR="00E6146C" w:rsidRPr="002F108B" w:rsidRDefault="00E6146C" w:rsidP="00E6146C">
      <w:pPr>
        <w:pStyle w:val="Heading6"/>
      </w:pPr>
      <w:bookmarkStart w:id="56" w:name="_Toc166507368"/>
      <w:r w:rsidRPr="001912CA">
        <w:lastRenderedPageBreak/>
        <w:t>Methods</w:t>
      </w:r>
      <w:bookmarkEnd w:id="56"/>
    </w:p>
    <w:p w14:paraId="0C37E5E0" w14:textId="54D102ED" w:rsidR="00C35BB4" w:rsidRPr="002F108B" w:rsidRDefault="00C35BB4" w:rsidP="00DA2800">
      <w:pPr>
        <w:pStyle w:val="Heading7"/>
      </w:pPr>
      <w:r>
        <w:t>Literature review</w:t>
      </w:r>
    </w:p>
    <w:p w14:paraId="4F2F6FA6" w14:textId="4ADE8DAF" w:rsidR="008D6819" w:rsidRDefault="00B07A83" w:rsidP="0087706F">
      <w:r>
        <w:t>A literature review was conducted to</w:t>
      </w:r>
      <w:r w:rsidR="0087706F">
        <w:t xml:space="preserve"> update the literature since the last review in 2019/2020, hence research i</w:t>
      </w:r>
      <w:r w:rsidR="00E254BB">
        <w:t xml:space="preserve">ncluded in this review </w:t>
      </w:r>
      <w:r w:rsidR="001C398C">
        <w:t xml:space="preserve">was </w:t>
      </w:r>
      <w:r w:rsidR="00571110">
        <w:t xml:space="preserve">primarily published between 2021 and 2024. </w:t>
      </w:r>
      <w:r w:rsidR="0087706F">
        <w:t xml:space="preserve"> The intent is to provide an updated snapshot of the research on gambling harm, which can be read alongside the new stakeholder interviews and feedback received during this piece of work, and the review of funding arrangements for the gambling harm levy.</w:t>
      </w:r>
      <w:r w:rsidR="000E53AD">
        <w:t xml:space="preserve"> </w:t>
      </w:r>
      <w:r w:rsidR="008D6819">
        <w:t>The search methods and sources used to identify and access relevant literature include but are not limited to:</w:t>
      </w:r>
    </w:p>
    <w:p w14:paraId="2BCB2CB5" w14:textId="77777777" w:rsidR="004D137F" w:rsidRDefault="004D137F" w:rsidP="00F16BA9">
      <w:pPr>
        <w:pStyle w:val="Bulleted"/>
        <w:rPr>
          <w:rFonts w:eastAsia="Acumin Pro"/>
        </w:rPr>
      </w:pPr>
      <w:r w:rsidRPr="00045413">
        <w:rPr>
          <w:rFonts w:eastAsia="Acumin Pro"/>
        </w:rPr>
        <w:t xml:space="preserve">Recent </w:t>
      </w:r>
      <w:r>
        <w:rPr>
          <w:rFonts w:eastAsia="Acumin Pro"/>
        </w:rPr>
        <w:t xml:space="preserve">issues </w:t>
      </w:r>
      <w:r w:rsidRPr="00045413">
        <w:rPr>
          <w:rFonts w:eastAsia="Acumin Pro"/>
        </w:rPr>
        <w:t>of the four main gambling journals: Journal of Gambling Studies, International Journal of Mental Health and Addiction, Journal of Gambling Issues, and International Gambling Studies</w:t>
      </w:r>
    </w:p>
    <w:p w14:paraId="7C356119" w14:textId="031BBDD9" w:rsidR="0091418F" w:rsidRPr="00045413" w:rsidRDefault="0091418F" w:rsidP="00F16BA9">
      <w:pPr>
        <w:pStyle w:val="Bulleted"/>
        <w:rPr>
          <w:rFonts w:eastAsia="Acumin Pro"/>
        </w:rPr>
      </w:pPr>
      <w:r w:rsidRPr="00045413">
        <w:rPr>
          <w:rFonts w:eastAsia="Acumin Pro"/>
        </w:rPr>
        <w:t xml:space="preserve">Ministry funded gambling harm research and evaluations (completed between </w:t>
      </w:r>
      <w:r w:rsidR="003B5423">
        <w:rPr>
          <w:rFonts w:eastAsia="Acumin Pro"/>
        </w:rPr>
        <w:t>2021-2023</w:t>
      </w:r>
      <w:r w:rsidRPr="00045413">
        <w:rPr>
          <w:rFonts w:eastAsia="Acumin Pro"/>
        </w:rPr>
        <w:t xml:space="preserve"> – including unpublished reports)</w:t>
      </w:r>
    </w:p>
    <w:p w14:paraId="4F093E90" w14:textId="286AD923" w:rsidR="00BB7814" w:rsidRDefault="0091418F" w:rsidP="00F16BA9">
      <w:pPr>
        <w:pStyle w:val="Bulleted"/>
      </w:pPr>
      <w:r w:rsidRPr="00555D59">
        <w:t xml:space="preserve">Key websites involved in New Zealand gambling (e.g., The </w:t>
      </w:r>
      <w:r w:rsidRPr="003E384D">
        <w:rPr>
          <w:rFonts w:eastAsia="Acumin Pro"/>
        </w:rPr>
        <w:t>Department</w:t>
      </w:r>
      <w:r w:rsidRPr="00555D59">
        <w:t xml:space="preserve"> of Internal Affairs, </w:t>
      </w:r>
      <w:bookmarkStart w:id="57" w:name="_Hlk163376693"/>
      <w:r w:rsidRPr="002353F0">
        <w:rPr>
          <w:rFonts w:eastAsiaTheme="minorHAnsi"/>
        </w:rPr>
        <w:t xml:space="preserve">Te </w:t>
      </w:r>
      <w:r w:rsidR="00D93075" w:rsidRPr="00FB3D6A">
        <w:rPr>
          <w:rFonts w:eastAsiaTheme="minorHAnsi"/>
        </w:rPr>
        <w:t xml:space="preserve">Whatu Ora </w:t>
      </w:r>
      <w:r w:rsidR="003B0359">
        <w:t>-</w:t>
      </w:r>
      <w:r w:rsidR="00D93075" w:rsidRPr="00FB3D6A">
        <w:rPr>
          <w:rFonts w:eastAsiaTheme="minorHAnsi"/>
        </w:rPr>
        <w:t xml:space="preserve"> Health Promotion</w:t>
      </w:r>
      <w:bookmarkEnd w:id="57"/>
      <w:r w:rsidRPr="00555D59">
        <w:t>, TAB NZ</w:t>
      </w:r>
      <w:r w:rsidR="0010062C" w:rsidRPr="00555D59">
        <w:t xml:space="preserve">, </w:t>
      </w:r>
      <w:r w:rsidR="00243B15">
        <w:t>c</w:t>
      </w:r>
      <w:r w:rsidR="00243B15" w:rsidRPr="00555D59">
        <w:t xml:space="preserve">asinos </w:t>
      </w:r>
      <w:r w:rsidRPr="00555D59">
        <w:t>and Lotto NZ for relevant reports)</w:t>
      </w:r>
      <w:r w:rsidR="00F42249" w:rsidRPr="00555D59">
        <w:t xml:space="preserve"> and</w:t>
      </w:r>
      <w:r w:rsidR="007F00D4" w:rsidRPr="00555D59">
        <w:t xml:space="preserve"> </w:t>
      </w:r>
      <w:r w:rsidR="00B257BD" w:rsidRPr="00555D59">
        <w:t xml:space="preserve">international </w:t>
      </w:r>
      <w:r w:rsidR="00FB1C72" w:rsidRPr="00555D59">
        <w:t xml:space="preserve">websites (e.g., </w:t>
      </w:r>
      <w:r w:rsidR="0010062C" w:rsidRPr="00555D59">
        <w:t>Parliament of Australia)</w:t>
      </w:r>
      <w:r w:rsidR="00555D59" w:rsidRPr="00555D59">
        <w:t>.</w:t>
      </w:r>
    </w:p>
    <w:p w14:paraId="16EF2BB7" w14:textId="5DFA4A15" w:rsidR="00B052FD" w:rsidRDefault="00FF6E00" w:rsidP="0079394C">
      <w:pPr>
        <w:pStyle w:val="Heading7"/>
      </w:pPr>
      <w:r>
        <w:t>Interviews and focus groups</w:t>
      </w:r>
    </w:p>
    <w:p w14:paraId="750EBEFA" w14:textId="64EC8BC3" w:rsidR="00731374" w:rsidRPr="002F108B" w:rsidRDefault="00461D35" w:rsidP="00731374">
      <w:r>
        <w:t xml:space="preserve">A total of </w:t>
      </w:r>
      <w:r w:rsidR="00C46CB0">
        <w:t>15</w:t>
      </w:r>
      <w:r w:rsidR="00C46CB0" w:rsidRPr="002F108B">
        <w:t xml:space="preserve"> </w:t>
      </w:r>
      <w:r w:rsidR="00731374" w:rsidRPr="002F108B">
        <w:t xml:space="preserve">individual and </w:t>
      </w:r>
      <w:r w:rsidR="00C46CB0">
        <w:t>16</w:t>
      </w:r>
      <w:r w:rsidR="00C46CB0" w:rsidRPr="002F108B">
        <w:t xml:space="preserve"> </w:t>
      </w:r>
      <w:r w:rsidR="00731374" w:rsidRPr="002F108B">
        <w:t>group interviews</w:t>
      </w:r>
      <w:r w:rsidR="00731374">
        <w:rPr>
          <w:rStyle w:val="FootnoteReference"/>
        </w:rPr>
        <w:footnoteReference w:id="14"/>
      </w:r>
      <w:r w:rsidR="00731374">
        <w:t xml:space="preserve"> </w:t>
      </w:r>
      <w:r>
        <w:t>were</w:t>
      </w:r>
      <w:r w:rsidR="00731374" w:rsidRPr="002F108B">
        <w:t xml:space="preserve"> conducted with </w:t>
      </w:r>
      <w:r w:rsidR="004D4926">
        <w:t>77</w:t>
      </w:r>
      <w:r w:rsidR="004D4926" w:rsidRPr="002F108B">
        <w:t xml:space="preserve"> </w:t>
      </w:r>
      <w:r w:rsidR="00731374" w:rsidRPr="002F108B">
        <w:t>gambling stakeholders</w:t>
      </w:r>
      <w:r w:rsidR="00731374">
        <w:t xml:space="preserve"> (</w:t>
      </w:r>
      <w:r w:rsidR="00731374" w:rsidRPr="002F108B">
        <w:fldChar w:fldCharType="begin"/>
      </w:r>
      <w:r w:rsidR="00731374" w:rsidRPr="002F108B">
        <w:instrText xml:space="preserve"> REF _Ref69120534 \h </w:instrText>
      </w:r>
      <w:r w:rsidR="00731374" w:rsidRPr="002F108B">
        <w:fldChar w:fldCharType="separate"/>
      </w:r>
      <w:r w:rsidR="004F4DA7" w:rsidRPr="002F108B">
        <w:t xml:space="preserve">Table </w:t>
      </w:r>
      <w:r w:rsidR="004F4DA7">
        <w:rPr>
          <w:noProof/>
        </w:rPr>
        <w:t>1</w:t>
      </w:r>
      <w:r w:rsidR="00731374" w:rsidRPr="002F108B">
        <w:fldChar w:fldCharType="end"/>
      </w:r>
      <w:r w:rsidR="00731374">
        <w:t>)</w:t>
      </w:r>
      <w:r w:rsidR="00731374" w:rsidRPr="002F108B">
        <w:t>.</w:t>
      </w:r>
      <w:r w:rsidR="00731374">
        <w:t xml:space="preserve"> </w:t>
      </w:r>
    </w:p>
    <w:p w14:paraId="51C1778D" w14:textId="24905619" w:rsidR="00731374" w:rsidRPr="002F108B" w:rsidRDefault="00731374" w:rsidP="00C75F88">
      <w:pPr>
        <w:pStyle w:val="Caption"/>
        <w:jc w:val="center"/>
      </w:pPr>
      <w:bookmarkStart w:id="59" w:name="_Ref69120534"/>
      <w:bookmarkStart w:id="60" w:name="_Toc69809942"/>
      <w:r w:rsidRPr="002F108B">
        <w:t xml:space="preserve">Table </w:t>
      </w:r>
      <w:r>
        <w:fldChar w:fldCharType="begin"/>
      </w:r>
      <w:r>
        <w:instrText>SEQ Table \* ARABIC</w:instrText>
      </w:r>
      <w:r>
        <w:fldChar w:fldCharType="separate"/>
      </w:r>
      <w:r w:rsidR="004F4DA7">
        <w:rPr>
          <w:noProof/>
        </w:rPr>
        <w:t>1</w:t>
      </w:r>
      <w:r>
        <w:fldChar w:fldCharType="end"/>
      </w:r>
      <w:bookmarkEnd w:id="59"/>
      <w:r w:rsidRPr="002F108B">
        <w:t>: Individual and group interviews</w:t>
      </w:r>
      <w:bookmarkEnd w:id="60"/>
    </w:p>
    <w:tbl>
      <w:tblPr>
        <w:tblStyle w:val="MITableClassic"/>
        <w:tblW w:w="0" w:type="auto"/>
        <w:tblLook w:val="04A0" w:firstRow="1" w:lastRow="0" w:firstColumn="1" w:lastColumn="0" w:noHBand="0" w:noVBand="1"/>
      </w:tblPr>
      <w:tblGrid>
        <w:gridCol w:w="2122"/>
        <w:gridCol w:w="5476"/>
      </w:tblGrid>
      <w:tr w:rsidR="00731374" w:rsidRPr="00461D35" w14:paraId="585D51B2" w14:textId="77777777">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2122" w:type="dxa"/>
          </w:tcPr>
          <w:p w14:paraId="06144A72" w14:textId="77777777" w:rsidR="00731374" w:rsidRPr="00461D35" w:rsidRDefault="00731374">
            <w:pPr>
              <w:rPr>
                <w:rFonts w:cs="Calibri"/>
                <w:b w:val="0"/>
                <w:sz w:val="20"/>
                <w:szCs w:val="20"/>
              </w:rPr>
            </w:pPr>
            <w:r w:rsidRPr="00461D35">
              <w:rPr>
                <w:rFonts w:cs="Calibri"/>
                <w:sz w:val="20"/>
                <w:szCs w:val="20"/>
              </w:rPr>
              <w:t>Stakeholder group representatives</w:t>
            </w:r>
          </w:p>
        </w:tc>
        <w:tc>
          <w:tcPr>
            <w:tcW w:w="5476" w:type="dxa"/>
          </w:tcPr>
          <w:p w14:paraId="5378B24F" w14:textId="77777777" w:rsidR="00731374" w:rsidRPr="00461D35" w:rsidRDefault="00731374">
            <w:pPr>
              <w:cnfStyle w:val="100000000000" w:firstRow="1" w:lastRow="0" w:firstColumn="0" w:lastColumn="0" w:oddVBand="0" w:evenVBand="0" w:oddHBand="0" w:evenHBand="0" w:firstRowFirstColumn="0" w:firstRowLastColumn="0" w:lastRowFirstColumn="0" w:lastRowLastColumn="0"/>
              <w:rPr>
                <w:rStyle w:val="cf01"/>
                <w:rFonts w:ascii="Calibri" w:hAnsi="Calibri" w:cs="Calibri"/>
                <w:sz w:val="20"/>
                <w:szCs w:val="20"/>
              </w:rPr>
            </w:pPr>
            <w:r w:rsidRPr="00461D35">
              <w:rPr>
                <w:rStyle w:val="cf01"/>
                <w:rFonts w:ascii="Calibri" w:hAnsi="Calibri" w:cs="Calibri"/>
                <w:sz w:val="20"/>
                <w:szCs w:val="20"/>
              </w:rPr>
              <w:t>Description</w:t>
            </w:r>
          </w:p>
        </w:tc>
      </w:tr>
      <w:tr w:rsidR="00731374" w:rsidRPr="00461D35" w14:paraId="114CD85F" w14:textId="77777777">
        <w:trPr>
          <w:trHeight w:val="366"/>
        </w:trPr>
        <w:tc>
          <w:tcPr>
            <w:cnfStyle w:val="001000000000" w:firstRow="0" w:lastRow="0" w:firstColumn="1" w:lastColumn="0" w:oddVBand="0" w:evenVBand="0" w:oddHBand="0" w:evenHBand="0" w:firstRowFirstColumn="0" w:firstRowLastColumn="0" w:lastRowFirstColumn="0" w:lastRowLastColumn="0"/>
            <w:tcW w:w="2122" w:type="dxa"/>
          </w:tcPr>
          <w:p w14:paraId="0F140112" w14:textId="2F44FE01" w:rsidR="00731374" w:rsidRPr="00461D35" w:rsidRDefault="00076A79">
            <w:pPr>
              <w:rPr>
                <w:rFonts w:cs="Calibri"/>
                <w:b/>
                <w:sz w:val="20"/>
                <w:szCs w:val="20"/>
              </w:rPr>
            </w:pPr>
            <w:r>
              <w:rPr>
                <w:rFonts w:cs="Calibri"/>
                <w:b/>
                <w:sz w:val="20"/>
                <w:szCs w:val="20"/>
              </w:rPr>
              <w:t>Government and research institutions</w:t>
            </w:r>
            <w:r w:rsidR="00731374" w:rsidRPr="00461D35">
              <w:rPr>
                <w:rFonts w:cs="Calibri"/>
                <w:b/>
                <w:sz w:val="20"/>
                <w:szCs w:val="20"/>
              </w:rPr>
              <w:t xml:space="preserve"> </w:t>
            </w:r>
          </w:p>
        </w:tc>
        <w:tc>
          <w:tcPr>
            <w:tcW w:w="5476" w:type="dxa"/>
          </w:tcPr>
          <w:p w14:paraId="0D79B621" w14:textId="48F42752" w:rsidR="00731374" w:rsidRPr="00461D35" w:rsidRDefault="00076A79">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076A79">
              <w:rPr>
                <w:rStyle w:val="cf01"/>
                <w:rFonts w:ascii="Calibri" w:hAnsi="Calibri" w:cs="Calibri"/>
                <w:sz w:val="20"/>
                <w:szCs w:val="20"/>
              </w:rPr>
              <w:t>Individual and group interviews with five government agencies and two research institutions.</w:t>
            </w:r>
            <w:r w:rsidRPr="00076A79">
              <w:rPr>
                <w:rStyle w:val="FootnoteReference"/>
                <w:rFonts w:cs="Calibri"/>
                <w:sz w:val="20"/>
                <w:szCs w:val="20"/>
              </w:rPr>
              <w:footnoteReference w:id="15"/>
            </w:r>
          </w:p>
        </w:tc>
      </w:tr>
      <w:tr w:rsidR="00731374" w:rsidRPr="00461D35" w14:paraId="6CA26D7E" w14:textId="77777777">
        <w:tc>
          <w:tcPr>
            <w:cnfStyle w:val="001000000000" w:firstRow="0" w:lastRow="0" w:firstColumn="1" w:lastColumn="0" w:oddVBand="0" w:evenVBand="0" w:oddHBand="0" w:evenHBand="0" w:firstRowFirstColumn="0" w:firstRowLastColumn="0" w:lastRowFirstColumn="0" w:lastRowLastColumn="0"/>
            <w:tcW w:w="2122" w:type="dxa"/>
          </w:tcPr>
          <w:p w14:paraId="4C1579D2" w14:textId="77777777" w:rsidR="00731374" w:rsidRPr="00461D35" w:rsidRDefault="00731374">
            <w:pPr>
              <w:rPr>
                <w:rFonts w:cs="Calibri"/>
                <w:b/>
                <w:sz w:val="20"/>
                <w:szCs w:val="20"/>
              </w:rPr>
            </w:pPr>
            <w:r w:rsidRPr="00461D35">
              <w:rPr>
                <w:rFonts w:cs="Calibri"/>
                <w:b/>
                <w:sz w:val="20"/>
                <w:szCs w:val="20"/>
              </w:rPr>
              <w:t xml:space="preserve">Gambling industry </w:t>
            </w:r>
          </w:p>
        </w:tc>
        <w:tc>
          <w:tcPr>
            <w:tcW w:w="5476" w:type="dxa"/>
          </w:tcPr>
          <w:p w14:paraId="6EEF47CD" w14:textId="0F9A6BD9" w:rsidR="00731374" w:rsidRPr="00461D35" w:rsidRDefault="00731374">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461D35">
              <w:rPr>
                <w:rFonts w:cs="Calibri"/>
                <w:sz w:val="20"/>
                <w:szCs w:val="20"/>
              </w:rPr>
              <w:t>Individual and group interviews with five providers (</w:t>
            </w:r>
            <w:r w:rsidR="005405E6" w:rsidRPr="00461D35">
              <w:rPr>
                <w:rFonts w:cs="Calibri"/>
                <w:sz w:val="20"/>
                <w:szCs w:val="20"/>
              </w:rPr>
              <w:t>Casinos, Hospitality NZ, Lotto NZ, TAB NZ, Clubs NZ</w:t>
            </w:r>
            <w:r w:rsidRPr="00461D35">
              <w:rPr>
                <w:rFonts w:cs="Calibri"/>
                <w:sz w:val="20"/>
                <w:szCs w:val="20"/>
              </w:rPr>
              <w:t xml:space="preserve">). </w:t>
            </w:r>
          </w:p>
        </w:tc>
      </w:tr>
      <w:tr w:rsidR="00731374" w:rsidRPr="00461D35" w14:paraId="2DDC83B9" w14:textId="77777777">
        <w:tc>
          <w:tcPr>
            <w:cnfStyle w:val="001000000000" w:firstRow="0" w:lastRow="0" w:firstColumn="1" w:lastColumn="0" w:oddVBand="0" w:evenVBand="0" w:oddHBand="0" w:evenHBand="0" w:firstRowFirstColumn="0" w:firstRowLastColumn="0" w:lastRowFirstColumn="0" w:lastRowLastColumn="0"/>
            <w:tcW w:w="2122" w:type="dxa"/>
          </w:tcPr>
          <w:p w14:paraId="2E4F7BE0" w14:textId="77777777" w:rsidR="00731374" w:rsidRPr="00461D35" w:rsidRDefault="00731374">
            <w:pPr>
              <w:rPr>
                <w:rFonts w:cs="Calibri"/>
                <w:b/>
                <w:sz w:val="20"/>
                <w:szCs w:val="20"/>
              </w:rPr>
            </w:pPr>
            <w:r w:rsidRPr="00461D35">
              <w:rPr>
                <w:rFonts w:cs="Calibri"/>
                <w:b/>
                <w:sz w:val="20"/>
                <w:szCs w:val="20"/>
              </w:rPr>
              <w:lastRenderedPageBreak/>
              <w:t xml:space="preserve">Gambling harm service provider </w:t>
            </w:r>
          </w:p>
        </w:tc>
        <w:tc>
          <w:tcPr>
            <w:tcW w:w="5476" w:type="dxa"/>
          </w:tcPr>
          <w:p w14:paraId="3A501904" w14:textId="1FF87F0F" w:rsidR="00731374" w:rsidRPr="00461D35" w:rsidRDefault="00CB77BA">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461D35">
              <w:rPr>
                <w:rFonts w:cs="Calibri"/>
                <w:sz w:val="20"/>
                <w:szCs w:val="20"/>
              </w:rPr>
              <w:t>I</w:t>
            </w:r>
            <w:r w:rsidR="00731374" w:rsidRPr="00461D35">
              <w:rPr>
                <w:rFonts w:cs="Calibri"/>
                <w:sz w:val="20"/>
                <w:szCs w:val="20"/>
              </w:rPr>
              <w:t xml:space="preserve">ndividual and group interviews with </w:t>
            </w:r>
            <w:r w:rsidRPr="00461D35">
              <w:rPr>
                <w:rFonts w:cs="Calibri"/>
                <w:sz w:val="20"/>
                <w:szCs w:val="20"/>
              </w:rPr>
              <w:t>four</w:t>
            </w:r>
            <w:r w:rsidR="00731374" w:rsidRPr="00461D35">
              <w:rPr>
                <w:rFonts w:cs="Calibri"/>
                <w:sz w:val="20"/>
                <w:szCs w:val="20"/>
              </w:rPr>
              <w:t xml:space="preserve"> national service providers.</w:t>
            </w:r>
          </w:p>
        </w:tc>
      </w:tr>
      <w:tr w:rsidR="00731374" w:rsidRPr="00461D35" w14:paraId="169860B3" w14:textId="77777777">
        <w:tc>
          <w:tcPr>
            <w:cnfStyle w:val="001000000000" w:firstRow="0" w:lastRow="0" w:firstColumn="1" w:lastColumn="0" w:oddVBand="0" w:evenVBand="0" w:oddHBand="0" w:evenHBand="0" w:firstRowFirstColumn="0" w:firstRowLastColumn="0" w:lastRowFirstColumn="0" w:lastRowLastColumn="0"/>
            <w:tcW w:w="2122" w:type="dxa"/>
          </w:tcPr>
          <w:p w14:paraId="7FB61ECE" w14:textId="77777777" w:rsidR="00731374" w:rsidRPr="00461D35" w:rsidRDefault="00731374">
            <w:pPr>
              <w:rPr>
                <w:rFonts w:cs="Calibri"/>
                <w:b/>
                <w:sz w:val="20"/>
                <w:szCs w:val="20"/>
              </w:rPr>
            </w:pPr>
            <w:r w:rsidRPr="00461D35">
              <w:rPr>
                <w:rFonts w:cs="Calibri"/>
                <w:b/>
                <w:sz w:val="20"/>
                <w:szCs w:val="20"/>
              </w:rPr>
              <w:t xml:space="preserve">Consumer/lived experience </w:t>
            </w:r>
          </w:p>
        </w:tc>
        <w:tc>
          <w:tcPr>
            <w:tcW w:w="5476" w:type="dxa"/>
          </w:tcPr>
          <w:p w14:paraId="08C8B36F" w14:textId="4B4F15E4" w:rsidR="00731374" w:rsidRPr="00461D35" w:rsidRDefault="005B237B">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461D35">
              <w:rPr>
                <w:rFonts w:cs="Calibri"/>
                <w:sz w:val="20"/>
                <w:szCs w:val="20"/>
              </w:rPr>
              <w:t xml:space="preserve">Individual and group interviews </w:t>
            </w:r>
            <w:r w:rsidR="00FD7CFE" w:rsidRPr="00461D35">
              <w:rPr>
                <w:rFonts w:cs="Calibri"/>
                <w:sz w:val="20"/>
                <w:szCs w:val="20"/>
              </w:rPr>
              <w:t xml:space="preserve">with current and historic </w:t>
            </w:r>
            <w:r w:rsidR="005E149D" w:rsidRPr="00461D35">
              <w:rPr>
                <w:rFonts w:cs="Calibri"/>
                <w:sz w:val="20"/>
                <w:szCs w:val="20"/>
              </w:rPr>
              <w:t>consumer/</w:t>
            </w:r>
            <w:r w:rsidR="00FD7CFE" w:rsidRPr="00461D35">
              <w:rPr>
                <w:rFonts w:cs="Calibri"/>
                <w:sz w:val="20"/>
                <w:szCs w:val="20"/>
              </w:rPr>
              <w:t>lived experience representatives</w:t>
            </w:r>
            <w:r w:rsidR="007227DB" w:rsidRPr="00461D35">
              <w:rPr>
                <w:rFonts w:cs="Calibri"/>
                <w:sz w:val="20"/>
                <w:szCs w:val="20"/>
              </w:rPr>
              <w:t xml:space="preserve"> (</w:t>
            </w:r>
            <w:r w:rsidR="005E149D" w:rsidRPr="00461D35">
              <w:rPr>
                <w:rFonts w:cs="Calibri"/>
                <w:sz w:val="20"/>
                <w:szCs w:val="20"/>
              </w:rPr>
              <w:t xml:space="preserve">incl. </w:t>
            </w:r>
            <w:r w:rsidR="007227DB" w:rsidRPr="00461D35">
              <w:rPr>
                <w:rFonts w:cs="Calibri"/>
                <w:sz w:val="20"/>
                <w:szCs w:val="20"/>
              </w:rPr>
              <w:t>harmful gamblers and significant others</w:t>
            </w:r>
            <w:r w:rsidR="00100E2A" w:rsidRPr="00461D35">
              <w:rPr>
                <w:rFonts w:cs="Calibri"/>
                <w:sz w:val="20"/>
                <w:szCs w:val="20"/>
              </w:rPr>
              <w:t xml:space="preserve"> in the recovery phase of treatment</w:t>
            </w:r>
            <w:r w:rsidR="007227DB" w:rsidRPr="00461D35">
              <w:rPr>
                <w:rFonts w:cs="Calibri"/>
                <w:sz w:val="20"/>
                <w:szCs w:val="20"/>
              </w:rPr>
              <w:t>)</w:t>
            </w:r>
            <w:r w:rsidR="00EB0D08" w:rsidRPr="00461D35">
              <w:rPr>
                <w:rFonts w:cs="Calibri"/>
                <w:sz w:val="20"/>
                <w:szCs w:val="20"/>
              </w:rPr>
              <w:t>.</w:t>
            </w:r>
          </w:p>
        </w:tc>
      </w:tr>
    </w:tbl>
    <w:p w14:paraId="55214EDE" w14:textId="7578C374" w:rsidR="002444E8" w:rsidRDefault="002444E8" w:rsidP="001912CA">
      <w:pPr>
        <w:pStyle w:val="Heading7"/>
      </w:pPr>
      <w:r>
        <w:t>Analysis</w:t>
      </w:r>
    </w:p>
    <w:p w14:paraId="3E1C8F43" w14:textId="5D4689B1" w:rsidR="007B1DA1" w:rsidRDefault="007B1DA1" w:rsidP="007B1DA1">
      <w:r w:rsidRPr="002F108B">
        <w:t>A general inductive approach</w:t>
      </w:r>
      <w:r w:rsidRPr="002F108B">
        <w:rPr>
          <w:rFonts w:eastAsia="Calibri"/>
        </w:rPr>
        <w:t xml:space="preserve"> was used to g</w:t>
      </w:r>
      <w:r w:rsidRPr="002F108B">
        <w:t>uide the analysis of the interview</w:t>
      </w:r>
      <w:r>
        <w:t xml:space="preserve"> and focus group</w:t>
      </w:r>
      <w:r w:rsidRPr="002F108B">
        <w:t xml:space="preserve"> data. </w:t>
      </w:r>
      <w:r>
        <w:t>We developed a</w:t>
      </w:r>
      <w:r w:rsidRPr="002F108B">
        <w:t xml:space="preserve"> coding framework </w:t>
      </w:r>
      <w:r>
        <w:t xml:space="preserve">to </w:t>
      </w:r>
      <w:r w:rsidRPr="002F108B">
        <w:t>identify</w:t>
      </w:r>
      <w:r w:rsidRPr="002F108B">
        <w:rPr>
          <w:rFonts w:eastAsia="Calibri"/>
        </w:rPr>
        <w:t xml:space="preserve"> emergent themes. </w:t>
      </w:r>
      <w:r w:rsidRPr="002F108B">
        <w:t xml:space="preserve">Our team frequently met throughout the </w:t>
      </w:r>
      <w:r>
        <w:t>Needs Assessment</w:t>
      </w:r>
      <w:r w:rsidRPr="002F108B">
        <w:t xml:space="preserve"> to discuss emergent themes and explore similarities and differences between and across the different </w:t>
      </w:r>
      <w:r>
        <w:t xml:space="preserve">gambling </w:t>
      </w:r>
      <w:r w:rsidRPr="002F108B">
        <w:t xml:space="preserve">stakeholder groups. </w:t>
      </w:r>
    </w:p>
    <w:p w14:paraId="68B0E2A4" w14:textId="77777777" w:rsidR="007B1DA1" w:rsidRDefault="007B1DA1" w:rsidP="007B1DA1">
      <w:r w:rsidRPr="00B33E34">
        <w:t xml:space="preserve">Our culturally diverse team members </w:t>
      </w:r>
      <w:r>
        <w:t xml:space="preserve">of Māori, Pacific, </w:t>
      </w:r>
      <w:r w:rsidRPr="00FC0E6E">
        <w:t>Pākeh</w:t>
      </w:r>
      <w:r>
        <w:t>ā and Asian ethnicity and heritage, and immersion in their respective communities led the analysis</w:t>
      </w:r>
      <w:r w:rsidRPr="00B33E34">
        <w:t>, b</w:t>
      </w:r>
      <w:r>
        <w:t>rought</w:t>
      </w:r>
      <w:r w:rsidRPr="00B33E34">
        <w:t xml:space="preserve"> their interpretive frameworks, </w:t>
      </w:r>
      <w:r>
        <w:t xml:space="preserve">and reflective positioning to </w:t>
      </w:r>
      <w:r w:rsidRPr="00B33E34">
        <w:t xml:space="preserve">ensure that our interpretations </w:t>
      </w:r>
      <w:r>
        <w:t>we</w:t>
      </w:r>
      <w:r w:rsidRPr="00B33E34">
        <w:t xml:space="preserve">re contextualised within </w:t>
      </w:r>
      <w:r>
        <w:t xml:space="preserve">different </w:t>
      </w:r>
      <w:r w:rsidRPr="00B33E34">
        <w:t>cultur</w:t>
      </w:r>
      <w:r>
        <w:t>es where possible and t</w:t>
      </w:r>
      <w:r w:rsidRPr="00B33E34">
        <w:t xml:space="preserve">hat findings </w:t>
      </w:r>
      <w:r>
        <w:t>we</w:t>
      </w:r>
      <w:r w:rsidRPr="00B33E34">
        <w:t>re framed accordingly.</w:t>
      </w:r>
    </w:p>
    <w:p w14:paraId="19880D1F" w14:textId="56EC9BBD" w:rsidR="00920C66" w:rsidRPr="00C754F3" w:rsidRDefault="00920C66" w:rsidP="00920C66">
      <w:pPr>
        <w:rPr>
          <w:shd w:val="clear" w:color="auto" w:fill="FFFFFF"/>
        </w:rPr>
      </w:pPr>
      <w:r w:rsidRPr="00C754F3">
        <w:rPr>
          <w:shd w:val="clear" w:color="auto" w:fill="FFFFFF"/>
        </w:rPr>
        <w:t xml:space="preserve">The codes utilised in this report </w:t>
      </w:r>
      <w:r>
        <w:rPr>
          <w:shd w:val="clear" w:color="auto" w:fill="FFFFFF"/>
        </w:rPr>
        <w:t>for interviewed participants</w:t>
      </w:r>
      <w:r w:rsidR="00076A79">
        <w:rPr>
          <w:rStyle w:val="FootnoteReference"/>
          <w:i/>
          <w:noProof/>
          <w:color w:val="632423"/>
          <w:sz w:val="20"/>
          <w:szCs w:val="20"/>
        </w:rPr>
        <w:footnoteReference w:id="16"/>
      </w:r>
      <w:r>
        <w:rPr>
          <w:shd w:val="clear" w:color="auto" w:fill="FFFFFF"/>
        </w:rPr>
        <w:t xml:space="preserve"> </w:t>
      </w:r>
      <w:r w:rsidRPr="00C754F3">
        <w:rPr>
          <w:shd w:val="clear" w:color="auto" w:fill="FFFFFF"/>
        </w:rPr>
        <w:t>include:</w:t>
      </w:r>
    </w:p>
    <w:p w14:paraId="136C0EAB" w14:textId="44E60582" w:rsidR="00920C66" w:rsidRPr="004C2A0D" w:rsidRDefault="00076A79" w:rsidP="00920C66">
      <w:pPr>
        <w:pStyle w:val="Bulleted"/>
        <w:rPr>
          <w:rStyle w:val="QuotesChar"/>
          <w:i w:val="0"/>
          <w:shd w:val="clear" w:color="auto" w:fill="FFFFFF"/>
        </w:rPr>
      </w:pPr>
      <w:r>
        <w:rPr>
          <w:shd w:val="clear" w:color="auto" w:fill="FFFFFF"/>
        </w:rPr>
        <w:t>Government and research institutions</w:t>
      </w:r>
      <w:r w:rsidR="00920C66" w:rsidRPr="00C754F3">
        <w:rPr>
          <w:shd w:val="clear" w:color="auto" w:fill="FFFFFF"/>
        </w:rPr>
        <w:t xml:space="preserve">: coded as </w:t>
      </w:r>
      <w:r>
        <w:rPr>
          <w:rStyle w:val="QuotesChar"/>
        </w:rPr>
        <w:t>Governance &amp; research</w:t>
      </w:r>
    </w:p>
    <w:p w14:paraId="337B76A3" w14:textId="3B6E923C" w:rsidR="00920C66" w:rsidRDefault="00BC1652" w:rsidP="00920C66">
      <w:pPr>
        <w:pStyle w:val="Bulleted"/>
        <w:rPr>
          <w:shd w:val="clear" w:color="auto" w:fill="FFFFFF"/>
        </w:rPr>
      </w:pPr>
      <w:r>
        <w:rPr>
          <w:shd w:val="clear" w:color="auto" w:fill="FFFFFF"/>
        </w:rPr>
        <w:t>Gambling industry</w:t>
      </w:r>
      <w:r w:rsidR="00920C66">
        <w:rPr>
          <w:shd w:val="clear" w:color="auto" w:fill="FFFFFF"/>
        </w:rPr>
        <w:t xml:space="preserve">: coded as </w:t>
      </w:r>
      <w:r>
        <w:rPr>
          <w:rStyle w:val="QuotesChar"/>
        </w:rPr>
        <w:t>Gambling industry</w:t>
      </w:r>
    </w:p>
    <w:p w14:paraId="5B7D2E2C" w14:textId="5102E876" w:rsidR="00BC1652" w:rsidRDefault="00BC1652" w:rsidP="00920C66">
      <w:pPr>
        <w:pStyle w:val="Bulleted"/>
        <w:rPr>
          <w:shd w:val="clear" w:color="auto" w:fill="FFFFFF"/>
        </w:rPr>
      </w:pPr>
      <w:r>
        <w:rPr>
          <w:shd w:val="clear" w:color="auto" w:fill="FFFFFF"/>
        </w:rPr>
        <w:t xml:space="preserve">Gambling harm provider: coded as </w:t>
      </w:r>
      <w:r w:rsidRPr="00BC1652">
        <w:rPr>
          <w:rStyle w:val="QuotesChar"/>
        </w:rPr>
        <w:t>Provider</w:t>
      </w:r>
    </w:p>
    <w:p w14:paraId="72963161" w14:textId="39730558" w:rsidR="00BC1652" w:rsidRPr="00BC1652" w:rsidRDefault="00BC1652" w:rsidP="00920C66">
      <w:pPr>
        <w:pStyle w:val="Bulleted"/>
        <w:rPr>
          <w:rStyle w:val="QuotesChar"/>
          <w:rFonts w:asciiTheme="minorHAnsi" w:hAnsiTheme="minorHAnsi"/>
          <w:i w:val="0"/>
          <w:noProof w:val="0"/>
          <w:color w:val="000000"/>
          <w:szCs w:val="22"/>
          <w:shd w:val="clear" w:color="auto" w:fill="FFFFFF"/>
        </w:rPr>
      </w:pPr>
      <w:r>
        <w:rPr>
          <w:shd w:val="clear" w:color="auto" w:fill="FFFFFF"/>
        </w:rPr>
        <w:t>Lived experience/consumer</w:t>
      </w:r>
      <w:r w:rsidR="00920C66" w:rsidRPr="00C754F3">
        <w:rPr>
          <w:shd w:val="clear" w:color="auto" w:fill="FFFFFF"/>
        </w:rPr>
        <w:t>: coded as</w:t>
      </w:r>
      <w:r w:rsidR="00920C66" w:rsidRPr="00C754F3">
        <w:rPr>
          <w:rStyle w:val="QuotesChar"/>
        </w:rPr>
        <w:t xml:space="preserve"> </w:t>
      </w:r>
      <w:r w:rsidR="00E352A3">
        <w:rPr>
          <w:rStyle w:val="QuotesChar"/>
        </w:rPr>
        <w:t>Lived experience</w:t>
      </w:r>
    </w:p>
    <w:p w14:paraId="18B363FB" w14:textId="40B80F54" w:rsidR="00920C66" w:rsidRDefault="00920C66" w:rsidP="00461D35">
      <w:pPr>
        <w:pStyle w:val="Bulleted"/>
        <w:numPr>
          <w:ilvl w:val="0"/>
          <w:numId w:val="0"/>
        </w:numPr>
        <w:spacing w:before="120"/>
        <w:rPr>
          <w:shd w:val="clear" w:color="auto" w:fill="FFFFFF"/>
        </w:rPr>
      </w:pPr>
      <w:r w:rsidRPr="00C754F3">
        <w:rPr>
          <w:shd w:val="clear" w:color="auto" w:fill="FFFFFF"/>
        </w:rPr>
        <w:t>Common themes are referenced as ‘all’ (every participant interviewed), ‘most’ (more than half of participants interviewed) or ‘some</w:t>
      </w:r>
      <w:r>
        <w:t>’</w:t>
      </w:r>
      <w:r w:rsidRPr="00C754F3">
        <w:rPr>
          <w:shd w:val="clear" w:color="auto" w:fill="FFFFFF"/>
        </w:rPr>
        <w:t xml:space="preserve"> (fewer than half of participants). Specific and/or less common themes are referenced as ‘one participant’ or ‘a small number of participant</w:t>
      </w:r>
      <w:r w:rsidRPr="00AA37CE">
        <w:rPr>
          <w:shd w:val="clear" w:color="auto" w:fill="FFFFFF"/>
        </w:rPr>
        <w:t>s’</w:t>
      </w:r>
      <w:r w:rsidRPr="00C754F3">
        <w:rPr>
          <w:shd w:val="clear" w:color="auto" w:fill="FFFFFF"/>
        </w:rPr>
        <w:t xml:space="preserve">. </w:t>
      </w:r>
    </w:p>
    <w:p w14:paraId="086AA33C" w14:textId="4347FFC4" w:rsidR="007B1DA1" w:rsidRDefault="007B1DA1">
      <w:pPr>
        <w:pStyle w:val="Heading7"/>
      </w:pPr>
      <w:r>
        <w:t>Ethics approval</w:t>
      </w:r>
    </w:p>
    <w:p w14:paraId="6966A21D" w14:textId="58A216AE" w:rsidR="00EC45C9" w:rsidRPr="002F108B" w:rsidRDefault="00EC45C9" w:rsidP="00EC45C9">
      <w:r w:rsidRPr="002F108B">
        <w:t xml:space="preserve">An ethics application for the </w:t>
      </w:r>
      <w:r>
        <w:t>N</w:t>
      </w:r>
      <w:r w:rsidRPr="00A40A50">
        <w:t xml:space="preserve">eeds </w:t>
      </w:r>
      <w:r>
        <w:t>A</w:t>
      </w:r>
      <w:r w:rsidRPr="00A40A50">
        <w:t>ssessment</w:t>
      </w:r>
      <w:r w:rsidRPr="002F108B">
        <w:t xml:space="preserve"> was submitted for review by the </w:t>
      </w:r>
      <w:r>
        <w:t xml:space="preserve">Aotearoa Research Ethics </w:t>
      </w:r>
      <w:r w:rsidRPr="002F108B">
        <w:t>Committee</w:t>
      </w:r>
      <w:r>
        <w:t xml:space="preserve"> on 15 November 2023</w:t>
      </w:r>
      <w:r w:rsidRPr="002F108B">
        <w:t xml:space="preserve">. </w:t>
      </w:r>
      <w:r w:rsidRPr="00FB3D6A">
        <w:t xml:space="preserve">Approval was received on </w:t>
      </w:r>
      <w:r w:rsidR="000F6128" w:rsidRPr="00FB3D6A">
        <w:t xml:space="preserve">17 </w:t>
      </w:r>
      <w:r w:rsidRPr="00FB3D6A">
        <w:t>February 2024.</w:t>
      </w:r>
    </w:p>
    <w:p w14:paraId="164F5186" w14:textId="04A6A73E" w:rsidR="00006EB3" w:rsidRPr="002F108B" w:rsidRDefault="00006EB3" w:rsidP="007743CC">
      <w:pPr>
        <w:pStyle w:val="Heading7"/>
      </w:pPr>
      <w:r>
        <w:t>Strengths and limitations</w:t>
      </w:r>
    </w:p>
    <w:p w14:paraId="3B61133F" w14:textId="77777777" w:rsidR="00A57B44" w:rsidRPr="002F108B" w:rsidRDefault="00A57B44" w:rsidP="00A57B44">
      <w:r w:rsidRPr="002F108B">
        <w:t>The strengths of this research included</w:t>
      </w:r>
      <w:r>
        <w:t>:</w:t>
      </w:r>
    </w:p>
    <w:p w14:paraId="162C1FF8" w14:textId="69CE2FCF" w:rsidR="00A57B44" w:rsidRPr="00045413" w:rsidRDefault="00A57B44" w:rsidP="00F16BA9">
      <w:pPr>
        <w:pStyle w:val="Bulleted"/>
      </w:pPr>
      <w:r w:rsidRPr="00045413">
        <w:lastRenderedPageBreak/>
        <w:t xml:space="preserve">A close working relationship with the Ministry throughout the </w:t>
      </w:r>
      <w:r>
        <w:t>N</w:t>
      </w:r>
      <w:r w:rsidRPr="00A40A50">
        <w:t xml:space="preserve">eeds </w:t>
      </w:r>
      <w:r>
        <w:t>A</w:t>
      </w:r>
      <w:r w:rsidRPr="00A40A50">
        <w:t>ssessment</w:t>
      </w:r>
    </w:p>
    <w:p w14:paraId="152D539A" w14:textId="5B78555D" w:rsidR="00A57B44" w:rsidRDefault="00A57B44" w:rsidP="00F16BA9">
      <w:pPr>
        <w:pStyle w:val="Bulleted"/>
      </w:pPr>
      <w:r>
        <w:t xml:space="preserve">A </w:t>
      </w:r>
      <w:r w:rsidR="009D2A04">
        <w:t>p</w:t>
      </w:r>
      <w:r>
        <w:t xml:space="preserve">artnership between Malatest and Sapere </w:t>
      </w:r>
      <w:r w:rsidR="009D2A04">
        <w:t>and opportunity to draw on complementary and specialist skillsets within each agency</w:t>
      </w:r>
    </w:p>
    <w:p w14:paraId="35D33CE5" w14:textId="0A4BB361" w:rsidR="00A57B44" w:rsidRPr="00045413" w:rsidRDefault="00A57B44" w:rsidP="00F16BA9">
      <w:pPr>
        <w:pStyle w:val="Bulleted"/>
      </w:pPr>
      <w:r w:rsidRPr="00045413">
        <w:t>The research team’s experience and understanding of the harmful gambling sector and networks across the sector</w:t>
      </w:r>
    </w:p>
    <w:p w14:paraId="03D3E1D4" w14:textId="23AC0506" w:rsidR="00A57B44" w:rsidRPr="00045413" w:rsidRDefault="00A57B44" w:rsidP="00F16BA9">
      <w:pPr>
        <w:pStyle w:val="Bulleted"/>
      </w:pPr>
      <w:r w:rsidRPr="00045413">
        <w:t>A mixed</w:t>
      </w:r>
      <w:r>
        <w:t>-</w:t>
      </w:r>
      <w:r w:rsidRPr="00045413">
        <w:t xml:space="preserve">methods approach to </w:t>
      </w:r>
      <w:r>
        <w:t xml:space="preserve">gather </w:t>
      </w:r>
      <w:r w:rsidRPr="00045413">
        <w:t xml:space="preserve">information to inform the </w:t>
      </w:r>
      <w:r>
        <w:t>N</w:t>
      </w:r>
      <w:r w:rsidRPr="00A40A50">
        <w:t xml:space="preserve">eeds </w:t>
      </w:r>
      <w:r>
        <w:t>A</w:t>
      </w:r>
      <w:r w:rsidRPr="00A40A50">
        <w:t>ssessment</w:t>
      </w:r>
      <w:r w:rsidRPr="00045413">
        <w:t>.</w:t>
      </w:r>
    </w:p>
    <w:p w14:paraId="085E5094" w14:textId="77777777" w:rsidR="00B43A44" w:rsidRPr="002F108B" w:rsidRDefault="00B43A44" w:rsidP="00B43A44">
      <w:r w:rsidRPr="002F108B">
        <w:t>The limitations of this research included</w:t>
      </w:r>
      <w:r>
        <w:t>:</w:t>
      </w:r>
    </w:p>
    <w:p w14:paraId="2545F8F6" w14:textId="3CAFD14E" w:rsidR="00B43A44" w:rsidRDefault="00B43A44" w:rsidP="00F16BA9">
      <w:pPr>
        <w:pStyle w:val="Bulleted"/>
      </w:pPr>
      <w:r>
        <w:rPr>
          <w:b/>
          <w:bCs/>
        </w:rPr>
        <w:t>Limited timeframes</w:t>
      </w:r>
      <w:r w:rsidR="008A7F16">
        <w:rPr>
          <w:b/>
          <w:bCs/>
        </w:rPr>
        <w:t xml:space="preserve"> and inclusiveness</w:t>
      </w:r>
      <w:r>
        <w:rPr>
          <w:b/>
          <w:bCs/>
        </w:rPr>
        <w:t xml:space="preserve">: </w:t>
      </w:r>
      <w:r>
        <w:t xml:space="preserve">Data collection was </w:t>
      </w:r>
      <w:r w:rsidR="007156C7">
        <w:t xml:space="preserve">primarily conducted </w:t>
      </w:r>
      <w:r>
        <w:t xml:space="preserve">between </w:t>
      </w:r>
      <w:r w:rsidR="00F16BA9">
        <w:t>December</w:t>
      </w:r>
      <w:r w:rsidR="00461D35">
        <w:t xml:space="preserve"> 2023</w:t>
      </w:r>
      <w:r w:rsidR="00F16BA9">
        <w:t xml:space="preserve"> and February</w:t>
      </w:r>
      <w:r>
        <w:t xml:space="preserve"> 202</w:t>
      </w:r>
      <w:r w:rsidR="00F16BA9">
        <w:t>4</w:t>
      </w:r>
      <w:r w:rsidR="007156C7">
        <w:rPr>
          <w:rStyle w:val="FootnoteReference"/>
        </w:rPr>
        <w:footnoteReference w:id="17"/>
      </w:r>
      <w:r>
        <w:t>. The N</w:t>
      </w:r>
      <w:r w:rsidRPr="00A40A50">
        <w:t xml:space="preserve">eeds </w:t>
      </w:r>
      <w:r>
        <w:t>A</w:t>
      </w:r>
      <w:r w:rsidRPr="00A40A50">
        <w:t>ssessment</w:t>
      </w:r>
      <w:r>
        <w:t xml:space="preserve"> examined a broad and sensitive topic with numerous stakeholders in a tight timeframe.</w:t>
      </w:r>
      <w:r w:rsidR="00430AEF">
        <w:t xml:space="preserve"> </w:t>
      </w:r>
      <w:r w:rsidR="00461D35">
        <w:t>Almost all</w:t>
      </w:r>
      <w:r w:rsidR="00430AEF">
        <w:t xml:space="preserve"> </w:t>
      </w:r>
      <w:r w:rsidR="002C1553">
        <w:t>participants</w:t>
      </w:r>
      <w:r w:rsidR="00430AEF">
        <w:t xml:space="preserve"> </w:t>
      </w:r>
      <w:r w:rsidR="00461D35">
        <w:t>advocated</w:t>
      </w:r>
      <w:r w:rsidR="00430AEF">
        <w:t xml:space="preserve"> a need to </w:t>
      </w:r>
      <w:r w:rsidR="007156C7">
        <w:t>allow</w:t>
      </w:r>
      <w:r w:rsidR="00430AEF">
        <w:t xml:space="preserve"> </w:t>
      </w:r>
      <w:r w:rsidR="008A7F16">
        <w:t xml:space="preserve">extended and adequate timeframes for </w:t>
      </w:r>
      <w:r w:rsidR="00430AEF">
        <w:t xml:space="preserve">future Needs Assessments </w:t>
      </w:r>
      <w:r w:rsidR="008A7F16">
        <w:t>to ensure:</w:t>
      </w:r>
    </w:p>
    <w:p w14:paraId="44D2C03C" w14:textId="1F0E3656" w:rsidR="00052FAB" w:rsidRPr="00415F81" w:rsidRDefault="008A7F16" w:rsidP="008A7F16">
      <w:pPr>
        <w:pStyle w:val="Second-levelbullets"/>
      </w:pPr>
      <w:r w:rsidRPr="00415F81">
        <w:t xml:space="preserve">Appropriate inclusiveness of </w:t>
      </w:r>
      <w:r w:rsidR="002C1553" w:rsidRPr="00415F81">
        <w:t xml:space="preserve">lived experience and consumer voice: </w:t>
      </w:r>
      <w:r w:rsidR="00415F81" w:rsidRPr="00415F81">
        <w:t>P</w:t>
      </w:r>
      <w:r w:rsidR="002C1553" w:rsidRPr="00415F81">
        <w:t xml:space="preserve">articipants highlighted </w:t>
      </w:r>
      <w:r w:rsidR="00415F81" w:rsidRPr="00415F81">
        <w:t xml:space="preserve">adequate time was required to support </w:t>
      </w:r>
      <w:r w:rsidR="007156C7" w:rsidRPr="00415F81">
        <w:t>appropriate engagement and</w:t>
      </w:r>
      <w:r w:rsidR="00415F81" w:rsidRPr="00415F81">
        <w:t xml:space="preserve"> explore</w:t>
      </w:r>
      <w:r w:rsidR="007156C7" w:rsidRPr="00415F81">
        <w:t xml:space="preserve"> in-depth cultural understandings and contexts for </w:t>
      </w:r>
      <w:r w:rsidR="002C1553" w:rsidRPr="00415F81">
        <w:t xml:space="preserve">priority populations </w:t>
      </w:r>
      <w:r w:rsidR="00E352A3">
        <w:t>and lived experience/consumer representatives. Future Needs Assessments would enable opportunities to engage with priority populations using appropriate kaupapa M</w:t>
      </w:r>
      <w:r w:rsidR="00E352A3">
        <w:rPr>
          <w:rFonts w:cstheme="minorHAnsi"/>
        </w:rPr>
        <w:t>ā</w:t>
      </w:r>
      <w:r w:rsidR="00E352A3">
        <w:t xml:space="preserve">ori, Pacific and collective research methodologies respectively. </w:t>
      </w:r>
    </w:p>
    <w:p w14:paraId="14F5711F" w14:textId="4B375D6F" w:rsidR="00BC2538" w:rsidRDefault="00B53362" w:rsidP="008A7F16">
      <w:pPr>
        <w:pStyle w:val="Second-levelbullets"/>
      </w:pPr>
      <w:r>
        <w:t xml:space="preserve">Needs Assessment findings are </w:t>
      </w:r>
      <w:r w:rsidR="00415F81">
        <w:t xml:space="preserve">made </w:t>
      </w:r>
      <w:r w:rsidR="007265E6">
        <w:t>publicly</w:t>
      </w:r>
      <w:r w:rsidR="00731EEF">
        <w:t xml:space="preserve"> available prior to public consultation on the Strategy</w:t>
      </w:r>
      <w:r w:rsidR="001A0C4E">
        <w:t xml:space="preserve"> for </w:t>
      </w:r>
      <w:r w:rsidR="000035C8">
        <w:t>M</w:t>
      </w:r>
      <w:r w:rsidR="001A0C4E">
        <w:t xml:space="preserve">inimising </w:t>
      </w:r>
      <w:r w:rsidR="000035C8">
        <w:t>G</w:t>
      </w:r>
      <w:r w:rsidR="001A0C4E">
        <w:t xml:space="preserve">ambling </w:t>
      </w:r>
      <w:r w:rsidR="000035C8">
        <w:t>H</w:t>
      </w:r>
      <w:r w:rsidR="001A0C4E">
        <w:t>arm</w:t>
      </w:r>
      <w:r w:rsidR="00731EEF">
        <w:t xml:space="preserve">: </w:t>
      </w:r>
      <w:r w:rsidR="00E16B53">
        <w:t>P</w:t>
      </w:r>
      <w:r w:rsidR="00412C15">
        <w:t xml:space="preserve">articipants noted </w:t>
      </w:r>
      <w:r w:rsidR="001E0731">
        <w:t xml:space="preserve">a </w:t>
      </w:r>
      <w:r w:rsidR="001A0C4E">
        <w:t xml:space="preserve">risk that the Needs Assessment could become a </w:t>
      </w:r>
      <w:r w:rsidR="001A0C4E" w:rsidRPr="00BC089B">
        <w:rPr>
          <w:rStyle w:val="QuotesChar"/>
        </w:rPr>
        <w:t>tick box exercise</w:t>
      </w:r>
      <w:r w:rsidR="001A0C4E">
        <w:t xml:space="preserve"> and </w:t>
      </w:r>
      <w:r w:rsidR="001E0731">
        <w:t>considered it critical that</w:t>
      </w:r>
      <w:r w:rsidR="00BC2538">
        <w:t>:</w:t>
      </w:r>
    </w:p>
    <w:p w14:paraId="5C397AB9" w14:textId="5C745937" w:rsidR="00BC2538" w:rsidRDefault="00BC2538" w:rsidP="00BC2538">
      <w:pPr>
        <w:pStyle w:val="Second-levelbullets"/>
        <w:numPr>
          <w:ilvl w:val="2"/>
          <w:numId w:val="8"/>
        </w:numPr>
      </w:pPr>
      <w:r>
        <w:t>T</w:t>
      </w:r>
      <w:r w:rsidR="00E007A3">
        <w:t xml:space="preserve">he Strategy </w:t>
      </w:r>
      <w:r w:rsidR="00F4010A">
        <w:t xml:space="preserve">reflected and addressed key </w:t>
      </w:r>
      <w:r w:rsidR="001E0731">
        <w:t>findings</w:t>
      </w:r>
      <w:r>
        <w:t xml:space="preserve"> from the Needs Assessment</w:t>
      </w:r>
    </w:p>
    <w:p w14:paraId="2EC5B9E3" w14:textId="4DA4DDEA" w:rsidR="007265E6" w:rsidRDefault="00461D35" w:rsidP="007156C7">
      <w:pPr>
        <w:pStyle w:val="Second-levelbullets"/>
        <w:numPr>
          <w:ilvl w:val="2"/>
          <w:numId w:val="8"/>
        </w:numPr>
      </w:pPr>
      <w:r>
        <w:t>Stakeholders had a</w:t>
      </w:r>
      <w:r w:rsidR="00F4010A">
        <w:t xml:space="preserve">ccess to the Needs Assessment findings </w:t>
      </w:r>
      <w:r w:rsidR="001D5D74">
        <w:t xml:space="preserve">prior to Strategy </w:t>
      </w:r>
      <w:r w:rsidR="00011146">
        <w:t xml:space="preserve">public </w:t>
      </w:r>
      <w:r w:rsidR="001D5D74">
        <w:t xml:space="preserve">consultations </w:t>
      </w:r>
      <w:r w:rsidR="005C0D46">
        <w:t>for all to provide informed responses</w:t>
      </w:r>
      <w:r>
        <w:t xml:space="preserve"> to the Strategy</w:t>
      </w:r>
      <w:r w:rsidR="005C0D46">
        <w:t>.</w:t>
      </w:r>
    </w:p>
    <w:p w14:paraId="55F2AFE2" w14:textId="3BB35D34" w:rsidR="0064129F" w:rsidRDefault="00076A79" w:rsidP="001912CA">
      <w:pPr>
        <w:pStyle w:val="Quotes"/>
        <w:ind w:left="2160"/>
        <w:jc w:val="center"/>
      </w:pPr>
      <w:r w:rsidRPr="00076A79">
        <w:drawing>
          <wp:inline distT="0" distB="0" distL="0" distR="0" wp14:anchorId="6B0B5B4C" wp14:editId="07384B94">
            <wp:extent cx="2790439" cy="923925"/>
            <wp:effectExtent l="0" t="0" r="0" b="0"/>
            <wp:docPr id="913769077" name="Picture 1" descr="A red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69077" name="Picture 1" descr="A red background with white text"/>
                    <pic:cNvPicPr/>
                  </pic:nvPicPr>
                  <pic:blipFill>
                    <a:blip r:embed="rId16"/>
                    <a:stretch>
                      <a:fillRect/>
                    </a:stretch>
                  </pic:blipFill>
                  <pic:spPr>
                    <a:xfrm>
                      <a:off x="0" y="0"/>
                      <a:ext cx="2794843" cy="925383"/>
                    </a:xfrm>
                    <a:prstGeom prst="rect">
                      <a:avLst/>
                    </a:prstGeom>
                  </pic:spPr>
                </pic:pic>
              </a:graphicData>
            </a:graphic>
          </wp:inline>
        </w:drawing>
      </w:r>
    </w:p>
    <w:p w14:paraId="13A12646" w14:textId="3C4E0D6C" w:rsidR="004336F0" w:rsidRDefault="00B43A44" w:rsidP="00BE011F">
      <w:pPr>
        <w:pStyle w:val="Bulleted"/>
      </w:pPr>
      <w:r w:rsidRPr="00415F81">
        <w:rPr>
          <w:b/>
          <w:bCs/>
        </w:rPr>
        <w:t>Live systems change</w:t>
      </w:r>
      <w:r w:rsidR="00C31644" w:rsidRPr="00415F81">
        <w:rPr>
          <w:b/>
          <w:bCs/>
        </w:rPr>
        <w:t xml:space="preserve"> throughout the duration of the Needs Assessment:</w:t>
      </w:r>
      <w:r w:rsidR="00C31644" w:rsidRPr="00F0764B">
        <w:t xml:space="preserve"> The </w:t>
      </w:r>
      <w:r w:rsidR="00B1341D">
        <w:t>N</w:t>
      </w:r>
      <w:r w:rsidR="00C31644" w:rsidRPr="00F0764B">
        <w:t xml:space="preserve">eeds </w:t>
      </w:r>
      <w:r w:rsidR="00B1341D">
        <w:t>A</w:t>
      </w:r>
      <w:r w:rsidR="00C31644" w:rsidRPr="00F0764B">
        <w:t xml:space="preserve">ssessment was conducted during a significant time of change </w:t>
      </w:r>
      <w:r w:rsidR="00D65856" w:rsidRPr="00F0764B">
        <w:t>across</w:t>
      </w:r>
      <w:r w:rsidR="00C31644" w:rsidRPr="00F0764B">
        <w:t xml:space="preserve"> the</w:t>
      </w:r>
      <w:r w:rsidR="00F16BA9">
        <w:t xml:space="preserve"> government, and</w:t>
      </w:r>
      <w:r w:rsidR="00C31644" w:rsidRPr="00F0764B">
        <w:t xml:space="preserve"> </w:t>
      </w:r>
      <w:r w:rsidR="00F16BA9">
        <w:t xml:space="preserve">health, </w:t>
      </w:r>
      <w:r w:rsidR="00772C5C" w:rsidRPr="00F0764B">
        <w:t xml:space="preserve">minimising gambling harm </w:t>
      </w:r>
      <w:r w:rsidR="00937908" w:rsidRPr="00F0764B">
        <w:t xml:space="preserve">agency and </w:t>
      </w:r>
      <w:r w:rsidR="00772C5C" w:rsidRPr="00F0764B">
        <w:t>provider sector</w:t>
      </w:r>
      <w:r w:rsidR="00F16BA9">
        <w:t>s</w:t>
      </w:r>
      <w:r w:rsidR="00BA3544" w:rsidRPr="00F0764B">
        <w:t xml:space="preserve">. Systems and sector changes </w:t>
      </w:r>
      <w:r w:rsidR="00AC5F75" w:rsidRPr="00F0764B">
        <w:t xml:space="preserve">provide important context for findings </w:t>
      </w:r>
      <w:r w:rsidR="00F16BA9">
        <w:t>highlighted in this report</w:t>
      </w:r>
      <w:r w:rsidR="00225491">
        <w:t xml:space="preserve"> – and in some cases </w:t>
      </w:r>
      <w:r w:rsidR="00F07A53">
        <w:t xml:space="preserve">findings </w:t>
      </w:r>
      <w:r w:rsidR="00F07A53">
        <w:lastRenderedPageBreak/>
        <w:t xml:space="preserve">may be </w:t>
      </w:r>
      <w:r w:rsidR="00C65186">
        <w:t>obsolete</w:t>
      </w:r>
      <w:r w:rsidR="00F07A53">
        <w:t xml:space="preserve"> </w:t>
      </w:r>
      <w:r w:rsidR="00225491">
        <w:t>due to the constantly changing nature of the sector</w:t>
      </w:r>
      <w:r w:rsidR="00F07A53">
        <w:t xml:space="preserve"> at </w:t>
      </w:r>
      <w:r w:rsidR="00415F81">
        <w:t xml:space="preserve">the </w:t>
      </w:r>
      <w:r w:rsidR="00F07A53">
        <w:t>time</w:t>
      </w:r>
      <w:r w:rsidR="00415F81">
        <w:t xml:space="preserve"> of data collection. For example, at the time of writing this Needs Assessment, the government passed a bill to disestablish The Māori Health Authority - Te Aka Whai Ora which would result in their functions being distributed between Health New Zealand and the Ministry.</w:t>
      </w:r>
    </w:p>
    <w:p w14:paraId="1A2723A4" w14:textId="6A883401" w:rsidR="00C35BB4" w:rsidRDefault="003E2660" w:rsidP="00C130A6">
      <w:pPr>
        <w:pStyle w:val="Bulleted"/>
      </w:pPr>
      <w:r w:rsidRPr="00011146">
        <w:rPr>
          <w:b/>
          <w:bCs/>
        </w:rPr>
        <w:t xml:space="preserve">A </w:t>
      </w:r>
      <w:r w:rsidR="005E0C70" w:rsidRPr="00011146">
        <w:rPr>
          <w:b/>
          <w:bCs/>
        </w:rPr>
        <w:t xml:space="preserve">sample of </w:t>
      </w:r>
      <w:r w:rsidR="00E63FC1" w:rsidRPr="00011146">
        <w:rPr>
          <w:b/>
          <w:bCs/>
        </w:rPr>
        <w:t>gambling stakeholder</w:t>
      </w:r>
      <w:r w:rsidR="003E4D49" w:rsidRPr="00011146">
        <w:rPr>
          <w:b/>
          <w:bCs/>
        </w:rPr>
        <w:t xml:space="preserve"> interviews: </w:t>
      </w:r>
      <w:r w:rsidR="00CE28BF" w:rsidRPr="00F0764B">
        <w:t>Although interviewed participants</w:t>
      </w:r>
      <w:r w:rsidR="00517A3D" w:rsidRPr="00F0764B">
        <w:t xml:space="preserve"> reflected on their vast</w:t>
      </w:r>
      <w:r w:rsidR="00212A28" w:rsidRPr="00F0764B">
        <w:t xml:space="preserve"> personal experiences and expertise – the </w:t>
      </w:r>
      <w:r w:rsidR="00F0764B" w:rsidRPr="00F0764B">
        <w:t>qualitative findings cannot be generalised to all gambling stakeholders.</w:t>
      </w:r>
    </w:p>
    <w:p w14:paraId="25296D22" w14:textId="77777777" w:rsidR="00D30444" w:rsidRDefault="00D30444" w:rsidP="00D30444">
      <w:pPr>
        <w:pStyle w:val="Heading5"/>
      </w:pPr>
      <w:bookmarkStart w:id="61" w:name="_Toc157762691"/>
      <w:bookmarkStart w:id="62" w:name="_Toc157762748"/>
      <w:bookmarkStart w:id="63" w:name="_Toc166507369"/>
      <w:bookmarkEnd w:id="61"/>
      <w:bookmarkEnd w:id="62"/>
      <w:r w:rsidRPr="002F108B">
        <w:lastRenderedPageBreak/>
        <w:t>Gambling in Aotearoa New Zealand</w:t>
      </w:r>
      <w:bookmarkEnd w:id="63"/>
      <w:r w:rsidRPr="002F108B">
        <w:t xml:space="preserve"> </w:t>
      </w:r>
    </w:p>
    <w:p w14:paraId="15C1B033" w14:textId="7DE38437" w:rsidR="000137C2" w:rsidRPr="000137C2" w:rsidRDefault="00E54D95" w:rsidP="00E251FE">
      <w:r>
        <w:t>Since the 2021 Needs Assessment, g</w:t>
      </w:r>
      <w:r w:rsidR="000137C2">
        <w:t xml:space="preserve">ambling activity has remained </w:t>
      </w:r>
      <w:r w:rsidR="00BF1932">
        <w:t xml:space="preserve">at a </w:t>
      </w:r>
      <w:r w:rsidR="00793078">
        <w:t>relatively constant</w:t>
      </w:r>
      <w:r w:rsidR="000137C2">
        <w:t xml:space="preserve"> </w:t>
      </w:r>
      <w:r w:rsidR="00BF1932">
        <w:t xml:space="preserve">level </w:t>
      </w:r>
      <w:r w:rsidR="000137C2">
        <w:t>in New Zealand, with data indicating that most adults engage in gambling at some stage in their lives.</w:t>
      </w:r>
      <w:r w:rsidR="00F01212">
        <w:t xml:space="preserve"> </w:t>
      </w:r>
      <w:r w:rsidR="00670A8D">
        <w:t xml:space="preserve">The frameworks </w:t>
      </w:r>
      <w:r w:rsidR="00E85246">
        <w:t xml:space="preserve">and roles of the sector </w:t>
      </w:r>
      <w:r w:rsidR="0097472F">
        <w:t xml:space="preserve">in preventing gambling harm have </w:t>
      </w:r>
      <w:r w:rsidR="00673C31">
        <w:t xml:space="preserve">recently changed in response to the establishment of </w:t>
      </w:r>
      <w:bookmarkStart w:id="64" w:name="_Hlk163376659"/>
      <w:r w:rsidR="008B080F">
        <w:t xml:space="preserve">Health New Zealand - </w:t>
      </w:r>
      <w:r w:rsidR="00673C31">
        <w:t xml:space="preserve">Te Whatu Ora and </w:t>
      </w:r>
      <w:r w:rsidR="008B080F">
        <w:t xml:space="preserve">The Māori Health Authority - </w:t>
      </w:r>
      <w:r w:rsidR="00673C31">
        <w:t>Te Aka Whai Ora</w:t>
      </w:r>
      <w:bookmarkEnd w:id="64"/>
      <w:r w:rsidR="0097472F">
        <w:t xml:space="preserve">, </w:t>
      </w:r>
      <w:r>
        <w:t xml:space="preserve">and </w:t>
      </w:r>
      <w:r w:rsidR="00F16BA9">
        <w:t xml:space="preserve">the </w:t>
      </w:r>
      <w:r>
        <w:t>D</w:t>
      </w:r>
      <w:r w:rsidR="00F16BA9">
        <w:t xml:space="preserve">epartment of </w:t>
      </w:r>
      <w:r>
        <w:t>I</w:t>
      </w:r>
      <w:r w:rsidR="00F16BA9">
        <w:t xml:space="preserve">nternal </w:t>
      </w:r>
      <w:r>
        <w:t>A</w:t>
      </w:r>
      <w:r w:rsidR="00F16BA9">
        <w:t>ffairs (DIA)</w:t>
      </w:r>
      <w:r>
        <w:t xml:space="preserve"> have introduced </w:t>
      </w:r>
      <w:r w:rsidR="0097472F">
        <w:t xml:space="preserve">new legislation </w:t>
      </w:r>
      <w:r w:rsidR="00D10D52">
        <w:t xml:space="preserve">to </w:t>
      </w:r>
      <w:r w:rsidR="00CE1E2C">
        <w:t xml:space="preserve">increase the responsibilities of Class 4 venue managers (see </w:t>
      </w:r>
      <w:r w:rsidR="00F22F2E">
        <w:t>s</w:t>
      </w:r>
      <w:r w:rsidR="00CE1E2C">
        <w:t xml:space="preserve">ection </w:t>
      </w:r>
      <w:r w:rsidR="00CE1E2C">
        <w:fldChar w:fldCharType="begin"/>
      </w:r>
      <w:r w:rsidR="00CE1E2C">
        <w:instrText xml:space="preserve"> REF _Ref64929393 \r \h </w:instrText>
      </w:r>
      <w:r w:rsidR="00CE1E2C">
        <w:fldChar w:fldCharType="separate"/>
      </w:r>
      <w:r w:rsidR="004F4DA7">
        <w:t>2.3</w:t>
      </w:r>
      <w:r w:rsidR="00CE1E2C">
        <w:fldChar w:fldCharType="end"/>
      </w:r>
      <w:r w:rsidR="00CE1E2C">
        <w:t>).</w:t>
      </w:r>
      <w:r w:rsidR="0097472F">
        <w:t xml:space="preserve"> </w:t>
      </w:r>
    </w:p>
    <w:p w14:paraId="0CD2A1B5" w14:textId="77777777" w:rsidR="007D7D39" w:rsidRPr="002F108B" w:rsidRDefault="007D7D39">
      <w:pPr>
        <w:pStyle w:val="Heading6"/>
      </w:pPr>
      <w:bookmarkStart w:id="65" w:name="_Ref65074882"/>
      <w:bookmarkStart w:id="66" w:name="_Toc65250298"/>
      <w:bookmarkStart w:id="67" w:name="_Toc76469773"/>
      <w:bookmarkStart w:id="68" w:name="_Toc166507370"/>
      <w:r w:rsidRPr="002F108B">
        <w:t>Gambling participation</w:t>
      </w:r>
      <w:bookmarkEnd w:id="65"/>
      <w:bookmarkEnd w:id="66"/>
      <w:bookmarkEnd w:id="67"/>
      <w:bookmarkEnd w:id="68"/>
    </w:p>
    <w:p w14:paraId="72D2CEB9" w14:textId="1AA2FE1C" w:rsidR="00C70D36" w:rsidRPr="00A06DF7" w:rsidRDefault="008040EE" w:rsidP="00A06DF7">
      <w:pPr>
        <w:rPr>
          <w:rFonts w:cs="Calibri"/>
        </w:rPr>
      </w:pPr>
      <w:r w:rsidRPr="00A06DF7">
        <w:rPr>
          <w:rFonts w:cs="Calibri"/>
        </w:rPr>
        <w:t>Although</w:t>
      </w:r>
      <w:r w:rsidR="00AB78EC" w:rsidRPr="00A06DF7">
        <w:rPr>
          <w:rFonts w:cs="Calibri"/>
        </w:rPr>
        <w:t xml:space="preserve"> </w:t>
      </w:r>
      <w:r w:rsidRPr="00A06DF7">
        <w:rPr>
          <w:rFonts w:cs="Calibri"/>
        </w:rPr>
        <w:t>p</w:t>
      </w:r>
      <w:r w:rsidR="00AB78EC" w:rsidRPr="00A06DF7">
        <w:rPr>
          <w:rFonts w:cs="Calibri"/>
        </w:rPr>
        <w:t>revious studies</w:t>
      </w:r>
      <w:r w:rsidR="00C30F07" w:rsidRPr="00A06DF7">
        <w:rPr>
          <w:rFonts w:cs="Calibri"/>
        </w:rPr>
        <w:t xml:space="preserve"> and surveys</w:t>
      </w:r>
      <w:r w:rsidR="00AB78EC" w:rsidRPr="00A06DF7">
        <w:rPr>
          <w:rFonts w:cs="Calibri"/>
        </w:rPr>
        <w:t xml:space="preserve"> found that gambling participation rates were declining</w:t>
      </w:r>
      <w:r w:rsidR="00C730D1" w:rsidRPr="00A06DF7">
        <w:rPr>
          <w:rFonts w:cs="Calibri"/>
        </w:rPr>
        <w:t xml:space="preserve"> </w:t>
      </w:r>
      <w:r w:rsidR="00E83551" w:rsidRPr="00A06DF7">
        <w:rPr>
          <w:rFonts w:cs="Calibri"/>
        </w:rPr>
        <w:fldChar w:fldCharType="begin"/>
      </w:r>
      <w:r w:rsidR="00715B07" w:rsidRPr="00A06DF7">
        <w:rPr>
          <w:rFonts w:cs="Calibri"/>
        </w:rPr>
        <w:instrText xml:space="preserve"> ADDIN ZOTERO_ITEM CSL_CITATION {"citationID":"L7fRFS1v","properties":{"formattedCitation":"(Abbot et al., 2018; Te Whatu Ora, 2018)","plainCitation":"(Abbot et al., 2018; Te Whatu Ora, 2018)","noteIndex":0},"citationItems":[{"id":1334,"uris":["http://zotero.org/users/11111291/items/GL97WQ8K"],"itemData":{"id":1334,"type":"report","abstract":"The New Zealand National Gambling Study (NGS) is a nationally representative longitudinal cohort survey. This type of survey re-interviews the same participants over time. Participants were interviewed in 2012, 2013, 2014 and 2015. This report presents the results from the 2015 survey.","language":"en","publisher":"Auckland University of Technology, Gambling and Addictions Research Centre","title":"New Zealand National Gambling Study: Wave 4 (2015)","URL":"https://www.health.govt.nz/system/files/documents/publications/national-gambling-study-report-6-aug18.pdf","author":[{"family":"Abbot","given":"Max"},{"family":"Bellringer","given":"Maria"},{"family":"Garrett","given":"Nick"}],"accessed":{"date-parts":[["2023",11,29]]},"issued":{"date-parts":[["2018"]]}}},{"id":1333,"uris":["http://zotero.org/users/11111291/items/4HLA4H79"],"itemData":{"id":1333,"type":"dataset","title":"Health and Lifestyle Survey gambling data","URL":"https://kupe.healthpromotion.govt.nz/#!/gambling","author":[{"literal":"Te Whatu Ora"}],"issued":{"date-parts":[["2018"]]}}}],"schema":"https://github.com/citation-style-language/schema/raw/master/csl-citation.json"} </w:instrText>
      </w:r>
      <w:r w:rsidR="00E83551" w:rsidRPr="00A06DF7">
        <w:rPr>
          <w:rFonts w:cs="Calibri"/>
        </w:rPr>
        <w:fldChar w:fldCharType="separate"/>
      </w:r>
      <w:r w:rsidR="00F50A98" w:rsidRPr="00A06DF7">
        <w:rPr>
          <w:rFonts w:cs="Calibri"/>
        </w:rPr>
        <w:t>(Abbot et al., 2018; Te Whatu Ora, 2018)</w:t>
      </w:r>
      <w:r w:rsidR="00E83551" w:rsidRPr="00A06DF7">
        <w:rPr>
          <w:rFonts w:cs="Calibri"/>
        </w:rPr>
        <w:fldChar w:fldCharType="end"/>
      </w:r>
      <w:r w:rsidR="00DE65FF" w:rsidRPr="00A06DF7">
        <w:rPr>
          <w:rFonts w:cs="Calibri"/>
        </w:rPr>
        <w:t>, results from the most recent Health and Life</w:t>
      </w:r>
      <w:r w:rsidR="00704C4D" w:rsidRPr="00A06DF7">
        <w:rPr>
          <w:rFonts w:cs="Calibri"/>
        </w:rPr>
        <w:t>style Survey</w:t>
      </w:r>
      <w:r w:rsidR="00F50A98" w:rsidRPr="00A06DF7">
        <w:rPr>
          <w:rFonts w:cs="Calibri"/>
        </w:rPr>
        <w:t xml:space="preserve"> </w:t>
      </w:r>
      <w:r w:rsidR="00F50A98" w:rsidRPr="00A06DF7">
        <w:rPr>
          <w:rFonts w:cs="Calibri"/>
        </w:rPr>
        <w:fldChar w:fldCharType="begin"/>
      </w:r>
      <w:r w:rsidR="00715B07" w:rsidRPr="00A06DF7">
        <w:rPr>
          <w:rFonts w:cs="Calibri"/>
        </w:rPr>
        <w:instrText xml:space="preserve"> ADDIN ZOTERO_ITEM CSL_CITATION {"citationID":"DZVIxNSC","properties":{"formattedCitation":"(Te Whatu Ora, 2020)","plainCitation":"(Te Whatu Ora, 2020)","noteIndex":0},"citationItems":[{"id":1332,"uris":["http://zotero.org/users/11111291/items/7BATMKQU"],"itemData":{"id":1332,"type":"dataset","title":"Health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00F50A98" w:rsidRPr="00A06DF7">
        <w:rPr>
          <w:rFonts w:cs="Calibri"/>
        </w:rPr>
        <w:fldChar w:fldCharType="separate"/>
      </w:r>
      <w:r w:rsidR="00F50A98" w:rsidRPr="00A06DF7">
        <w:rPr>
          <w:rFonts w:cs="Calibri"/>
        </w:rPr>
        <w:t>(Te Whatu Ora, 2020)</w:t>
      </w:r>
      <w:r w:rsidR="00F50A98" w:rsidRPr="00A06DF7">
        <w:rPr>
          <w:rFonts w:cs="Calibri"/>
        </w:rPr>
        <w:fldChar w:fldCharType="end"/>
      </w:r>
      <w:r w:rsidR="00704C4D" w:rsidRPr="00A06DF7">
        <w:rPr>
          <w:rFonts w:cs="Calibri"/>
        </w:rPr>
        <w:t xml:space="preserve"> </w:t>
      </w:r>
      <w:r w:rsidR="00DB041E" w:rsidRPr="00A06DF7">
        <w:rPr>
          <w:rFonts w:cs="Calibri"/>
        </w:rPr>
        <w:t xml:space="preserve">show increasing rates </w:t>
      </w:r>
      <w:r w:rsidR="002B7594" w:rsidRPr="00A06DF7">
        <w:rPr>
          <w:rFonts w:cs="Calibri"/>
        </w:rPr>
        <w:t>across many forms of gambling</w:t>
      </w:r>
      <w:r w:rsidR="00A26485" w:rsidRPr="00A06DF7">
        <w:rPr>
          <w:rFonts w:cs="Calibri"/>
        </w:rPr>
        <w:t>, especially online gambling</w:t>
      </w:r>
      <w:r w:rsidR="002B7594" w:rsidRPr="00A06DF7">
        <w:rPr>
          <w:rFonts w:cs="Calibri"/>
        </w:rPr>
        <w:t>:</w:t>
      </w:r>
    </w:p>
    <w:p w14:paraId="757DF19D" w14:textId="51C95381" w:rsidR="00D94E95" w:rsidRDefault="00961945" w:rsidP="00961945">
      <w:pPr>
        <w:pStyle w:val="Caption"/>
      </w:pPr>
      <w:bookmarkStart w:id="69" w:name="_Ref152055998"/>
      <w:bookmarkStart w:id="70" w:name="_Toc166580296"/>
      <w:r>
        <w:t xml:space="preserve">Figure </w:t>
      </w:r>
      <w:r>
        <w:fldChar w:fldCharType="begin"/>
      </w:r>
      <w:r>
        <w:instrText>SEQ Figure \* ARABIC</w:instrText>
      </w:r>
      <w:r>
        <w:fldChar w:fldCharType="separate"/>
      </w:r>
      <w:r w:rsidR="004F4DA7">
        <w:rPr>
          <w:noProof/>
        </w:rPr>
        <w:t>1</w:t>
      </w:r>
      <w:r>
        <w:fldChar w:fldCharType="end"/>
      </w:r>
      <w:bookmarkEnd w:id="69"/>
      <w:r w:rsidR="00D9625C">
        <w:t xml:space="preserve">: </w:t>
      </w:r>
      <w:r w:rsidR="000A61CE">
        <w:t xml:space="preserve">Gambling </w:t>
      </w:r>
      <w:r w:rsidR="00BB2204">
        <w:t>participation</w:t>
      </w:r>
      <w:r w:rsidR="000A61CE">
        <w:t xml:space="preserve"> by activity in NZ (HLS, 2020)</w:t>
      </w:r>
      <w:bookmarkEnd w:id="70"/>
    </w:p>
    <w:p w14:paraId="62B4A21E" w14:textId="0D93994D" w:rsidR="00C45753" w:rsidRDefault="004734F9" w:rsidP="000329B3">
      <w:r w:rsidRPr="004734F9">
        <w:rPr>
          <w:noProof/>
        </w:rPr>
        <w:t xml:space="preserve"> </w:t>
      </w:r>
      <w:r>
        <w:rPr>
          <w:noProof/>
        </w:rPr>
        <w:drawing>
          <wp:inline distT="0" distB="0" distL="0" distR="0" wp14:anchorId="3CFF2352" wp14:editId="42C29A3E">
            <wp:extent cx="5731510" cy="3370580"/>
            <wp:effectExtent l="0" t="0" r="2540" b="1270"/>
            <wp:docPr id="1" name="Graphic 1" descr="A bar chart showing participation rates for different gambl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 bar chart showing participation rates for different gambling activities"/>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3370580"/>
                    </a:xfrm>
                    <a:prstGeom prst="rect">
                      <a:avLst/>
                    </a:prstGeom>
                  </pic:spPr>
                </pic:pic>
              </a:graphicData>
            </a:graphic>
          </wp:inline>
        </w:drawing>
      </w:r>
    </w:p>
    <w:p w14:paraId="38689C7F" w14:textId="147BD63A" w:rsidR="00C70D36" w:rsidRDefault="007F0DF3" w:rsidP="000329B3">
      <w:r>
        <w:fldChar w:fldCharType="begin"/>
      </w:r>
      <w:r>
        <w:instrText xml:space="preserve"> REF _Ref152055998 \h </w:instrText>
      </w:r>
      <w:r>
        <w:fldChar w:fldCharType="separate"/>
      </w:r>
      <w:r w:rsidR="004F4DA7">
        <w:t xml:space="preserve">Figure </w:t>
      </w:r>
      <w:r w:rsidR="004F4DA7">
        <w:rPr>
          <w:noProof/>
        </w:rPr>
        <w:t>1</w:t>
      </w:r>
      <w:r>
        <w:fldChar w:fldCharType="end"/>
      </w:r>
      <w:r>
        <w:t xml:space="preserve"> shows the </w:t>
      </w:r>
      <w:r w:rsidR="00AF6A5F">
        <w:t xml:space="preserve">participation rates of various gambling activities </w:t>
      </w:r>
      <w:r w:rsidR="00FA7C36">
        <w:t>through time based on the most recent Health and Lifestyle Survey.</w:t>
      </w:r>
      <w:r w:rsidR="009F26D2">
        <w:t xml:space="preserve"> 69</w:t>
      </w:r>
      <w:r w:rsidR="006D3D1A">
        <w:t>.3</w:t>
      </w:r>
      <w:r w:rsidR="00405CBA">
        <w:t xml:space="preserve"> per cent</w:t>
      </w:r>
      <w:r w:rsidR="006D3D1A">
        <w:t xml:space="preserve"> of adults participated </w:t>
      </w:r>
      <w:r w:rsidR="007905E8">
        <w:t>in some form of gambling</w:t>
      </w:r>
      <w:r w:rsidR="00543F13">
        <w:t xml:space="preserve"> in 2020</w:t>
      </w:r>
      <w:r w:rsidR="008052AC">
        <w:t xml:space="preserve">, a </w:t>
      </w:r>
      <w:r w:rsidR="00912118">
        <w:t>statistically insign</w:t>
      </w:r>
      <w:r w:rsidR="00A35AD6">
        <w:t>ificant</w:t>
      </w:r>
      <w:r w:rsidR="008052AC">
        <w:t xml:space="preserve"> increase from </w:t>
      </w:r>
      <w:r w:rsidR="007A52E6">
        <w:t>67.2</w:t>
      </w:r>
      <w:r w:rsidR="00D9625C">
        <w:t xml:space="preserve"> per cent</w:t>
      </w:r>
      <w:r w:rsidR="007A52E6">
        <w:t xml:space="preserve"> in 2018</w:t>
      </w:r>
      <w:r w:rsidR="00543F13">
        <w:t>,</w:t>
      </w:r>
      <w:r w:rsidR="007A52E6">
        <w:t xml:space="preserve"> and </w:t>
      </w:r>
      <w:r w:rsidR="00D16096">
        <w:t>59.1</w:t>
      </w:r>
      <w:r w:rsidR="00D9625C">
        <w:t xml:space="preserve"> per cent</w:t>
      </w:r>
      <w:r w:rsidR="00D16096">
        <w:t xml:space="preserve"> of adults</w:t>
      </w:r>
      <w:r w:rsidR="005A5569">
        <w:t xml:space="preserve"> had</w:t>
      </w:r>
      <w:r w:rsidR="00D16096">
        <w:t xml:space="preserve"> </w:t>
      </w:r>
      <w:r w:rsidR="00397B6A">
        <w:t xml:space="preserve">purchased a Lotto </w:t>
      </w:r>
      <w:r w:rsidR="005A5569">
        <w:t xml:space="preserve">product in the last year, </w:t>
      </w:r>
      <w:r w:rsidR="00997DBE">
        <w:t>a</w:t>
      </w:r>
      <w:r w:rsidR="00A35AD6">
        <w:t xml:space="preserve"> statistically significant</w:t>
      </w:r>
      <w:r w:rsidR="00997DBE">
        <w:t xml:space="preserve"> increase from 55.1</w:t>
      </w:r>
      <w:r w:rsidR="00D9625C">
        <w:t xml:space="preserve"> per cent</w:t>
      </w:r>
      <w:r w:rsidR="00997DBE">
        <w:t xml:space="preserve"> in </w:t>
      </w:r>
      <w:r w:rsidR="00997DBE">
        <w:lastRenderedPageBreak/>
        <w:t xml:space="preserve">2018. </w:t>
      </w:r>
      <w:r w:rsidR="005D23D6">
        <w:t>Online gambling</w:t>
      </w:r>
      <w:r w:rsidR="000E05FA">
        <w:t xml:space="preserve"> in any form</w:t>
      </w:r>
      <w:r w:rsidR="00BB3AC2">
        <w:rPr>
          <w:rStyle w:val="FootnoteReference"/>
        </w:rPr>
        <w:footnoteReference w:id="18"/>
      </w:r>
      <w:r w:rsidR="005D23D6">
        <w:t xml:space="preserve"> </w:t>
      </w:r>
      <w:r w:rsidR="00E4031B">
        <w:t xml:space="preserve">has increased significantly, </w:t>
      </w:r>
      <w:r w:rsidR="000E05FA">
        <w:t>as participation has more than doubled from 13.2</w:t>
      </w:r>
      <w:r w:rsidR="00D9625C">
        <w:t xml:space="preserve"> per cent</w:t>
      </w:r>
      <w:r w:rsidR="000E05FA">
        <w:t xml:space="preserve"> in 2018 to 26.7</w:t>
      </w:r>
      <w:r w:rsidR="00D9625C">
        <w:t xml:space="preserve"> per cent</w:t>
      </w:r>
      <w:r w:rsidR="000E05FA">
        <w:t xml:space="preserve"> in 2020. </w:t>
      </w:r>
      <w:r w:rsidR="005B328C">
        <w:t xml:space="preserve">We observe </w:t>
      </w:r>
      <w:r w:rsidR="007D2B54">
        <w:t>no statistically significant changes</w:t>
      </w:r>
      <w:r w:rsidR="005B328C">
        <w:t xml:space="preserve"> in </w:t>
      </w:r>
      <w:r w:rsidR="004E335F">
        <w:t xml:space="preserve">gambling </w:t>
      </w:r>
      <w:r w:rsidR="004B00A1">
        <w:t xml:space="preserve">on </w:t>
      </w:r>
      <w:r w:rsidR="000E23A7">
        <w:t xml:space="preserve">electronic gaming machines </w:t>
      </w:r>
      <w:r w:rsidR="00CC521D">
        <w:t>(</w:t>
      </w:r>
      <w:r w:rsidR="00E36C48">
        <w:t xml:space="preserve">commonly known </w:t>
      </w:r>
      <w:r w:rsidR="00CC521D">
        <w:t xml:space="preserve">as </w:t>
      </w:r>
      <w:r w:rsidR="00E20C30">
        <w:t>pokies</w:t>
      </w:r>
      <w:r w:rsidR="00CC521D">
        <w:t>)</w:t>
      </w:r>
      <w:r w:rsidR="004B00A1">
        <w:t xml:space="preserve"> at pubs, clubs and casinos</w:t>
      </w:r>
      <w:r w:rsidR="00BA244C">
        <w:t xml:space="preserve">, </w:t>
      </w:r>
      <w:r w:rsidR="00DA5AF9">
        <w:t>and on horse and dog races</w:t>
      </w:r>
      <w:r w:rsidR="00F5240C">
        <w:t xml:space="preserve"> </w:t>
      </w:r>
      <w:r w:rsidR="00B07558">
        <w:t>and</w:t>
      </w:r>
      <w:r w:rsidR="00F5240C">
        <w:t xml:space="preserve"> sports events (11.3</w:t>
      </w:r>
      <w:r w:rsidR="00E20C30">
        <w:t>%</w:t>
      </w:r>
      <w:r w:rsidR="00F5240C">
        <w:t xml:space="preserve"> to 10.9</w:t>
      </w:r>
      <w:r w:rsidR="00E20C30">
        <w:t>%</w:t>
      </w:r>
      <w:r w:rsidR="004C7176">
        <w:t>).</w:t>
      </w:r>
      <w:r w:rsidR="00650EFD">
        <w:t xml:space="preserve"> </w:t>
      </w:r>
      <w:r w:rsidR="00B57ABB">
        <w:t>In general, the most popular gambling activity in NZ remains</w:t>
      </w:r>
      <w:r w:rsidR="005C4855">
        <w:t xml:space="preserve"> </w:t>
      </w:r>
      <w:r w:rsidR="00E70531">
        <w:t>use of</w:t>
      </w:r>
      <w:r w:rsidR="00B57ABB">
        <w:t xml:space="preserve"> </w:t>
      </w:r>
      <w:r w:rsidR="005C4855">
        <w:t>Lotto product</w:t>
      </w:r>
      <w:r w:rsidR="00F0230F">
        <w:t>s</w:t>
      </w:r>
      <w:r w:rsidR="005C4855">
        <w:t xml:space="preserve">. </w:t>
      </w:r>
    </w:p>
    <w:p w14:paraId="3CF0FBA2" w14:textId="6294AB7E" w:rsidR="001E2C4C" w:rsidRDefault="005C16B5" w:rsidP="000329B3">
      <w:r>
        <w:t>Similarly, t</w:t>
      </w:r>
      <w:r w:rsidR="000A5595">
        <w:t>he</w:t>
      </w:r>
      <w:r w:rsidR="009E7D8C">
        <w:t xml:space="preserve">re were no statistically significant changes in gambling participation rates </w:t>
      </w:r>
      <w:r>
        <w:t>by ethnicity in the</w:t>
      </w:r>
      <w:r w:rsidR="000A5595">
        <w:t xml:space="preserve"> 2020 HLS results </w:t>
      </w:r>
      <w:r>
        <w:t>(</w:t>
      </w:r>
      <w:r w:rsidR="000A5595">
        <w:fldChar w:fldCharType="begin"/>
      </w:r>
      <w:r w:rsidR="000A5595">
        <w:instrText xml:space="preserve"> REF _Ref152059702 \h </w:instrText>
      </w:r>
      <w:r w:rsidR="000A5595">
        <w:fldChar w:fldCharType="separate"/>
      </w:r>
      <w:r w:rsidR="004F4DA7">
        <w:t xml:space="preserve">Figure </w:t>
      </w:r>
      <w:r w:rsidR="004F4DA7">
        <w:rPr>
          <w:noProof/>
        </w:rPr>
        <w:t>2</w:t>
      </w:r>
      <w:r w:rsidR="000A5595">
        <w:fldChar w:fldCharType="end"/>
      </w:r>
      <w:r>
        <w:t>).</w:t>
      </w:r>
      <w:r w:rsidR="000A5595">
        <w:t xml:space="preserve"> </w:t>
      </w:r>
    </w:p>
    <w:p w14:paraId="4D165A6A" w14:textId="692C0097" w:rsidR="00DB6811" w:rsidRDefault="00DB6811" w:rsidP="00DB6811">
      <w:pPr>
        <w:pStyle w:val="Caption"/>
      </w:pPr>
      <w:bookmarkStart w:id="71" w:name="_Ref152059702"/>
      <w:bookmarkStart w:id="72" w:name="_Toc166580297"/>
      <w:r>
        <w:t xml:space="preserve">Figure </w:t>
      </w:r>
      <w:r>
        <w:fldChar w:fldCharType="begin"/>
      </w:r>
      <w:r>
        <w:instrText>SEQ Figure \* ARABIC</w:instrText>
      </w:r>
      <w:r>
        <w:fldChar w:fldCharType="separate"/>
      </w:r>
      <w:r w:rsidR="004F4DA7">
        <w:rPr>
          <w:noProof/>
        </w:rPr>
        <w:t>2</w:t>
      </w:r>
      <w:r>
        <w:fldChar w:fldCharType="end"/>
      </w:r>
      <w:bookmarkEnd w:id="71"/>
      <w:r w:rsidR="00703F5C">
        <w:t xml:space="preserve">: </w:t>
      </w:r>
      <w:r w:rsidR="0049524E">
        <w:t>Gambling participation by ethnicity (HLS, 2020)</w:t>
      </w:r>
      <w:bookmarkEnd w:id="72"/>
    </w:p>
    <w:p w14:paraId="02218864" w14:textId="7CEFF54E" w:rsidR="001E2C4C" w:rsidRDefault="00C911CA" w:rsidP="000329B3">
      <w:r>
        <w:rPr>
          <w:noProof/>
        </w:rPr>
        <w:drawing>
          <wp:inline distT="0" distB="0" distL="0" distR="0" wp14:anchorId="50C77303" wp14:editId="3D6E7948">
            <wp:extent cx="5731510" cy="3369310"/>
            <wp:effectExtent l="0" t="0" r="2540" b="2540"/>
            <wp:docPr id="2" name="Graphic 2" descr="A bar chart showing participation in types of gambling by ethn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 bar chart showing participation in types of gambling by ethnic group"/>
                    <pic:cNvPicPr/>
                  </pic:nvPicPr>
                  <pic:blipFill>
                    <a:blip r:embed="rId19">
                      <a:extLst>
                        <a:ext uri="{96DAC541-7B7A-43D3-8B79-37D633B846F1}">
                          <asvg:svgBlip xmlns:asvg="http://schemas.microsoft.com/office/drawing/2016/SVG/main" r:embed="rId20"/>
                        </a:ext>
                      </a:extLst>
                    </a:blip>
                    <a:stretch>
                      <a:fillRect/>
                    </a:stretch>
                  </pic:blipFill>
                  <pic:spPr>
                    <a:xfrm>
                      <a:off x="0" y="0"/>
                      <a:ext cx="5731510" cy="3369310"/>
                    </a:xfrm>
                    <a:prstGeom prst="rect">
                      <a:avLst/>
                    </a:prstGeom>
                  </pic:spPr>
                </pic:pic>
              </a:graphicData>
            </a:graphic>
          </wp:inline>
        </w:drawing>
      </w:r>
    </w:p>
    <w:p w14:paraId="76BD4D46" w14:textId="4017E17D" w:rsidR="00B06C74" w:rsidRDefault="00707B41" w:rsidP="000329B3">
      <w:r>
        <w:t xml:space="preserve">Māori had the highest </w:t>
      </w:r>
      <w:r w:rsidR="00634FED">
        <w:t xml:space="preserve">participation of gambling at </w:t>
      </w:r>
      <w:r w:rsidR="00E36C48">
        <w:t>p</w:t>
      </w:r>
      <w:r w:rsidR="00E36C48" w:rsidRPr="000F1C14">
        <w:t>okies</w:t>
      </w:r>
      <w:r w:rsidR="00E36C48">
        <w:t xml:space="preserve"> </w:t>
      </w:r>
      <w:r w:rsidR="00634FED">
        <w:t>(18.4</w:t>
      </w:r>
      <w:r w:rsidR="00E36C48">
        <w:t>%</w:t>
      </w:r>
      <w:r w:rsidR="00634FED">
        <w:t>)</w:t>
      </w:r>
      <w:r w:rsidR="00316D83">
        <w:t>, as well as betting on horse and dog races and sports events (</w:t>
      </w:r>
      <w:r w:rsidR="00381E36">
        <w:t>13.6</w:t>
      </w:r>
      <w:r w:rsidR="00E36C48">
        <w:t>%</w:t>
      </w:r>
      <w:r w:rsidR="00381E36">
        <w:t xml:space="preserve">). NZ European adults had the highest </w:t>
      </w:r>
      <w:r w:rsidR="00AA0AC6">
        <w:t>gambling rates on Lotto</w:t>
      </w:r>
      <w:r w:rsidR="00BF66FF">
        <w:t xml:space="preserve"> (64.1</w:t>
      </w:r>
      <w:r w:rsidR="00E36C48">
        <w:t>%</w:t>
      </w:r>
      <w:r w:rsidR="00BF66FF">
        <w:t>) and online sites (29.2</w:t>
      </w:r>
      <w:r w:rsidR="00E36C48">
        <w:t>%</w:t>
      </w:r>
      <w:r w:rsidR="00BF66FF">
        <w:t xml:space="preserve">). </w:t>
      </w:r>
      <w:r w:rsidR="00005208">
        <w:t xml:space="preserve">Asian individuals had the lowest </w:t>
      </w:r>
      <w:r w:rsidR="00183BA3">
        <w:t>participation rates in all gambling categories (4.6</w:t>
      </w:r>
      <w:r w:rsidR="00E36C48">
        <w:t>%</w:t>
      </w:r>
      <w:r w:rsidR="00183BA3">
        <w:t xml:space="preserve"> at </w:t>
      </w:r>
      <w:r w:rsidR="00E36C48">
        <w:t>pokies</w:t>
      </w:r>
      <w:r w:rsidR="00183BA3">
        <w:t xml:space="preserve">, </w:t>
      </w:r>
      <w:r w:rsidR="00526725">
        <w:t>45</w:t>
      </w:r>
      <w:r w:rsidR="00E36C48">
        <w:t>%</w:t>
      </w:r>
      <w:r w:rsidR="00526725">
        <w:t xml:space="preserve"> on Lotto, 3.4</w:t>
      </w:r>
      <w:r w:rsidR="00E36C48">
        <w:t>%</w:t>
      </w:r>
      <w:r w:rsidR="00526725">
        <w:t xml:space="preserve"> on horse and dog races and sports events, and 21.5</w:t>
      </w:r>
      <w:r w:rsidR="00E36C48">
        <w:t>%</w:t>
      </w:r>
      <w:r w:rsidR="00526725">
        <w:t xml:space="preserve"> via online sites). </w:t>
      </w:r>
    </w:p>
    <w:p w14:paraId="00F903D1" w14:textId="78BAC278" w:rsidR="007D7D39" w:rsidRDefault="007D7D39">
      <w:pPr>
        <w:pStyle w:val="Heading6"/>
      </w:pPr>
      <w:bookmarkStart w:id="73" w:name="_Ref65049010"/>
      <w:bookmarkStart w:id="74" w:name="_Ref65069389"/>
      <w:bookmarkStart w:id="75" w:name="_Toc65250299"/>
      <w:bookmarkStart w:id="76" w:name="_Toc76469774"/>
      <w:bookmarkStart w:id="77" w:name="_Toc166507371"/>
      <w:r w:rsidRPr="002F108B">
        <w:t>Defining and measuring harmful gambling</w:t>
      </w:r>
      <w:bookmarkEnd w:id="73"/>
      <w:bookmarkEnd w:id="74"/>
      <w:bookmarkEnd w:id="75"/>
      <w:bookmarkEnd w:id="76"/>
      <w:bookmarkEnd w:id="77"/>
    </w:p>
    <w:p w14:paraId="65096309" w14:textId="5E9C73C1" w:rsidR="005E398C" w:rsidRDefault="003461EF" w:rsidP="007D7D39">
      <w:r>
        <w:t xml:space="preserve">The Gambling Act 2003 </w:t>
      </w:r>
      <w:r w:rsidR="00672B7D">
        <w:t xml:space="preserve">(the </w:t>
      </w:r>
      <w:r w:rsidR="00672B7D" w:rsidRPr="001B206A">
        <w:rPr>
          <w:b/>
        </w:rPr>
        <w:t>Act</w:t>
      </w:r>
      <w:r w:rsidR="00672B7D">
        <w:t xml:space="preserve">) </w:t>
      </w:r>
      <w:r>
        <w:t>defines gambling harm as ‘harm or distress of any kind arising from, or caused or exacerbated by, a person’s g</w:t>
      </w:r>
      <w:r w:rsidR="00AB0283">
        <w:t>ambling</w:t>
      </w:r>
      <w:r w:rsidR="005C4725">
        <w:t>’</w:t>
      </w:r>
      <w:r w:rsidR="00EE40AA">
        <w:t xml:space="preserve">. This includes </w:t>
      </w:r>
      <w:r w:rsidR="00E72068">
        <w:t>‘</w:t>
      </w:r>
      <w:r w:rsidR="00137435" w:rsidRPr="00137435">
        <w:t xml:space="preserve">personal, social, or economic harm </w:t>
      </w:r>
      <w:r w:rsidR="00137435" w:rsidRPr="00137435">
        <w:lastRenderedPageBreak/>
        <w:t>suffered by the person, by the person’s spouse, civil union partner, de facto partner, family, whānau, or wider community, or in the workplace, or by society at large</w:t>
      </w:r>
      <w:r w:rsidR="00E72068">
        <w:t xml:space="preserve">’. </w:t>
      </w:r>
      <w:r w:rsidR="006F74B0">
        <w:t>There are t</w:t>
      </w:r>
      <w:r w:rsidR="00B17F5A">
        <w:t>hree</w:t>
      </w:r>
      <w:r w:rsidR="006F74B0">
        <w:t xml:space="preserve"> </w:t>
      </w:r>
      <w:r w:rsidR="00B07926">
        <w:t>frequently used tools to assess levels of gambling harm</w:t>
      </w:r>
      <w:r w:rsidR="006C112F">
        <w:t xml:space="preserve"> in New Zealand</w:t>
      </w:r>
      <w:r w:rsidR="00B07926">
        <w:t>:</w:t>
      </w:r>
    </w:p>
    <w:p w14:paraId="190D935B" w14:textId="79781E7A" w:rsidR="00446AA4" w:rsidRPr="00A06DF7" w:rsidRDefault="0075601B" w:rsidP="00F16BA9">
      <w:pPr>
        <w:pStyle w:val="Bulleted"/>
        <w:rPr>
          <w:rFonts w:cs="Calibri"/>
        </w:rPr>
      </w:pPr>
      <w:r w:rsidRPr="00A06DF7">
        <w:rPr>
          <w:rFonts w:cs="Calibri"/>
        </w:rPr>
        <w:t xml:space="preserve">The Problem Gambling Severity Index (PGSI) </w:t>
      </w:r>
      <w:r w:rsidR="005F66F1" w:rsidRPr="00A06DF7">
        <w:rPr>
          <w:rFonts w:cs="Calibri"/>
        </w:rPr>
        <w:t xml:space="preserve">identifies </w:t>
      </w:r>
      <w:r w:rsidR="00C90BAF" w:rsidRPr="00A06DF7">
        <w:rPr>
          <w:rFonts w:cs="Calibri"/>
        </w:rPr>
        <w:t>levels of gambling risk based on individuals’ self-reporting</w:t>
      </w:r>
      <w:r w:rsidR="006C112F" w:rsidRPr="00A06DF7">
        <w:rPr>
          <w:rFonts w:cs="Calibri"/>
        </w:rPr>
        <w:t xml:space="preserve"> </w:t>
      </w:r>
      <w:r w:rsidR="006C112F" w:rsidRPr="00A06DF7">
        <w:rPr>
          <w:rFonts w:cs="Calibri"/>
        </w:rPr>
        <w:fldChar w:fldCharType="begin"/>
      </w:r>
      <w:r w:rsidR="00715B07" w:rsidRPr="00A06DF7">
        <w:rPr>
          <w:rFonts w:cs="Calibri"/>
        </w:rPr>
        <w:instrText xml:space="preserve"> ADDIN ZOTERO_ITEM CSL_CITATION {"citationID":"TYmTDg9y","properties":{"formattedCitation":"(Ministry of Health, n.d.)","plainCitation":"(Ministry of Health, n.d.)","noteIndex":0},"citationItems":[{"id":1502,"uris":["http://zotero.org/users/11111291/items/YIFPHH8H"],"itemData":{"id":1502,"type":"webpage","abstract":"Gambling harm is a significant social and economic issue that is felt across a spectrum from low to severe. There are several ways to measure gambling harm.","container-title":"Ministry of Health","language":"en","title":"Gambling harm","URL":"https://www.health.govt.nz/our-work/mental-health-and-addiction/addiction/gambling-harm/gambling-harm-research-and-evaluation/gambling-harm","author":[{"literal":"Ministry of Health"}],"accessed":{"date-parts":[["2024",1,16]]}}}],"schema":"https://github.com/citation-style-language/schema/raw/master/csl-citation.json"} </w:instrText>
      </w:r>
      <w:r w:rsidR="006C112F" w:rsidRPr="00A06DF7">
        <w:rPr>
          <w:rFonts w:cs="Calibri"/>
        </w:rPr>
        <w:fldChar w:fldCharType="separate"/>
      </w:r>
      <w:r w:rsidR="006C112F" w:rsidRPr="00A06DF7">
        <w:rPr>
          <w:rFonts w:cs="Calibri"/>
        </w:rPr>
        <w:t>(Ministry of Health, n.d.)</w:t>
      </w:r>
      <w:r w:rsidR="006C112F" w:rsidRPr="00A06DF7">
        <w:rPr>
          <w:rFonts w:cs="Calibri"/>
        </w:rPr>
        <w:fldChar w:fldCharType="end"/>
      </w:r>
      <w:r w:rsidR="00C90BAF" w:rsidRPr="00A06DF7">
        <w:rPr>
          <w:rFonts w:cs="Calibri"/>
        </w:rPr>
        <w:t>. It is</w:t>
      </w:r>
      <w:r w:rsidR="00C04FC1" w:rsidRPr="00A06DF7">
        <w:rPr>
          <w:rFonts w:cs="Calibri"/>
        </w:rPr>
        <w:t xml:space="preserve"> used for screening and classifying individuals into four risk categories</w:t>
      </w:r>
      <w:r w:rsidR="00057C83" w:rsidRPr="00A06DF7">
        <w:rPr>
          <w:rFonts w:cs="Calibri"/>
        </w:rPr>
        <w:t xml:space="preserve">: </w:t>
      </w:r>
      <w:r w:rsidR="00D7359D" w:rsidRPr="00A06DF7">
        <w:rPr>
          <w:rFonts w:cs="Calibri"/>
        </w:rPr>
        <w:t xml:space="preserve">no </w:t>
      </w:r>
      <w:r w:rsidR="00057C83" w:rsidRPr="00A06DF7">
        <w:rPr>
          <w:rFonts w:cs="Calibri"/>
        </w:rPr>
        <w:t xml:space="preserve">risk (non-problem gambling), low risk, moderate risk, and severe or high risk (problem gambling). </w:t>
      </w:r>
      <w:r w:rsidR="00ED7F87" w:rsidRPr="00A06DF7">
        <w:rPr>
          <w:rFonts w:cs="Calibri"/>
        </w:rPr>
        <w:t xml:space="preserve">The HLS </w:t>
      </w:r>
      <w:r w:rsidR="00ED7F87" w:rsidRPr="00A06DF7">
        <w:rPr>
          <w:rFonts w:cs="Calibri"/>
        </w:rPr>
        <w:fldChar w:fldCharType="begin"/>
      </w:r>
      <w:r w:rsidR="00715B07" w:rsidRPr="00A06DF7">
        <w:rPr>
          <w:rFonts w:cs="Calibri"/>
        </w:rPr>
        <w:instrText xml:space="preserve"> ADDIN ZOTERO_ITEM CSL_CITATION {"citationID":"TOmJVpm8","properties":{"formattedCitation":"(Te Whatu Ora, 2020)","plainCitation":"(Te Whatu Ora, 2020)","dontUpdate":true,"noteIndex":0},"citationItems":[{"id":1332,"uris":["http://zotero.org/users/11111291/items/7BATMKQU"],"itemData":{"id":1332,"type":"dataset","title":"Health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00ED7F87" w:rsidRPr="00A06DF7">
        <w:rPr>
          <w:rFonts w:cs="Calibri"/>
        </w:rPr>
        <w:fldChar w:fldCharType="separate"/>
      </w:r>
      <w:r w:rsidR="00ED7F87" w:rsidRPr="00A06DF7">
        <w:rPr>
          <w:rFonts w:cs="Calibri"/>
        </w:rPr>
        <w:t>(2020)</w:t>
      </w:r>
      <w:r w:rsidR="00ED7F87" w:rsidRPr="00A06DF7">
        <w:rPr>
          <w:rFonts w:cs="Calibri"/>
        </w:rPr>
        <w:fldChar w:fldCharType="end"/>
      </w:r>
      <w:r w:rsidR="00C04FC1" w:rsidRPr="00A06DF7">
        <w:rPr>
          <w:rFonts w:cs="Calibri"/>
        </w:rPr>
        <w:t xml:space="preserve"> </w:t>
      </w:r>
      <w:r w:rsidR="007647D6" w:rsidRPr="00A06DF7">
        <w:rPr>
          <w:rFonts w:cs="Calibri"/>
        </w:rPr>
        <w:t>measures harmful gambling using the PGSI.</w:t>
      </w:r>
    </w:p>
    <w:p w14:paraId="2724DD66" w14:textId="4CA69DA3" w:rsidR="006C112F" w:rsidRPr="00A06DF7" w:rsidRDefault="006C112F" w:rsidP="00F16BA9">
      <w:pPr>
        <w:pStyle w:val="Bulleted"/>
        <w:rPr>
          <w:rFonts w:cs="Calibri"/>
        </w:rPr>
      </w:pPr>
      <w:r w:rsidRPr="00A06DF7">
        <w:rPr>
          <w:rFonts w:cs="Calibri"/>
        </w:rPr>
        <w:t xml:space="preserve">The Short Gambling Harm Screen (SGHS) measures gambling harm at both individual and population levels. The SGHS was developed and </w:t>
      </w:r>
      <w:r w:rsidR="00006501" w:rsidRPr="00A06DF7">
        <w:rPr>
          <w:rFonts w:cs="Calibri"/>
        </w:rPr>
        <w:t>in</w:t>
      </w:r>
      <w:r w:rsidRPr="00A06DF7">
        <w:rPr>
          <w:rFonts w:cs="Calibri"/>
        </w:rPr>
        <w:t xml:space="preserve">formed from research that assessed the extent of gambling harm </w:t>
      </w:r>
      <w:r w:rsidRPr="00A06DF7">
        <w:rPr>
          <w:rFonts w:cs="Calibri"/>
        </w:rPr>
        <w:fldChar w:fldCharType="begin"/>
      </w:r>
      <w:r w:rsidR="00715B07" w:rsidRPr="00A06DF7">
        <w:rPr>
          <w:rFonts w:cs="Calibri"/>
        </w:rPr>
        <w:instrText xml:space="preserve"> ADDIN ZOTERO_ITEM CSL_CITATION {"citationID":"f2kSRUaH","properties":{"formattedCitation":"(Browne et al., 2018)","plainCitation":"(Browne et al., 2018)","noteIndex":0},"citationItems":[{"id":1503,"uris":["http://zotero.org/users/11111291/items/59R7I4EU"],"itemData":{"id":1503,"type":"article-journal","abstract":"It is common for jurisdictions tasked with minimising gambling-related harm to conduct problem gambling prevalence studies for the purpose of monitoring the impact of gambling on the community. However, given that both public health theory and empirical findings suggest that harms can occur without individuals satisfying clinical criteria of addiction, there is a recognized conceptual disconnect between the prevalence of clinical problem gamblers, and aggregate harm to the community. Starting with an initial item pool of 72 specific harms caused by problematic gambling, our aim was to develop a short gambling harms scale (SGHS) to screen for the presence and degree of harm caused by gambling. An Internet panel of 1524 individuals who had gambled in the last year completed a 72-item checklist, along with the Personal Wellbeing Index, the PGSI, and other measures. We selected 10 items for the SGHS, with the goals of maximising sensitivity and construct coverage. Psychometric analysis suggests very strong reliability, homogeneity and unidimensionality. Non-zero responses on the SGHS were associated with a large decrease in personal wellbeing, with wellbeing decreasing linearly with the number of harms indicated. We conclude that weighted SGHS scores can be aggregated at the population level to yield a sensitive and valid measure of gambling harm.","container-title":"Journal of Gambling Studies","DOI":"10.1007/s10899-017-9698-y","ISSN":"1573-3602","issue":"2","journalAbbreviation":"J Gambl Stud","language":"en","page":"499-512","source":"Springer Link","title":"Validation of the Short Gambling Harm Screen (SGHS): A Tool for Assessment of Harms from Gambling","title-short":"Validation of the Short Gambling Harm Screen (SGHS)","volume":"34","author":[{"family":"Browne","given":"Matthew"},{"family":"Goodwin","given":"Belinda C."},{"family":"Rockloff","given":"Matthew J."}],"issued":{"date-parts":[["2018",6,1]]}}}],"schema":"https://github.com/citation-style-language/schema/raw/master/csl-citation.json"} </w:instrText>
      </w:r>
      <w:r w:rsidRPr="00A06DF7">
        <w:rPr>
          <w:rFonts w:cs="Calibri"/>
        </w:rPr>
        <w:fldChar w:fldCharType="separate"/>
      </w:r>
      <w:r w:rsidRPr="00A06DF7">
        <w:rPr>
          <w:rFonts w:cs="Calibri"/>
        </w:rPr>
        <w:t>(Browne et al., 2018)</w:t>
      </w:r>
      <w:r w:rsidRPr="00A06DF7">
        <w:rPr>
          <w:rFonts w:cs="Calibri"/>
        </w:rPr>
        <w:fldChar w:fldCharType="end"/>
      </w:r>
      <w:r w:rsidRPr="00A06DF7">
        <w:rPr>
          <w:rFonts w:cs="Calibri"/>
        </w:rPr>
        <w:t>.</w:t>
      </w:r>
    </w:p>
    <w:p w14:paraId="44147B49" w14:textId="2E366710" w:rsidR="006C112F" w:rsidRPr="00A06DF7" w:rsidRDefault="00F66298" w:rsidP="00F16BA9">
      <w:pPr>
        <w:pStyle w:val="Bulleted"/>
        <w:rPr>
          <w:rFonts w:cs="Calibri"/>
        </w:rPr>
      </w:pPr>
      <w:r w:rsidRPr="00A06DF7">
        <w:rPr>
          <w:rFonts w:cs="Calibri"/>
        </w:rPr>
        <w:t>The South Oaks Gambling Scree</w:t>
      </w:r>
      <w:r w:rsidR="00973460" w:rsidRPr="00A06DF7">
        <w:rPr>
          <w:rFonts w:cs="Calibri"/>
        </w:rPr>
        <w:t>n (SOGS-R)</w:t>
      </w:r>
      <w:r w:rsidR="002F3E2E" w:rsidRPr="00A06DF7">
        <w:rPr>
          <w:rFonts w:cs="Calibri"/>
        </w:rPr>
        <w:t xml:space="preserve">, was </w:t>
      </w:r>
      <w:r w:rsidR="00501EDB" w:rsidRPr="00A06DF7">
        <w:rPr>
          <w:rFonts w:cs="Calibri"/>
        </w:rPr>
        <w:t>mod</w:t>
      </w:r>
      <w:r w:rsidR="006963BA" w:rsidRPr="00A06DF7">
        <w:rPr>
          <w:rFonts w:cs="Calibri"/>
        </w:rPr>
        <w:t>ified</w:t>
      </w:r>
      <w:r w:rsidR="002F3E2E" w:rsidRPr="00A06DF7">
        <w:rPr>
          <w:rFonts w:cs="Calibri"/>
        </w:rPr>
        <w:t xml:space="preserve"> from the original South Oaks</w:t>
      </w:r>
      <w:r w:rsidR="00F1132D" w:rsidRPr="00A06DF7">
        <w:rPr>
          <w:rFonts w:cs="Calibri"/>
        </w:rPr>
        <w:t xml:space="preserve"> Gambling Screen (SOGS) </w:t>
      </w:r>
      <w:r w:rsidR="00F1132D" w:rsidRPr="00A06DF7">
        <w:rPr>
          <w:rFonts w:cs="Calibri"/>
        </w:rPr>
        <w:fldChar w:fldCharType="begin"/>
      </w:r>
      <w:r w:rsidR="00715B07" w:rsidRPr="00A06DF7">
        <w:rPr>
          <w:rFonts w:cs="Calibri"/>
        </w:rPr>
        <w:instrText xml:space="preserve"> ADDIN ZOTERO_ITEM CSL_CITATION {"citationID":"LOX5g74T","properties":{"formattedCitation":"(Lesieur &amp; Blume, 1987)","plainCitation":"(Lesieur &amp; Blume, 1987)","noteIndex":0},"citationItems":[{"id":1504,"uris":["http://zotero.org/users/11111291/items/D9FBLXSL"],"itemData":{"id":1504,"type":"article-journal","abstract":"The South Oaks Gambling Screen is a 20-item questionnaire based on DSM-III criteria for pathological gambling. It may be self-administered or administered by nonprofessional or professional interviewers. A total of 1,616 subjects were involved in its development: 867 patients with diagnoses of substance abuse and pathological gambling, 213 members of Gamblers Anonymous, 384 university students, and 152 hospital employees. Independent validation by family members and counselors was obtained for the calibration sample, and internal consistency and test-retest reliability were established. The instrument correlates well with the criteria of the revised version of DSM-III (DSM-III-R). It offers a convenient means to screen clinical populations of alcoholics and drug abusers, as well as general populations, for pathological gambling.","container-title":"The American Journal of Psychiatry","DOI":"10.1176/ajp.144.9.1184","ISSN":"0002-953X","issue":"9","journalAbbreviation":"Am J Psychiatry","language":"eng","note":"PMID: 3631315","page":"1184-1188","source":"PubMed","title":"The South Oaks Gambling Screen (SOGS): a new instrument for the identification of pathological gamblers","title-short":"The South Oaks Gambling Screen (SOGS)","volume":"144","author":[{"family":"Lesieur","given":"H. R."},{"family":"Blume","given":"S. B."}],"issued":{"date-parts":[["1987",9]]}}}],"schema":"https://github.com/citation-style-language/schema/raw/master/csl-citation.json"} </w:instrText>
      </w:r>
      <w:r w:rsidR="00F1132D" w:rsidRPr="00A06DF7">
        <w:rPr>
          <w:rFonts w:cs="Calibri"/>
        </w:rPr>
        <w:fldChar w:fldCharType="separate"/>
      </w:r>
      <w:r w:rsidR="00F1132D" w:rsidRPr="00A06DF7">
        <w:rPr>
          <w:rFonts w:cs="Calibri"/>
        </w:rPr>
        <w:t>(Lesieur &amp; Blume, 1987)</w:t>
      </w:r>
      <w:r w:rsidR="00F1132D" w:rsidRPr="00A06DF7">
        <w:rPr>
          <w:rFonts w:cs="Calibri"/>
        </w:rPr>
        <w:fldChar w:fldCharType="end"/>
      </w:r>
      <w:r w:rsidR="00F1132D" w:rsidRPr="00A06DF7">
        <w:rPr>
          <w:rFonts w:cs="Calibri"/>
        </w:rPr>
        <w:t>, and</w:t>
      </w:r>
      <w:r w:rsidR="00103388" w:rsidRPr="00A06DF7">
        <w:rPr>
          <w:rFonts w:cs="Calibri"/>
        </w:rPr>
        <w:t xml:space="preserve"> provides a measure of lifetime </w:t>
      </w:r>
      <w:r w:rsidR="00AF11C2" w:rsidRPr="00A06DF7">
        <w:rPr>
          <w:rFonts w:cs="Calibri"/>
        </w:rPr>
        <w:t>gambling problems</w:t>
      </w:r>
      <w:r w:rsidR="006963BA" w:rsidRPr="00A06DF7">
        <w:rPr>
          <w:rFonts w:cs="Calibri"/>
        </w:rPr>
        <w:t>.</w:t>
      </w:r>
      <w:r w:rsidR="00AF11C2" w:rsidRPr="00A06DF7">
        <w:rPr>
          <w:rFonts w:cs="Calibri"/>
        </w:rPr>
        <w:t xml:space="preserve"> </w:t>
      </w:r>
      <w:r w:rsidR="006963BA" w:rsidRPr="00A06DF7">
        <w:rPr>
          <w:rFonts w:cs="Calibri"/>
        </w:rPr>
        <w:t>P</w:t>
      </w:r>
      <w:r w:rsidR="00AF11C2" w:rsidRPr="00A06DF7">
        <w:rPr>
          <w:rFonts w:cs="Calibri"/>
        </w:rPr>
        <w:t xml:space="preserve">articipants are </w:t>
      </w:r>
      <w:r w:rsidR="00BB663B" w:rsidRPr="00A06DF7">
        <w:rPr>
          <w:rFonts w:cs="Calibri"/>
        </w:rPr>
        <w:t xml:space="preserve">classified as: </w:t>
      </w:r>
      <w:r w:rsidR="00D461AB" w:rsidRPr="00A06DF7">
        <w:rPr>
          <w:rFonts w:cs="Calibri"/>
        </w:rPr>
        <w:t>non-problem</w:t>
      </w:r>
      <w:r w:rsidR="00BB663B" w:rsidRPr="00A06DF7">
        <w:rPr>
          <w:rFonts w:cs="Calibri"/>
        </w:rPr>
        <w:t>, problem and probable pathological gamblers</w:t>
      </w:r>
      <w:r w:rsidR="006B51AE" w:rsidRPr="00A06DF7">
        <w:rPr>
          <w:rFonts w:cs="Calibri"/>
        </w:rPr>
        <w:t>.</w:t>
      </w:r>
      <w:r w:rsidR="002D44C4" w:rsidRPr="00A06DF7">
        <w:rPr>
          <w:rFonts w:cs="Calibri"/>
        </w:rPr>
        <w:t xml:space="preserve"> The </w:t>
      </w:r>
      <w:r w:rsidR="00F92438" w:rsidRPr="00A06DF7">
        <w:rPr>
          <w:rFonts w:cs="Calibri"/>
        </w:rPr>
        <w:t xml:space="preserve">SOGS-R was utilised in the </w:t>
      </w:r>
      <w:r w:rsidR="000B02B3" w:rsidRPr="00A06DF7">
        <w:rPr>
          <w:rFonts w:cs="Calibri"/>
        </w:rPr>
        <w:t xml:space="preserve">National Gambling Study (NGS) </w:t>
      </w:r>
      <w:r w:rsidR="000B02B3" w:rsidRPr="00A06DF7">
        <w:rPr>
          <w:rFonts w:cs="Calibri"/>
        </w:rPr>
        <w:fldChar w:fldCharType="begin"/>
      </w:r>
      <w:r w:rsidR="00715B07" w:rsidRPr="00A06DF7">
        <w:rPr>
          <w:rFonts w:cs="Calibri"/>
        </w:rPr>
        <w:instrText xml:space="preserve"> ADDIN ZOTERO_ITEM CSL_CITATION {"citationID":"gZGYnfeq","properties":{"formattedCitation":"(Abbott, 2017)","plainCitation":"(Abbott, 2017)","noteIndex":0},"citationItems":[{"id":1430,"uris":["http://zotero.org/users/11111291/items/JGF73JKL"],"itemData":{"id":1430,"type":"article-journal","abstract":"It has long been asserted that increased gambling availability leads to increased participation and harm (availability hypothesis). It has also been proposed that over time participation and harm decrease even when availability continues to rise (adaptation hypothesis). New Zealand has national gambling and problem gambling surveys dating from the mid-1980s. They include five-yearly surveys of gambling behaviour and attitudes from 1985 to 2005 and surveys of gambling and problem gambling in 1990 and 1999. The National Gambling Study (NGS) (2012–2015) was in part designed to assess changes in behaviour, attitudes and gambling-related harm since the 1999 and 2005 surveys. Selected NGS data are examined in relation to data from earlier surveys. A national lottery, instant lotteries and electronic gaming machines were introduced during the late 1980s. Since then, gambling availability continued to increase. Participation in most newly introduced gambling forms increased markedly, usually within the first year or two, and then decreased, often substantially. Following an initial rise, contrary to the availability hypothesis, overall participation declined. This was accompanied by a decline in problem gambling prevalence. These findings are consistent with adaptation. Since 2000, while participation continued to fall, problem gambling prevalence plateaued. This finding appears to be at variance with both the availability and adaptation hypotheses. It points to the importance of factors other than gambling availability in determining problem gambling and related harm. Possible reasons for the plateauing of problem gambling in the face of substantial reductions in participation are considered. They have implications for future research and policy.","container-title":"International Journal of Mental Health and Addiction","DOI":"10.1007/s11469-017-9767-6","ISSN":"1557-1882","issue":"6","journalAbbreviation":"Int J Ment Health Addiction","language":"en","note":"number: 6","page":"1221-1241","source":"Springer Link","title":"Gambling and Gambling Harm in New Zealand: a 28-Year Case Study","title-short":"Gambling and Gambling Harm in New Zealand","volume":"15","author":[{"family":"Abbott","given":"Max"}],"issued":{"date-parts":[["2017",12,1]]}}}],"schema":"https://github.com/citation-style-language/schema/raw/master/csl-citation.json"} </w:instrText>
      </w:r>
      <w:r w:rsidR="000B02B3" w:rsidRPr="00A06DF7">
        <w:rPr>
          <w:rFonts w:cs="Calibri"/>
        </w:rPr>
        <w:fldChar w:fldCharType="separate"/>
      </w:r>
      <w:r w:rsidR="000B02B3" w:rsidRPr="00A06DF7">
        <w:rPr>
          <w:rFonts w:cs="Calibri"/>
        </w:rPr>
        <w:t>(Abbott, 2017)</w:t>
      </w:r>
      <w:r w:rsidR="000B02B3" w:rsidRPr="00A06DF7">
        <w:rPr>
          <w:rFonts w:cs="Calibri"/>
        </w:rPr>
        <w:fldChar w:fldCharType="end"/>
      </w:r>
      <w:r w:rsidR="000B02B3" w:rsidRPr="00A06DF7">
        <w:rPr>
          <w:rFonts w:cs="Calibri"/>
        </w:rPr>
        <w:t>.</w:t>
      </w:r>
    </w:p>
    <w:p w14:paraId="413F9EFB" w14:textId="2FF00911" w:rsidR="00F2055F" w:rsidRPr="00A06DF7" w:rsidRDefault="00EB430F" w:rsidP="00EB430F">
      <w:r>
        <w:t>The Pr</w:t>
      </w:r>
      <w:r w:rsidR="00165E47">
        <w:t xml:space="preserve">actitioner’s Guide for preventing and minimising gambling harm </w:t>
      </w:r>
      <w:r w:rsidR="001817D8">
        <w:t xml:space="preserve">describes </w:t>
      </w:r>
      <w:r w:rsidR="00BF2152">
        <w:t>all</w:t>
      </w:r>
      <w:r w:rsidR="001817D8">
        <w:t xml:space="preserve"> screens for use in problem gamb</w:t>
      </w:r>
      <w:r w:rsidR="009641B0">
        <w:t>ling, and categorises them by brief intervention, full intervention and follow-up</w:t>
      </w:r>
      <w:r w:rsidR="00BF2152">
        <w:t xml:space="preserve"> </w:t>
      </w:r>
      <w:r w:rsidR="00BF2152">
        <w:fldChar w:fldCharType="begin"/>
      </w:r>
      <w:r w:rsidR="00BF2152">
        <w:instrText xml:space="preserve"> ADDIN ZOTERO_ITEM CSL_CITATION {"citationID":"oTCu19fX","properties":{"formattedCitation":"(Ministry of Health, 2019)","plainCitation":"(Ministry of Health, 2019)","noteIndex":0},"citationItems":[{"id":1787,"uris":["http://zotero.org/users/11111291/items/YXAZKMVG"],"itemData":{"id":1787,"type":"document","title":"Preventing and Minimising Gambling Harm Practitioner's Guide","URL":"https://www.health.govt.nz/system/files/documents/publications/preventing-and-minimising-gambling-harm-practitioners-guide-2019-aug2019.pdf","author":[{"literal":"Ministry of Health"}],"issued":{"date-parts":[["2019"]]}}}],"schema":"https://github.com/citation-style-language/schema/raw/master/csl-citation.json"} </w:instrText>
      </w:r>
      <w:r w:rsidR="00BF2152">
        <w:fldChar w:fldCharType="separate"/>
      </w:r>
      <w:r w:rsidR="00BF2152" w:rsidRPr="00BF2152">
        <w:rPr>
          <w:rFonts w:cs="Calibri"/>
        </w:rPr>
        <w:t>(Ministry of Health, 2019</w:t>
      </w:r>
      <w:r w:rsidR="00AC7B76">
        <w:rPr>
          <w:rFonts w:cs="Calibri"/>
        </w:rPr>
        <w:t>, p.196</w:t>
      </w:r>
      <w:r w:rsidR="00BF2152" w:rsidRPr="00BF2152">
        <w:rPr>
          <w:rFonts w:cs="Calibri"/>
        </w:rPr>
        <w:t>)</w:t>
      </w:r>
      <w:r w:rsidR="00BF2152">
        <w:fldChar w:fldCharType="end"/>
      </w:r>
      <w:r w:rsidR="00AC7B76">
        <w:t>.</w:t>
      </w:r>
    </w:p>
    <w:p w14:paraId="02B9BF9B" w14:textId="77777777" w:rsidR="007D7D39" w:rsidRPr="002F108B" w:rsidRDefault="007D7D39">
      <w:pPr>
        <w:pStyle w:val="Heading6"/>
      </w:pPr>
      <w:bookmarkStart w:id="78" w:name="_Ref64929393"/>
      <w:bookmarkStart w:id="79" w:name="_Toc65250300"/>
      <w:bookmarkStart w:id="80" w:name="_Toc76469775"/>
      <w:bookmarkStart w:id="81" w:name="_Toc166507372"/>
      <w:r w:rsidRPr="002F108B">
        <w:t>Gambling regulation and legislation</w:t>
      </w:r>
      <w:bookmarkEnd w:id="78"/>
      <w:bookmarkEnd w:id="79"/>
      <w:bookmarkEnd w:id="80"/>
      <w:bookmarkEnd w:id="81"/>
    </w:p>
    <w:p w14:paraId="154F7F3C" w14:textId="45785B07" w:rsidR="00AF11B2" w:rsidRDefault="00607517" w:rsidP="007D7D39">
      <w:r>
        <w:t>Gambling in New Zealand is legislated under the</w:t>
      </w:r>
      <w:r w:rsidR="00F778DA">
        <w:t xml:space="preserve"> Gambling Act 2003</w:t>
      </w:r>
      <w:r w:rsidR="00D90D18">
        <w:t xml:space="preserve"> (the </w:t>
      </w:r>
      <w:r w:rsidR="00D90D18" w:rsidRPr="00F16BA9">
        <w:t>Act</w:t>
      </w:r>
      <w:r w:rsidR="00D90D18">
        <w:t>)</w:t>
      </w:r>
      <w:r w:rsidR="0040367E">
        <w:t xml:space="preserve">. </w:t>
      </w:r>
      <w:r w:rsidR="00DC291F">
        <w:t xml:space="preserve">The purpose </w:t>
      </w:r>
      <w:r w:rsidR="00111693">
        <w:t xml:space="preserve">of the </w:t>
      </w:r>
      <w:r w:rsidR="009C11CD">
        <w:t xml:space="preserve">Act </w:t>
      </w:r>
      <w:r w:rsidR="00280C8B">
        <w:t>is</w:t>
      </w:r>
      <w:r w:rsidR="009C11CD">
        <w:t xml:space="preserve"> to:</w:t>
      </w:r>
    </w:p>
    <w:p w14:paraId="6CC05770" w14:textId="64E24689" w:rsidR="009C11CD" w:rsidRDefault="00415F81" w:rsidP="00F16BA9">
      <w:pPr>
        <w:pStyle w:val="Bulleted"/>
      </w:pPr>
      <w:r>
        <w:t>C</w:t>
      </w:r>
      <w:r w:rsidR="0080004E">
        <w:t>ontrol the growth of gambling</w:t>
      </w:r>
    </w:p>
    <w:p w14:paraId="159B2D2D" w14:textId="7E89E559" w:rsidR="0080004E" w:rsidRDefault="00415F81" w:rsidP="00F16BA9">
      <w:pPr>
        <w:pStyle w:val="Bulleted"/>
      </w:pPr>
      <w:r>
        <w:t>P</w:t>
      </w:r>
      <w:r w:rsidR="00280C8B">
        <w:t>revent and minimise the harm caused by gambling</w:t>
      </w:r>
      <w:r w:rsidR="00D17FFA">
        <w:t>, including problem gambling</w:t>
      </w:r>
    </w:p>
    <w:p w14:paraId="2F31C6B1" w14:textId="0B308BBC" w:rsidR="00280C8B" w:rsidRDefault="00415F81" w:rsidP="00F16BA9">
      <w:pPr>
        <w:pStyle w:val="Bulleted"/>
      </w:pPr>
      <w:r>
        <w:t>A</w:t>
      </w:r>
      <w:r w:rsidR="00280C8B">
        <w:t>uthorise</w:t>
      </w:r>
      <w:r w:rsidR="00D17FFA">
        <w:t xml:space="preserve"> some gambling and prohibit the rest</w:t>
      </w:r>
    </w:p>
    <w:p w14:paraId="56A58A46" w14:textId="606D5D46" w:rsidR="00D17FFA" w:rsidRDefault="00415F81" w:rsidP="00F16BA9">
      <w:pPr>
        <w:pStyle w:val="Bulleted"/>
      </w:pPr>
      <w:r>
        <w:t>F</w:t>
      </w:r>
      <w:r w:rsidR="00D17FFA">
        <w:t>acilitate responsible gambling</w:t>
      </w:r>
    </w:p>
    <w:p w14:paraId="6F5E355E" w14:textId="5EA02630" w:rsidR="00760E75" w:rsidRDefault="00415F81" w:rsidP="00F16BA9">
      <w:pPr>
        <w:pStyle w:val="Bulleted"/>
      </w:pPr>
      <w:r>
        <w:t>E</w:t>
      </w:r>
      <w:r w:rsidR="00D17FFA">
        <w:t>nsure the integrity and fairness of games</w:t>
      </w:r>
    </w:p>
    <w:p w14:paraId="6F67A1A9" w14:textId="40E5DE86" w:rsidR="00D17FFA" w:rsidRDefault="00415F81" w:rsidP="007156C7">
      <w:pPr>
        <w:pStyle w:val="Bulleted"/>
        <w:ind w:left="720" w:hanging="360"/>
      </w:pPr>
      <w:r>
        <w:t>L</w:t>
      </w:r>
      <w:r w:rsidR="00D17FFA">
        <w:t>imit opportunities for crime or dishonesty associated with gambling</w:t>
      </w:r>
    </w:p>
    <w:p w14:paraId="7BC16C2D" w14:textId="3EEE8B43" w:rsidR="00D17FFA" w:rsidRDefault="00415F81" w:rsidP="00F16BA9">
      <w:pPr>
        <w:pStyle w:val="Bulleted"/>
      </w:pPr>
      <w:r>
        <w:t>E</w:t>
      </w:r>
      <w:r w:rsidR="00D17FFA">
        <w:t>nsure that money from gambling benefits the community</w:t>
      </w:r>
    </w:p>
    <w:p w14:paraId="324842C5" w14:textId="1BF712DC" w:rsidR="00D17FFA" w:rsidRDefault="00415F81" w:rsidP="00F16BA9">
      <w:pPr>
        <w:pStyle w:val="Bulleted"/>
      </w:pPr>
      <w:r>
        <w:t>F</w:t>
      </w:r>
      <w:r w:rsidR="00D17FFA">
        <w:t>acilitate community involvement in decisions about the provision of gambling</w:t>
      </w:r>
      <w:r w:rsidR="005437F6">
        <w:t>.</w:t>
      </w:r>
    </w:p>
    <w:p w14:paraId="7F60F5D6" w14:textId="643BD2D4" w:rsidR="00C05F3D" w:rsidRPr="00A06DF7" w:rsidRDefault="00943771" w:rsidP="00C05F3D">
      <w:pPr>
        <w:rPr>
          <w:rFonts w:cs="Calibri"/>
        </w:rPr>
      </w:pPr>
      <w:r w:rsidRPr="00A06DF7">
        <w:rPr>
          <w:rFonts w:cs="Calibri"/>
        </w:rPr>
        <w:t xml:space="preserve">New gambling harm regulations </w:t>
      </w:r>
      <w:r w:rsidR="00F41977" w:rsidRPr="00A06DF7">
        <w:rPr>
          <w:rFonts w:cs="Calibri"/>
        </w:rPr>
        <w:t xml:space="preserve">have been introduced since the previous </w:t>
      </w:r>
      <w:r w:rsidR="00241607" w:rsidRPr="00A06DF7">
        <w:rPr>
          <w:rFonts w:cs="Calibri"/>
        </w:rPr>
        <w:t>gambling harm needs assessment</w:t>
      </w:r>
      <w:r w:rsidRPr="00A06DF7">
        <w:rPr>
          <w:rFonts w:cs="Calibri"/>
        </w:rPr>
        <w:t xml:space="preserve">, and </w:t>
      </w:r>
      <w:r w:rsidR="0056608C" w:rsidRPr="00A06DF7">
        <w:rPr>
          <w:rFonts w:cs="Calibri"/>
        </w:rPr>
        <w:t>the</w:t>
      </w:r>
      <w:r w:rsidR="00170B6A" w:rsidRPr="00A06DF7">
        <w:rPr>
          <w:rFonts w:cs="Calibri"/>
        </w:rPr>
        <w:t>y</w:t>
      </w:r>
      <w:r w:rsidR="00B96963" w:rsidRPr="00A06DF7">
        <w:rPr>
          <w:rFonts w:cs="Calibri"/>
        </w:rPr>
        <w:t xml:space="preserve"> </w:t>
      </w:r>
      <w:r w:rsidR="00314080" w:rsidRPr="00A06DF7">
        <w:rPr>
          <w:rFonts w:cs="Calibri"/>
        </w:rPr>
        <w:t>are</w:t>
      </w:r>
      <w:r w:rsidR="00B97363" w:rsidRPr="00A06DF7">
        <w:rPr>
          <w:rFonts w:cs="Calibri"/>
        </w:rPr>
        <w:t xml:space="preserve"> now</w:t>
      </w:r>
      <w:r w:rsidR="00314080" w:rsidRPr="00A06DF7">
        <w:rPr>
          <w:rFonts w:cs="Calibri"/>
        </w:rPr>
        <w:t xml:space="preserve"> </w:t>
      </w:r>
      <w:r w:rsidR="00422221" w:rsidRPr="00A06DF7">
        <w:rPr>
          <w:rFonts w:cs="Calibri"/>
        </w:rPr>
        <w:t xml:space="preserve">fully in force </w:t>
      </w:r>
      <w:r w:rsidR="00B97363" w:rsidRPr="00A06DF7">
        <w:rPr>
          <w:rFonts w:cs="Calibri"/>
        </w:rPr>
        <w:t>as at</w:t>
      </w:r>
      <w:r w:rsidR="00422221" w:rsidRPr="00A06DF7">
        <w:rPr>
          <w:rFonts w:cs="Calibri"/>
        </w:rPr>
        <w:t xml:space="preserve"> 1 December 2023</w:t>
      </w:r>
      <w:r w:rsidR="00970A9E" w:rsidRPr="00A06DF7">
        <w:rPr>
          <w:rFonts w:cs="Calibri"/>
        </w:rPr>
        <w:t xml:space="preserve"> </w:t>
      </w:r>
      <w:r w:rsidR="00970A9E" w:rsidRPr="00A06DF7">
        <w:rPr>
          <w:rFonts w:cs="Calibri"/>
        </w:rPr>
        <w:fldChar w:fldCharType="begin"/>
      </w:r>
      <w:r w:rsidR="00715B07" w:rsidRPr="00A06DF7">
        <w:rPr>
          <w:rFonts w:cs="Calibri"/>
        </w:rPr>
        <w:instrText xml:space="preserve"> ADDIN ZOTERO_ITEM CSL_CITATION {"citationID":"2M2jNTzR","properties":{"formattedCitation":"(New Zealand Legislation, 2023)","plainCitation":"(New Zealand Legislation, 2023)","noteIndex":0},"citationItems":[{"id":1506,"uris":["http://zotero.org/users/11111291/items/LGIMA2XL"],"itemData":{"id":1506,"type":"webpage","title":"Gambling (Harm Prevention and Minimisation) Amendment Regulations 2023","URL":"https://www.legislation.govt.nz/regulation/public/2023/0082/latest/LMS839227.html","author":[{"literal":"New Zealand Legislation"}],"accessed":{"date-parts":[["2024",1,17]]},"issued":{"date-parts":[["2023"]]}}}],"schema":"https://github.com/citation-style-language/schema/raw/master/csl-citation.json"} </w:instrText>
      </w:r>
      <w:r w:rsidR="00970A9E" w:rsidRPr="00A06DF7">
        <w:rPr>
          <w:rFonts w:cs="Calibri"/>
        </w:rPr>
        <w:fldChar w:fldCharType="separate"/>
      </w:r>
      <w:r w:rsidR="00970A9E" w:rsidRPr="00A06DF7">
        <w:rPr>
          <w:rFonts w:cs="Calibri"/>
        </w:rPr>
        <w:t>(New Zealand Legislation, 2023)</w:t>
      </w:r>
      <w:r w:rsidR="00970A9E" w:rsidRPr="00A06DF7">
        <w:rPr>
          <w:rFonts w:cs="Calibri"/>
        </w:rPr>
        <w:fldChar w:fldCharType="end"/>
      </w:r>
      <w:r w:rsidR="00422221" w:rsidRPr="00A06DF7">
        <w:rPr>
          <w:rFonts w:cs="Calibri"/>
        </w:rPr>
        <w:t>.</w:t>
      </w:r>
      <w:r w:rsidR="004B6D61" w:rsidRPr="00A06DF7">
        <w:rPr>
          <w:rFonts w:cs="Calibri"/>
        </w:rPr>
        <w:t xml:space="preserve"> The Department of Internal Affairs </w:t>
      </w:r>
      <w:r w:rsidR="00FA09FA" w:rsidRPr="00A06DF7">
        <w:rPr>
          <w:rFonts w:cs="Calibri"/>
        </w:rPr>
        <w:t>justif</w:t>
      </w:r>
      <w:r w:rsidR="00B97363" w:rsidRPr="00A06DF7">
        <w:rPr>
          <w:rFonts w:cs="Calibri"/>
        </w:rPr>
        <w:t>ied</w:t>
      </w:r>
      <w:r w:rsidR="00FA09FA" w:rsidRPr="00A06DF7">
        <w:rPr>
          <w:rFonts w:cs="Calibri"/>
        </w:rPr>
        <w:t xml:space="preserve"> the introduction of new regulations with the following statement:</w:t>
      </w:r>
    </w:p>
    <w:p w14:paraId="4B03C420" w14:textId="2FBF38DF" w:rsidR="00247F7A" w:rsidRPr="00011146" w:rsidRDefault="00247F7A" w:rsidP="00011146">
      <w:pPr>
        <w:pStyle w:val="Quotes"/>
      </w:pPr>
      <w:r w:rsidRPr="00011146">
        <w:lastRenderedPageBreak/>
        <w:t>“Class 4 licence holders, venue operators, and venue managers have responsibilities to identify and address gambling harm in their venues. Existing requirements had not done enough to identify, prevent and minimise harm, or to incentivise compliance. In some cases, people have suffered financial and other harms from gambling at pokies venues, yet these harms were not being consistently identified by venue managers and staff.</w:t>
      </w:r>
      <w:r w:rsidR="00C600B7" w:rsidRPr="00011146">
        <w:t>”</w:t>
      </w:r>
    </w:p>
    <w:p w14:paraId="6A87CAC7" w14:textId="54DC29C8" w:rsidR="00247F7A" w:rsidRPr="00011146" w:rsidRDefault="00247F7A" w:rsidP="00011146">
      <w:pPr>
        <w:pStyle w:val="Quotes"/>
      </w:pPr>
      <w:r w:rsidRPr="00011146">
        <w:t>The 2023 changes to the Harm Minimisation Regulations have been designed to create clear and consistent standards that apply to all venues. They introduce new monitoring procedures at venues to support venue managers and staff identify signs of harm earlier and more consistently. They also set out clear rules for how staff must respond when signs of harm are identified.”</w:t>
      </w:r>
      <w:r w:rsidR="00842C5F" w:rsidRPr="00011146">
        <w:t xml:space="preserve"> - </w:t>
      </w:r>
      <w:r w:rsidR="007610DE" w:rsidRPr="00011146">
        <w:fldChar w:fldCharType="begin"/>
      </w:r>
      <w:r w:rsidR="00715B07" w:rsidRPr="00011146">
        <w:instrText xml:space="preserve"> ADDIN ZOTERO_ITEM CSL_CITATION {"citationID":"OOsfFcg5","properties":{"formattedCitation":"(Department of Internal Affairs, 2023e)","plainCitation":"(Department of Internal Affairs, 2023e)","noteIndex":0},"citationItems":[{"id":1507,"uris":["http://zotero.org/users/11111291/items/AJFJW9PV"],"itemData":{"id":1507,"type":"webpage","title":"Reducing Pokies Harm","URL":"https://www.dia.govt.nz/Gambling-Reducing-Pokies-Harm","author":[{"literal":"Department of Internal Affairs"}],"accessed":{"date-parts":[["2024",1,17]]},"issued":{"date-parts":[["2023"]]}}}],"schema":"https://github.com/citation-style-language/schema/raw/master/csl-citation.json"} </w:instrText>
      </w:r>
      <w:r w:rsidR="007610DE" w:rsidRPr="00011146">
        <w:fldChar w:fldCharType="separate"/>
      </w:r>
      <w:r w:rsidR="00252AA4" w:rsidRPr="00011146">
        <w:t>(Department of Internal Affairs, 2023e)</w:t>
      </w:r>
      <w:r w:rsidR="007610DE" w:rsidRPr="00011146">
        <w:fldChar w:fldCharType="end"/>
      </w:r>
      <w:r w:rsidR="007610DE" w:rsidRPr="00011146">
        <w:t>.</w:t>
      </w:r>
    </w:p>
    <w:p w14:paraId="2B5BEFEF" w14:textId="5AE78C2F" w:rsidR="00943771" w:rsidRDefault="00DC5C14" w:rsidP="00943771">
      <w:pPr>
        <w:ind w:right="454"/>
        <w:rPr>
          <w:lang w:val="en-AU"/>
        </w:rPr>
      </w:pPr>
      <w:r>
        <w:rPr>
          <w:lang w:val="en-AU"/>
        </w:rPr>
        <w:t xml:space="preserve">The most notable amendments are the new responsibilities venue managers </w:t>
      </w:r>
      <w:r w:rsidR="00881EEE">
        <w:rPr>
          <w:lang w:val="en-AU"/>
        </w:rPr>
        <w:t>are required to fulfil at venues</w:t>
      </w:r>
      <w:r w:rsidR="0084136F">
        <w:rPr>
          <w:lang w:val="en-AU"/>
        </w:rPr>
        <w:t xml:space="preserve">. Managers must ensure </w:t>
      </w:r>
      <w:r w:rsidR="003B457E">
        <w:rPr>
          <w:lang w:val="en-AU"/>
        </w:rPr>
        <w:t xml:space="preserve">that </w:t>
      </w:r>
      <w:r w:rsidR="0084136F">
        <w:rPr>
          <w:lang w:val="en-AU"/>
        </w:rPr>
        <w:t xml:space="preserve">venue staff </w:t>
      </w:r>
      <w:r w:rsidR="003B457E">
        <w:rPr>
          <w:lang w:val="en-AU"/>
        </w:rPr>
        <w:t>who supervise class 4 gambling</w:t>
      </w:r>
      <w:r w:rsidR="005437F6">
        <w:rPr>
          <w:lang w:val="en-AU"/>
        </w:rPr>
        <w:t xml:space="preserve"> are:</w:t>
      </w:r>
    </w:p>
    <w:p w14:paraId="2AC6CA0E" w14:textId="113C0F1D" w:rsidR="005437F6" w:rsidRDefault="00415F81" w:rsidP="00F16BA9">
      <w:pPr>
        <w:pStyle w:val="Bulleted"/>
        <w:rPr>
          <w:lang w:val="en-AU"/>
        </w:rPr>
      </w:pPr>
      <w:r>
        <w:rPr>
          <w:lang w:val="en-AU"/>
        </w:rPr>
        <w:t>M</w:t>
      </w:r>
      <w:r w:rsidR="005437F6">
        <w:rPr>
          <w:lang w:val="en-AU"/>
        </w:rPr>
        <w:t>onitoring the gambling room through regular sweeps</w:t>
      </w:r>
      <w:r w:rsidR="00333DF7">
        <w:rPr>
          <w:lang w:val="en-AU"/>
        </w:rPr>
        <w:t>;</w:t>
      </w:r>
    </w:p>
    <w:p w14:paraId="5BCE7AA7" w14:textId="07D9EC6C" w:rsidR="005437F6" w:rsidRDefault="00415F81" w:rsidP="00F16BA9">
      <w:pPr>
        <w:pStyle w:val="Bulleted"/>
        <w:rPr>
          <w:lang w:val="en-AU"/>
        </w:rPr>
      </w:pPr>
      <w:r>
        <w:rPr>
          <w:lang w:val="en-AU"/>
        </w:rPr>
        <w:t>M</w:t>
      </w:r>
      <w:r w:rsidR="005437F6">
        <w:rPr>
          <w:lang w:val="en-AU"/>
        </w:rPr>
        <w:t>aking record of each sweep</w:t>
      </w:r>
      <w:r w:rsidR="00333DF7">
        <w:rPr>
          <w:lang w:val="en-AU"/>
        </w:rPr>
        <w:t>;</w:t>
      </w:r>
    </w:p>
    <w:p w14:paraId="408C41CB" w14:textId="5EB3C75C" w:rsidR="005437F6" w:rsidRDefault="00415F81" w:rsidP="00F16BA9">
      <w:pPr>
        <w:pStyle w:val="Bulleted"/>
        <w:rPr>
          <w:lang w:val="en-AU"/>
        </w:rPr>
      </w:pPr>
      <w:r>
        <w:rPr>
          <w:lang w:val="en-AU"/>
        </w:rPr>
        <w:t>T</w:t>
      </w:r>
      <w:r w:rsidR="005437F6">
        <w:rPr>
          <w:lang w:val="en-AU"/>
        </w:rPr>
        <w:t xml:space="preserve">aking reasonable steps to identify a player present for </w:t>
      </w:r>
      <w:r w:rsidR="00C95066">
        <w:rPr>
          <w:lang w:val="en-AU"/>
        </w:rPr>
        <w:t xml:space="preserve">nine </w:t>
      </w:r>
      <w:r w:rsidR="005437F6">
        <w:rPr>
          <w:lang w:val="en-AU"/>
        </w:rPr>
        <w:t>sweeps in a row</w:t>
      </w:r>
      <w:r w:rsidR="00333DF7">
        <w:rPr>
          <w:lang w:val="en-AU"/>
        </w:rPr>
        <w:t>;</w:t>
      </w:r>
    </w:p>
    <w:p w14:paraId="465CA24C" w14:textId="75AC5626" w:rsidR="005437F6" w:rsidRDefault="00415F81" w:rsidP="00F16BA9">
      <w:pPr>
        <w:pStyle w:val="Bulleted"/>
        <w:rPr>
          <w:lang w:val="en-AU"/>
        </w:rPr>
      </w:pPr>
      <w:r>
        <w:rPr>
          <w:lang w:val="en-AU"/>
        </w:rPr>
        <w:t>C</w:t>
      </w:r>
      <w:r w:rsidR="005437F6">
        <w:rPr>
          <w:lang w:val="en-AU"/>
        </w:rPr>
        <w:t>onsidering if a player is showing signs of gambling harm</w:t>
      </w:r>
      <w:r w:rsidR="00333DF7">
        <w:rPr>
          <w:lang w:val="en-AU"/>
        </w:rPr>
        <w:t>;</w:t>
      </w:r>
      <w:r w:rsidR="00107BAE">
        <w:rPr>
          <w:lang w:val="en-AU"/>
        </w:rPr>
        <w:t xml:space="preserve"> and</w:t>
      </w:r>
    </w:p>
    <w:p w14:paraId="51348BBD" w14:textId="7DC4347E" w:rsidR="009A7F44" w:rsidRDefault="00415F81" w:rsidP="00F16BA9">
      <w:pPr>
        <w:pStyle w:val="Bulleted"/>
        <w:rPr>
          <w:lang w:val="en-AU"/>
        </w:rPr>
      </w:pPr>
      <w:r>
        <w:rPr>
          <w:lang w:val="en-AU"/>
        </w:rPr>
        <w:t>H</w:t>
      </w:r>
      <w:r w:rsidR="005437F6">
        <w:rPr>
          <w:lang w:val="en-AU"/>
        </w:rPr>
        <w:t>aving a conversation with players showing signs of gambling harm, and record</w:t>
      </w:r>
      <w:r w:rsidR="00C95066">
        <w:rPr>
          <w:lang w:val="en-AU"/>
        </w:rPr>
        <w:t>ing</w:t>
      </w:r>
      <w:r w:rsidR="005437F6">
        <w:rPr>
          <w:lang w:val="en-AU"/>
        </w:rPr>
        <w:t xml:space="preserve"> these conversations.</w:t>
      </w:r>
    </w:p>
    <w:p w14:paraId="52690995" w14:textId="28C96500" w:rsidR="00D05113" w:rsidRDefault="005B2A64" w:rsidP="00BD1050">
      <w:pPr>
        <w:rPr>
          <w:lang w:val="en-AU"/>
        </w:rPr>
      </w:pPr>
      <w:r>
        <w:rPr>
          <w:lang w:val="en-AU"/>
        </w:rPr>
        <w:t>Other changes include</w:t>
      </w:r>
      <w:r w:rsidR="005D4E08">
        <w:rPr>
          <w:lang w:val="en-AU"/>
        </w:rPr>
        <w:t>:</w:t>
      </w:r>
    </w:p>
    <w:p w14:paraId="78452E40" w14:textId="1533A9DD" w:rsidR="005D4E08" w:rsidRDefault="00415F81" w:rsidP="00F16BA9">
      <w:pPr>
        <w:pStyle w:val="Bulleted"/>
        <w:rPr>
          <w:lang w:val="en-AU"/>
        </w:rPr>
      </w:pPr>
      <w:r>
        <w:rPr>
          <w:lang w:val="en-AU"/>
        </w:rPr>
        <w:t>C</w:t>
      </w:r>
      <w:r w:rsidR="00107BAE">
        <w:rPr>
          <w:lang w:val="en-AU"/>
        </w:rPr>
        <w:t xml:space="preserve">hanges </w:t>
      </w:r>
      <w:r w:rsidR="005D4E08">
        <w:rPr>
          <w:lang w:val="en-AU"/>
        </w:rPr>
        <w:t>in the requirements around venue design</w:t>
      </w:r>
      <w:r w:rsidR="00107BAE">
        <w:rPr>
          <w:lang w:val="en-AU"/>
        </w:rPr>
        <w:t>;</w:t>
      </w:r>
    </w:p>
    <w:p w14:paraId="456B11E5" w14:textId="13C10ED0" w:rsidR="005D4E08" w:rsidRDefault="00415F81" w:rsidP="00F16BA9">
      <w:pPr>
        <w:pStyle w:val="Bulleted"/>
        <w:rPr>
          <w:lang w:val="en-AU"/>
        </w:rPr>
      </w:pPr>
      <w:r>
        <w:rPr>
          <w:lang w:val="en-AU"/>
        </w:rPr>
        <w:t>R</w:t>
      </w:r>
      <w:r w:rsidR="005D4E08">
        <w:rPr>
          <w:lang w:val="en-AU"/>
        </w:rPr>
        <w:t>equired annual problem gambling awareness training for venue personnel who supervise gambling</w:t>
      </w:r>
      <w:r w:rsidR="00107BAE">
        <w:rPr>
          <w:lang w:val="en-AU"/>
        </w:rPr>
        <w:t>; and</w:t>
      </w:r>
    </w:p>
    <w:p w14:paraId="5A212329" w14:textId="7B5277A9" w:rsidR="00261638" w:rsidRPr="00261638" w:rsidRDefault="00415F81" w:rsidP="00F16BA9">
      <w:pPr>
        <w:pStyle w:val="Bulleted"/>
        <w:rPr>
          <w:lang w:val="en-AU"/>
        </w:rPr>
      </w:pPr>
      <w:r>
        <w:rPr>
          <w:lang w:val="en-AU"/>
        </w:rPr>
        <w:t>N</w:t>
      </w:r>
      <w:r w:rsidR="005D4E08">
        <w:rPr>
          <w:lang w:val="en-AU"/>
        </w:rPr>
        <w:t>ew infringement offences to support compliance with the new requirements.</w:t>
      </w:r>
    </w:p>
    <w:p w14:paraId="37740D4B" w14:textId="74E388D4" w:rsidR="006E71A2" w:rsidRPr="00941193" w:rsidRDefault="008057C3" w:rsidP="00BD1050">
      <w:pPr>
        <w:rPr>
          <w:lang w:val="en-AU"/>
        </w:rPr>
      </w:pPr>
      <w:r>
        <w:rPr>
          <w:lang w:val="en-AU"/>
        </w:rPr>
        <w:t xml:space="preserve">The </w:t>
      </w:r>
      <w:r w:rsidR="00D758B4">
        <w:rPr>
          <w:lang w:val="en-AU"/>
        </w:rPr>
        <w:t>four</w:t>
      </w:r>
      <w:r w:rsidR="00C52EFE">
        <w:rPr>
          <w:lang w:val="en-AU"/>
        </w:rPr>
        <w:t xml:space="preserve"> </w:t>
      </w:r>
      <w:r w:rsidR="003B587F">
        <w:rPr>
          <w:lang w:val="en-AU"/>
        </w:rPr>
        <w:t>levy paying gambling sectors</w:t>
      </w:r>
      <w:r w:rsidR="003B19FD">
        <w:rPr>
          <w:lang w:val="en-AU"/>
        </w:rPr>
        <w:t xml:space="preserve"> in New Zealand are </w:t>
      </w:r>
      <w:r w:rsidR="002A6BFF">
        <w:rPr>
          <w:lang w:val="en-AU"/>
        </w:rPr>
        <w:t xml:space="preserve">racing and sports betting through the TAB, Class 4 </w:t>
      </w:r>
      <w:r w:rsidR="00131884">
        <w:rPr>
          <w:lang w:val="en-AU"/>
        </w:rPr>
        <w:t>electronic gaming machines (</w:t>
      </w:r>
      <w:r w:rsidR="00AE3B5B">
        <w:rPr>
          <w:lang w:val="en-AU"/>
        </w:rPr>
        <w:t>referred to in this paper as pokies</w:t>
      </w:r>
      <w:r w:rsidR="00131884">
        <w:rPr>
          <w:lang w:val="en-AU"/>
        </w:rPr>
        <w:t>)</w:t>
      </w:r>
      <w:r w:rsidR="002A6BFF">
        <w:rPr>
          <w:lang w:val="en-AU"/>
        </w:rPr>
        <w:t xml:space="preserve"> in </w:t>
      </w:r>
      <w:r w:rsidR="006C5D6B">
        <w:rPr>
          <w:lang w:val="en-AU"/>
        </w:rPr>
        <w:t xml:space="preserve">clubs and pubs, </w:t>
      </w:r>
      <w:r w:rsidR="00491412">
        <w:rPr>
          <w:lang w:val="en-AU"/>
        </w:rPr>
        <w:t>lotteries products</w:t>
      </w:r>
      <w:r w:rsidR="006C5D6B">
        <w:rPr>
          <w:lang w:val="en-AU"/>
        </w:rPr>
        <w:t xml:space="preserve"> through Lotto NZ, and casinos.</w:t>
      </w:r>
      <w:r w:rsidR="0051617F">
        <w:rPr>
          <w:lang w:val="en-AU"/>
        </w:rPr>
        <w:t xml:space="preserve"> The Act defines four classes of gambling, </w:t>
      </w:r>
      <w:r w:rsidR="002147A4">
        <w:rPr>
          <w:lang w:val="en-AU"/>
        </w:rPr>
        <w:t xml:space="preserve">and lotteries, prize competitions, games of chance and instant games fall into classes 1-3, whereas EGMs outside casinos </w:t>
      </w:r>
      <w:r w:rsidR="005A56EF">
        <w:rPr>
          <w:lang w:val="en-AU"/>
        </w:rPr>
        <w:t>are considered class 4</w:t>
      </w:r>
      <w:r w:rsidR="000D6F9B">
        <w:rPr>
          <w:lang w:val="en-AU"/>
        </w:rPr>
        <w:t xml:space="preserve"> (highest risk).</w:t>
      </w:r>
    </w:p>
    <w:p w14:paraId="2AED0B03" w14:textId="4C1900A4" w:rsidR="00EB3349" w:rsidRDefault="00EB3349" w:rsidP="00EB3349">
      <w:pPr>
        <w:ind w:right="454"/>
        <w:rPr>
          <w:lang w:val="en-AU"/>
        </w:rPr>
      </w:pPr>
      <w:r>
        <w:rPr>
          <w:lang w:val="en-AU"/>
        </w:rPr>
        <w:t>We note that</w:t>
      </w:r>
      <w:r w:rsidR="00B9637A">
        <w:rPr>
          <w:lang w:val="en-AU"/>
        </w:rPr>
        <w:t xml:space="preserve"> in November 2023,</w:t>
      </w:r>
      <w:r>
        <w:rPr>
          <w:lang w:val="en-AU"/>
        </w:rPr>
        <w:t xml:space="preserve"> the Gaming Machine Association of New Zealand (the </w:t>
      </w:r>
      <w:r w:rsidRPr="00F16BA9">
        <w:rPr>
          <w:lang w:val="en-AU"/>
        </w:rPr>
        <w:t>Association</w:t>
      </w:r>
      <w:r>
        <w:rPr>
          <w:lang w:val="en-AU"/>
        </w:rPr>
        <w:t>) sought a judicial review of certain aspects of the new regulations. The Association argued there was a lack of consultation during the development of the regulations and some aspects of the regulations were unreasonable. This review is ongoing at the time of writing.</w:t>
      </w:r>
    </w:p>
    <w:p w14:paraId="66C5715E" w14:textId="77777777" w:rsidR="007D7D39" w:rsidRDefault="007D7D39">
      <w:pPr>
        <w:pStyle w:val="Heading6"/>
      </w:pPr>
      <w:bookmarkStart w:id="82" w:name="_Toc65250301"/>
      <w:bookmarkStart w:id="83" w:name="_Toc76469776"/>
      <w:bookmarkStart w:id="84" w:name="_Toc166507373"/>
      <w:bookmarkStart w:id="85" w:name="_Hlk163376847"/>
      <w:r w:rsidRPr="002F108B">
        <w:lastRenderedPageBreak/>
        <w:t>Gambling sector roles and responsibilities</w:t>
      </w:r>
      <w:bookmarkEnd w:id="82"/>
      <w:bookmarkEnd w:id="83"/>
      <w:bookmarkEnd w:id="84"/>
    </w:p>
    <w:p w14:paraId="460EB413" w14:textId="0B920EBD" w:rsidR="00594774" w:rsidRDefault="003D6AF7" w:rsidP="00171631">
      <w:r>
        <w:t>T</w:t>
      </w:r>
      <w:r w:rsidR="00EE4E0B">
        <w:t>he Department of Internal Affairs, Ministry of Health</w:t>
      </w:r>
      <w:r w:rsidR="00B724A6">
        <w:t xml:space="preserve">, Gambling Commission and </w:t>
      </w:r>
      <w:r w:rsidR="0090751D">
        <w:t>local councils</w:t>
      </w:r>
      <w:r w:rsidR="00F02EB4">
        <w:t xml:space="preserve"> have roles outlined in </w:t>
      </w:r>
      <w:r w:rsidR="00AA01F2">
        <w:t>t</w:t>
      </w:r>
      <w:r w:rsidR="00F02EB4">
        <w:t>he Act</w:t>
      </w:r>
      <w:r w:rsidR="00347DCF">
        <w:t>:</w:t>
      </w:r>
    </w:p>
    <w:p w14:paraId="0F1E7F58" w14:textId="01A7DB3A" w:rsidR="00DD5167" w:rsidRPr="00DD5167" w:rsidRDefault="00DD5167" w:rsidP="00DD5167">
      <w:pPr>
        <w:rPr>
          <w:b/>
          <w:bCs/>
        </w:rPr>
      </w:pPr>
      <w:r w:rsidRPr="00DD5167">
        <w:rPr>
          <w:b/>
          <w:bCs/>
        </w:rPr>
        <w:t>Department of Internal Affairs (DIA):</w:t>
      </w:r>
    </w:p>
    <w:p w14:paraId="2007F98F" w14:textId="5C4F9CBB" w:rsidR="00DD5167" w:rsidRDefault="00F16BA9" w:rsidP="00F16BA9">
      <w:pPr>
        <w:pStyle w:val="Bulleted"/>
      </w:pPr>
      <w:r>
        <w:t>R</w:t>
      </w:r>
      <w:r w:rsidR="00E16C38">
        <w:t xml:space="preserve">egulates </w:t>
      </w:r>
      <w:r w:rsidR="00DA33E9">
        <w:t xml:space="preserve">and enforces </w:t>
      </w:r>
      <w:r w:rsidR="00DD5167">
        <w:t>gambling under the Act</w:t>
      </w:r>
    </w:p>
    <w:p w14:paraId="6CFDAB54" w14:textId="6CE2640F" w:rsidR="00DD5167" w:rsidRDefault="00F16BA9" w:rsidP="00F16BA9">
      <w:pPr>
        <w:pStyle w:val="Bulleted"/>
      </w:pPr>
      <w:r>
        <w:t>M</w:t>
      </w:r>
      <w:r w:rsidR="00E16C38">
        <w:t xml:space="preserve">anages </w:t>
      </w:r>
      <w:r w:rsidR="00DD5167">
        <w:t>licensing for non-club societies and monitors fund distribution</w:t>
      </w:r>
    </w:p>
    <w:p w14:paraId="5AA2A130" w14:textId="588E4E6F" w:rsidR="00DD5167" w:rsidRDefault="00F16BA9" w:rsidP="00F16BA9">
      <w:pPr>
        <w:pStyle w:val="Bulleted"/>
      </w:pPr>
      <w:r>
        <w:t>C</w:t>
      </w:r>
      <w:r w:rsidR="00E16C38">
        <w:t xml:space="preserve">onducts </w:t>
      </w:r>
      <w:r w:rsidR="00DD5167">
        <w:t>inspections to ensure venues comply with the Act</w:t>
      </w:r>
    </w:p>
    <w:p w14:paraId="2C0E8907" w14:textId="7F8AC94B" w:rsidR="00DD5167" w:rsidRDefault="00F16BA9" w:rsidP="00F16BA9">
      <w:pPr>
        <w:pStyle w:val="Bulleted"/>
      </w:pPr>
      <w:r>
        <w:t>F</w:t>
      </w:r>
      <w:r w:rsidR="00E16C38">
        <w:t xml:space="preserve">ocuses </w:t>
      </w:r>
      <w:r w:rsidR="00DD5167">
        <w:t>on harm minimi</w:t>
      </w:r>
      <w:r w:rsidR="00C31FC7">
        <w:t>s</w:t>
      </w:r>
      <w:r w:rsidR="00DD5167">
        <w:t xml:space="preserve">ation, fraud reduction, and </w:t>
      </w:r>
      <w:r w:rsidR="00491246">
        <w:t xml:space="preserve">maximising </w:t>
      </w:r>
      <w:r w:rsidR="00DD5167">
        <w:t>community returns</w:t>
      </w:r>
    </w:p>
    <w:p w14:paraId="44AB9C2C" w14:textId="4E457F90" w:rsidR="00DD5167" w:rsidRDefault="00F16BA9" w:rsidP="00F16BA9">
      <w:pPr>
        <w:pStyle w:val="Bulleted"/>
      </w:pPr>
      <w:r>
        <w:t>I</w:t>
      </w:r>
      <w:r w:rsidR="00E16C38">
        <w:t xml:space="preserve">ntroduced </w:t>
      </w:r>
      <w:r w:rsidR="00DD5167">
        <w:t xml:space="preserve">a harm </w:t>
      </w:r>
      <w:r w:rsidR="00C31FC7">
        <w:t xml:space="preserve">minimisation </w:t>
      </w:r>
      <w:r w:rsidR="00DD5167">
        <w:t xml:space="preserve">strategy in March 2021, </w:t>
      </w:r>
      <w:r w:rsidR="00491246">
        <w:t xml:space="preserve">emphasising </w:t>
      </w:r>
      <w:r w:rsidR="00DD5167">
        <w:t>community well-being and safe gambling</w:t>
      </w:r>
      <w:r w:rsidR="00E16C38">
        <w:t>.</w:t>
      </w:r>
    </w:p>
    <w:p w14:paraId="546D7F03" w14:textId="790F3E47" w:rsidR="00DD5167" w:rsidRPr="00DD5167" w:rsidRDefault="00DD5167" w:rsidP="00DD5167">
      <w:pPr>
        <w:rPr>
          <w:b/>
          <w:bCs/>
        </w:rPr>
      </w:pPr>
      <w:r w:rsidRPr="00DD5167">
        <w:rPr>
          <w:b/>
          <w:bCs/>
        </w:rPr>
        <w:t>Ministry of Health:</w:t>
      </w:r>
    </w:p>
    <w:p w14:paraId="07AE8B5B" w14:textId="55F98E56" w:rsidR="00DD5167" w:rsidRDefault="00A70318" w:rsidP="00A70318">
      <w:pPr>
        <w:pStyle w:val="Bulleted"/>
      </w:pPr>
      <w:r>
        <w:t>D</w:t>
      </w:r>
      <w:r w:rsidR="00E16C38">
        <w:t xml:space="preserve">evelops </w:t>
      </w:r>
      <w:r w:rsidR="00DD5167">
        <w:t>and implements an integrated problem gambling strategy focused on public health</w:t>
      </w:r>
    </w:p>
    <w:p w14:paraId="4E24DFCD" w14:textId="3A547B78" w:rsidR="00DD5167" w:rsidRDefault="00A70318" w:rsidP="00A70318">
      <w:pPr>
        <w:pStyle w:val="Bulleted"/>
      </w:pPr>
      <w:r>
        <w:t>I</w:t>
      </w:r>
      <w:r w:rsidR="00E16C38">
        <w:t xml:space="preserve">ncludes </w:t>
      </w:r>
      <w:r w:rsidR="00DD5167">
        <w:t xml:space="preserve">measures for preventing and </w:t>
      </w:r>
      <w:r w:rsidR="00491246">
        <w:t xml:space="preserve">minimising </w:t>
      </w:r>
      <w:r w:rsidR="00F22777">
        <w:t>gambling harm</w:t>
      </w:r>
    </w:p>
    <w:p w14:paraId="00699250" w14:textId="115F64D1" w:rsidR="000D20AC" w:rsidRDefault="00A70318" w:rsidP="00A70318">
      <w:pPr>
        <w:pStyle w:val="Bulleted"/>
      </w:pPr>
      <w:r>
        <w:t>P</w:t>
      </w:r>
      <w:r w:rsidR="00E16C38">
        <w:t xml:space="preserve">rovides </w:t>
      </w:r>
      <w:r w:rsidR="00DD5167">
        <w:t xml:space="preserve">services </w:t>
      </w:r>
      <w:r w:rsidR="00B23E1B">
        <w:t>to treat</w:t>
      </w:r>
      <w:r w:rsidR="00DD5167">
        <w:t xml:space="preserve"> problem gambl</w:t>
      </w:r>
      <w:r w:rsidR="00B23E1B">
        <w:t>ing</w:t>
      </w:r>
    </w:p>
    <w:p w14:paraId="77AA88B8" w14:textId="0DE99BCB" w:rsidR="00DD5167" w:rsidRDefault="00A70318" w:rsidP="00A70318">
      <w:pPr>
        <w:pStyle w:val="Bulleted"/>
      </w:pPr>
      <w:r>
        <w:t>C</w:t>
      </w:r>
      <w:r w:rsidR="00E16C38">
        <w:t xml:space="preserve">onducts </w:t>
      </w:r>
      <w:r w:rsidR="00DD5167">
        <w:t>independent research</w:t>
      </w:r>
      <w:r w:rsidR="00AD2205">
        <w:t xml:space="preserve"> on the social and economic</w:t>
      </w:r>
      <w:r w:rsidR="000D20AC">
        <w:t xml:space="preserve"> impacts of gambling</w:t>
      </w:r>
      <w:r w:rsidR="00E16C38">
        <w:t>.</w:t>
      </w:r>
    </w:p>
    <w:p w14:paraId="26A476D6" w14:textId="42299C2E" w:rsidR="00A70318" w:rsidRPr="00A06DF7" w:rsidRDefault="00A70318" w:rsidP="00A70318">
      <w:pPr>
        <w:rPr>
          <w:rFonts w:cs="Calibri"/>
          <w:shd w:val="clear" w:color="auto" w:fill="FFFFFF"/>
          <w:lang w:val="en-AU"/>
        </w:rPr>
      </w:pPr>
      <w:r w:rsidRPr="00A06DF7">
        <w:rPr>
          <w:rFonts w:cs="Calibri"/>
          <w:shd w:val="clear" w:color="auto" w:fill="FFFFFF"/>
        </w:rPr>
        <w:t>The responsibility for implementing the Strategy to Prevent and Minimi</w:t>
      </w:r>
      <w:r w:rsidR="00BD2D7B" w:rsidRPr="00A06DF7">
        <w:rPr>
          <w:rFonts w:cs="Calibri"/>
          <w:shd w:val="clear" w:color="auto" w:fill="FFFFFF"/>
        </w:rPr>
        <w:t>s</w:t>
      </w:r>
      <w:r w:rsidRPr="00A06DF7">
        <w:rPr>
          <w:rFonts w:cs="Calibri"/>
          <w:shd w:val="clear" w:color="auto" w:fill="FFFFFF"/>
        </w:rPr>
        <w:t xml:space="preserve">e Gambling Harm is shared among Health entities: Manatū Hauora, Te Whatu Ora - Health New Zealand, and Te Aka Whai Ora - Māori Health Authority </w:t>
      </w:r>
      <w:r w:rsidRPr="00A06DF7">
        <w:rPr>
          <w:rFonts w:cs="Calibri"/>
          <w:shd w:val="clear" w:color="auto" w:fill="FFFFFF"/>
        </w:rPr>
        <w:fldChar w:fldCharType="begin"/>
      </w:r>
      <w:r w:rsidRPr="00A06DF7">
        <w:rPr>
          <w:rFonts w:cs="Calibri"/>
          <w:shd w:val="clear" w:color="auto" w:fill="FFFFFF"/>
        </w:rPr>
        <w:instrText xml:space="preserve"> ADDIN ZOTERO_ITEM CSL_CITATION {"citationID":"icy7P69M","properties":{"formattedCitation":"(Ministry of Health, 2023b)","plainCitation":"(Ministry of Health, 2023b)","noteIndex":0},"citationItems":[{"id":1544,"uris":["http://zotero.org/users/11111291/items/9TDQTXYA"],"itemData":{"id":1544,"type":"webpage","abstract":"The Government restricts and controls gambling to prevents and minimises the harm it causes through the Gambling Act.","container-title":"Ministry of Health NZ","language":"en","title":"The Gambling Act 2003","URL":"https://www.health.govt.nz/our-work/mental-health-and-addiction/addiction/gambling-harm/gambling-act-2003","author":[{"literal":"Ministry of Health"}],"accessed":{"date-parts":[["2024",2,12]]},"issued":{"date-parts":[["2023"]]}}}],"schema":"https://github.com/citation-style-language/schema/raw/master/csl-citation.json"} </w:instrText>
      </w:r>
      <w:r w:rsidRPr="00A06DF7">
        <w:rPr>
          <w:rFonts w:cs="Calibri"/>
          <w:shd w:val="clear" w:color="auto" w:fill="FFFFFF"/>
        </w:rPr>
        <w:fldChar w:fldCharType="separate"/>
      </w:r>
      <w:r w:rsidRPr="00A06DF7">
        <w:rPr>
          <w:rFonts w:cs="Calibri"/>
        </w:rPr>
        <w:t>(Ministry of Health, 2023b)</w:t>
      </w:r>
      <w:r w:rsidRPr="00A06DF7">
        <w:rPr>
          <w:rFonts w:cs="Calibri"/>
          <w:shd w:val="clear" w:color="auto" w:fill="FFFFFF"/>
        </w:rPr>
        <w:fldChar w:fldCharType="end"/>
      </w:r>
      <w:r w:rsidRPr="00A06DF7">
        <w:rPr>
          <w:rFonts w:cs="Calibri"/>
          <w:shd w:val="clear" w:color="auto" w:fill="FFFFFF"/>
        </w:rPr>
        <w:t xml:space="preserve">. </w:t>
      </w:r>
      <w:r w:rsidRPr="00A06DF7">
        <w:rPr>
          <w:rFonts w:cs="Calibri"/>
          <w:shd w:val="clear" w:color="auto" w:fill="FFFFFF"/>
          <w:lang w:val="en-AU"/>
        </w:rPr>
        <w:t xml:space="preserve">Manatū Hauora develops and implements the comprehensive problem gambling strategy. It oversees the strategy's progress, offers policy guidance on preventing and </w:t>
      </w:r>
      <w:r w:rsidRPr="00A06DF7">
        <w:rPr>
          <w:rFonts w:eastAsia="Times New Roman" w:cs="Calibri"/>
          <w:color w:val="000000"/>
          <w:lang w:eastAsia="en-NZ"/>
        </w:rPr>
        <w:t>reducing gambling harm, and conducts research to address problem gambling. Te Whatu Ora and Te Aka Whai Ora fund, commission and evaluate problem gambling services.</w:t>
      </w:r>
      <w:r w:rsidR="00B56574" w:rsidRPr="00A06DF7">
        <w:rPr>
          <w:rFonts w:eastAsia="Times New Roman" w:cs="Calibri"/>
          <w:color w:val="000000"/>
          <w:lang w:eastAsia="en-NZ"/>
        </w:rPr>
        <w:t xml:space="preserve"> The Pae Ora Act </w:t>
      </w:r>
      <w:r w:rsidR="00991182" w:rsidRPr="00A06DF7">
        <w:rPr>
          <w:rFonts w:eastAsia="Times New Roman" w:cs="Calibri"/>
          <w:color w:val="000000"/>
          <w:lang w:eastAsia="en-NZ"/>
        </w:rPr>
        <w:t xml:space="preserve">was passed </w:t>
      </w:r>
      <w:r w:rsidR="00A95576" w:rsidRPr="00A06DF7">
        <w:rPr>
          <w:rFonts w:eastAsia="Times New Roman" w:cs="Calibri"/>
          <w:color w:val="000000"/>
          <w:lang w:eastAsia="en-NZ"/>
        </w:rPr>
        <w:t xml:space="preserve">in 2022 and established </w:t>
      </w:r>
      <w:r w:rsidR="00900617" w:rsidRPr="00A06DF7">
        <w:rPr>
          <w:rFonts w:eastAsia="Times New Roman" w:cs="Calibri"/>
          <w:color w:val="000000"/>
          <w:lang w:eastAsia="en-NZ"/>
        </w:rPr>
        <w:t>both Health New Zealand and the Māori Health Authority.</w:t>
      </w:r>
      <w:r w:rsidR="008F3599" w:rsidRPr="00A06DF7">
        <w:rPr>
          <w:rFonts w:eastAsia="Times New Roman" w:cs="Calibri"/>
          <w:color w:val="000000"/>
          <w:lang w:eastAsia="en-NZ"/>
        </w:rPr>
        <w:t xml:space="preserve"> </w:t>
      </w:r>
      <w:r w:rsidR="00902B02" w:rsidRPr="00A06DF7">
        <w:rPr>
          <w:rFonts w:eastAsia="Times New Roman" w:cs="Calibri"/>
          <w:color w:val="000000"/>
          <w:lang w:eastAsia="en-NZ"/>
        </w:rPr>
        <w:t>A</w:t>
      </w:r>
      <w:r w:rsidR="00D3443B" w:rsidRPr="00A06DF7">
        <w:rPr>
          <w:rFonts w:eastAsia="Times New Roman" w:cs="Calibri"/>
          <w:color w:val="000000"/>
          <w:lang w:eastAsia="en-NZ"/>
        </w:rPr>
        <w:t>s noted above a</w:t>
      </w:r>
      <w:r w:rsidR="00902B02" w:rsidRPr="00A06DF7">
        <w:rPr>
          <w:rFonts w:eastAsia="Times New Roman" w:cs="Calibri"/>
          <w:color w:val="000000"/>
          <w:lang w:eastAsia="en-NZ"/>
        </w:rPr>
        <w:t>t the time of writing</w:t>
      </w:r>
      <w:r w:rsidR="006B4A8E" w:rsidRPr="00A06DF7">
        <w:rPr>
          <w:rFonts w:eastAsia="Times New Roman" w:cs="Calibri"/>
          <w:color w:val="000000"/>
          <w:lang w:eastAsia="en-NZ"/>
        </w:rPr>
        <w:t>, the</w:t>
      </w:r>
      <w:r w:rsidR="00FD5F54" w:rsidRPr="00A06DF7">
        <w:rPr>
          <w:rFonts w:eastAsia="Times New Roman" w:cs="Calibri"/>
          <w:color w:val="000000"/>
          <w:lang w:eastAsia="en-NZ"/>
        </w:rPr>
        <w:t xml:space="preserve"> Government </w:t>
      </w:r>
      <w:r w:rsidR="00F177C6" w:rsidRPr="00A06DF7">
        <w:rPr>
          <w:rFonts w:eastAsia="Times New Roman" w:cs="Calibri"/>
          <w:color w:val="000000"/>
          <w:lang w:eastAsia="en-NZ"/>
        </w:rPr>
        <w:t>passed</w:t>
      </w:r>
      <w:r w:rsidR="00FD5F54" w:rsidRPr="00A06DF7">
        <w:rPr>
          <w:rFonts w:eastAsia="Times New Roman" w:cs="Calibri"/>
          <w:color w:val="000000"/>
          <w:lang w:eastAsia="en-NZ"/>
        </w:rPr>
        <w:t xml:space="preserve"> a bill that would </w:t>
      </w:r>
      <w:r w:rsidR="00F177C6" w:rsidRPr="00A06DF7">
        <w:rPr>
          <w:rFonts w:eastAsia="Times New Roman" w:cs="Calibri"/>
          <w:color w:val="000000"/>
          <w:lang w:eastAsia="en-NZ"/>
        </w:rPr>
        <w:t xml:space="preserve">disestablish the Māori Health Authority by 30 June 2024, and </w:t>
      </w:r>
      <w:r w:rsidR="00FD5F54" w:rsidRPr="00A06DF7">
        <w:rPr>
          <w:rFonts w:eastAsia="Times New Roman" w:cs="Calibri"/>
          <w:color w:val="000000"/>
          <w:lang w:eastAsia="en-NZ"/>
        </w:rPr>
        <w:t xml:space="preserve">that would result in </w:t>
      </w:r>
      <w:r w:rsidR="00290ED5" w:rsidRPr="00A06DF7">
        <w:rPr>
          <w:rFonts w:eastAsia="Times New Roman" w:cs="Calibri"/>
          <w:color w:val="000000"/>
          <w:lang w:eastAsia="en-NZ"/>
        </w:rPr>
        <w:t>the Authority’s</w:t>
      </w:r>
      <w:r w:rsidR="00F177C6" w:rsidRPr="00A06DF7">
        <w:rPr>
          <w:rFonts w:eastAsia="Times New Roman" w:cs="Calibri"/>
          <w:color w:val="000000"/>
          <w:lang w:eastAsia="en-NZ"/>
        </w:rPr>
        <w:t xml:space="preserve"> </w:t>
      </w:r>
      <w:r w:rsidR="00FD5F54" w:rsidRPr="00A06DF7">
        <w:rPr>
          <w:rFonts w:eastAsia="Times New Roman" w:cs="Calibri"/>
          <w:color w:val="000000"/>
          <w:lang w:eastAsia="en-NZ"/>
        </w:rPr>
        <w:t>functions being distributed between Health New Zealand and the Ministry.</w:t>
      </w:r>
    </w:p>
    <w:p w14:paraId="1809C3D8" w14:textId="6B1CDCB0" w:rsidR="00DD5167" w:rsidRPr="00DD5167" w:rsidRDefault="00DD5167" w:rsidP="00DD5167">
      <w:pPr>
        <w:rPr>
          <w:b/>
          <w:bCs/>
        </w:rPr>
      </w:pPr>
      <w:r w:rsidRPr="00DD5167">
        <w:rPr>
          <w:b/>
          <w:bCs/>
        </w:rPr>
        <w:t>Gambling Commission:</w:t>
      </w:r>
    </w:p>
    <w:p w14:paraId="3BCBA831" w14:textId="7C371667" w:rsidR="00DD5167" w:rsidRDefault="00A70318" w:rsidP="00A70318">
      <w:pPr>
        <w:pStyle w:val="Bulleted"/>
      </w:pPr>
      <w:r>
        <w:t>R</w:t>
      </w:r>
      <w:r w:rsidR="00E16C38">
        <w:t xml:space="preserve">eviews </w:t>
      </w:r>
      <w:r w:rsidR="00DD5167">
        <w:t>casino licensing applications and appeals on licensing and enforcement decisions</w:t>
      </w:r>
    </w:p>
    <w:p w14:paraId="0F0031DA" w14:textId="6779C324" w:rsidR="00DD5167" w:rsidRDefault="00A70318" w:rsidP="00A70318">
      <w:pPr>
        <w:pStyle w:val="Bulleted"/>
      </w:pPr>
      <w:r>
        <w:t>R</w:t>
      </w:r>
      <w:r w:rsidR="00E16C38">
        <w:t xml:space="preserve">eports </w:t>
      </w:r>
      <w:r w:rsidR="00DD5167">
        <w:t xml:space="preserve">to Ministers </w:t>
      </w:r>
      <w:r w:rsidR="00770D62">
        <w:t>and makes recommendations on the proposed gambling levy</w:t>
      </w:r>
      <w:r w:rsidR="00E16C38">
        <w:t>.</w:t>
      </w:r>
    </w:p>
    <w:p w14:paraId="3050DE03" w14:textId="58E2113D" w:rsidR="00DD5167" w:rsidRPr="00DD5167" w:rsidRDefault="00DD5167" w:rsidP="000271F5">
      <w:pPr>
        <w:keepNext/>
        <w:rPr>
          <w:b/>
          <w:bCs/>
        </w:rPr>
      </w:pPr>
      <w:r w:rsidRPr="00DD5167">
        <w:rPr>
          <w:b/>
          <w:bCs/>
        </w:rPr>
        <w:t xml:space="preserve">Local </w:t>
      </w:r>
      <w:r w:rsidR="009D2893">
        <w:rPr>
          <w:b/>
          <w:bCs/>
        </w:rPr>
        <w:t>c</w:t>
      </w:r>
      <w:r w:rsidR="009D2893" w:rsidRPr="00DD5167">
        <w:rPr>
          <w:b/>
          <w:bCs/>
        </w:rPr>
        <w:t xml:space="preserve">ouncils </w:t>
      </w:r>
      <w:r w:rsidRPr="00DD5167">
        <w:rPr>
          <w:b/>
          <w:bCs/>
        </w:rPr>
        <w:t>(</w:t>
      </w:r>
      <w:r w:rsidR="009D2893">
        <w:rPr>
          <w:b/>
          <w:bCs/>
        </w:rPr>
        <w:t>t</w:t>
      </w:r>
      <w:r w:rsidR="009D2893" w:rsidRPr="00DD5167">
        <w:rPr>
          <w:b/>
          <w:bCs/>
        </w:rPr>
        <w:t xml:space="preserve">erritorial </w:t>
      </w:r>
      <w:r w:rsidR="009D2893">
        <w:rPr>
          <w:b/>
          <w:bCs/>
        </w:rPr>
        <w:t>a</w:t>
      </w:r>
      <w:r w:rsidR="009D2893" w:rsidRPr="00DD5167">
        <w:rPr>
          <w:b/>
          <w:bCs/>
        </w:rPr>
        <w:t>uthorities</w:t>
      </w:r>
      <w:r w:rsidRPr="00DD5167">
        <w:rPr>
          <w:b/>
          <w:bCs/>
        </w:rPr>
        <w:t>):</w:t>
      </w:r>
    </w:p>
    <w:p w14:paraId="2961E6B8" w14:textId="3557304E" w:rsidR="00DD5167" w:rsidRDefault="00A70318" w:rsidP="00A70318">
      <w:pPr>
        <w:pStyle w:val="Bulleted"/>
      </w:pPr>
      <w:r>
        <w:t>M</w:t>
      </w:r>
      <w:r w:rsidR="00E16C38">
        <w:t xml:space="preserve">ust </w:t>
      </w:r>
      <w:r w:rsidR="00DD5167">
        <w:t xml:space="preserve">have TAB </w:t>
      </w:r>
      <w:r w:rsidR="006069CA">
        <w:t xml:space="preserve">and </w:t>
      </w:r>
      <w:r w:rsidR="00DD5167">
        <w:t>Class 4 venue polic</w:t>
      </w:r>
      <w:r w:rsidR="00FE6490">
        <w:t>ies</w:t>
      </w:r>
      <w:r w:rsidR="00DD5167">
        <w:t xml:space="preserve"> </w:t>
      </w:r>
      <w:r w:rsidR="006069CA">
        <w:t>that sets out rules in their districts</w:t>
      </w:r>
      <w:r w:rsidR="000F01B6">
        <w:t>, with a review every three years</w:t>
      </w:r>
    </w:p>
    <w:p w14:paraId="67951D3E" w14:textId="1B476DCD" w:rsidR="00345CB8" w:rsidRPr="00171631" w:rsidRDefault="00A70318" w:rsidP="005E1615">
      <w:pPr>
        <w:pStyle w:val="Bulleted"/>
      </w:pPr>
      <w:r>
        <w:t>C</w:t>
      </w:r>
      <w:r w:rsidR="00E16C38">
        <w:t xml:space="preserve">over </w:t>
      </w:r>
      <w:r w:rsidR="00DD5167">
        <w:t>considerations such as allowing Class 4 gambling venues, their locations, and the social impact within the district</w:t>
      </w:r>
      <w:r w:rsidR="00E16C38">
        <w:t>.</w:t>
      </w:r>
      <w:bookmarkEnd w:id="85"/>
    </w:p>
    <w:p w14:paraId="7D134184" w14:textId="2B793676" w:rsidR="007D7D39" w:rsidRDefault="007D7D39">
      <w:pPr>
        <w:pStyle w:val="Heading5"/>
      </w:pPr>
      <w:bookmarkStart w:id="86" w:name="_Toc166507374"/>
      <w:r>
        <w:lastRenderedPageBreak/>
        <w:t xml:space="preserve">Access to gambling </w:t>
      </w:r>
      <w:r w:rsidR="00645A82">
        <w:t xml:space="preserve">in </w:t>
      </w:r>
      <w:r>
        <w:t>Aotearoa New Zealand</w:t>
      </w:r>
      <w:bookmarkEnd w:id="86"/>
    </w:p>
    <w:p w14:paraId="06E05098" w14:textId="1449551B" w:rsidR="008B30D4" w:rsidRPr="008B30D4" w:rsidRDefault="001A12A0" w:rsidP="000271F5">
      <w:r>
        <w:t xml:space="preserve">Gambling continues to be widely accessible through </w:t>
      </w:r>
      <w:r w:rsidR="000E2B31">
        <w:t xml:space="preserve">both regulated and unregulated </w:t>
      </w:r>
      <w:r w:rsidR="00DF6F7F">
        <w:t>providers</w:t>
      </w:r>
      <w:r w:rsidR="00623452">
        <w:t xml:space="preserve">. </w:t>
      </w:r>
      <w:r w:rsidR="00832502">
        <w:t xml:space="preserve">Local policies have </w:t>
      </w:r>
      <w:r w:rsidR="00490BD0">
        <w:t xml:space="preserve">attempted to reduce the more harmful gambling types by </w:t>
      </w:r>
      <w:r w:rsidR="005510A1">
        <w:t>decreasing</w:t>
      </w:r>
      <w:r w:rsidR="00490BD0">
        <w:t xml:space="preserve"> the number of </w:t>
      </w:r>
      <w:r w:rsidR="00FB711F">
        <w:t xml:space="preserve">electronic gaming machines </w:t>
      </w:r>
      <w:r w:rsidR="00EB6260">
        <w:t>(EGMs) and venues</w:t>
      </w:r>
      <w:r w:rsidR="005510A1">
        <w:t xml:space="preserve">, but </w:t>
      </w:r>
      <w:r w:rsidR="00072356">
        <w:t xml:space="preserve">there </w:t>
      </w:r>
      <w:r w:rsidR="00ED14B1">
        <w:t>are</w:t>
      </w:r>
      <w:r w:rsidR="00072356">
        <w:t xml:space="preserve"> stil</w:t>
      </w:r>
      <w:r w:rsidR="005E5CF1">
        <w:t>l significant inequit</w:t>
      </w:r>
      <w:r w:rsidR="00ED14B1">
        <w:t>ies</w:t>
      </w:r>
      <w:r w:rsidR="00A21130">
        <w:t xml:space="preserve"> in their socioeconomic distribution. </w:t>
      </w:r>
    </w:p>
    <w:p w14:paraId="11BD601E" w14:textId="2ACF7F7A" w:rsidR="007D7D39" w:rsidRDefault="007D7D39">
      <w:pPr>
        <w:pStyle w:val="Heading6"/>
      </w:pPr>
      <w:bookmarkStart w:id="87" w:name="_Toc65250303"/>
      <w:bookmarkStart w:id="88" w:name="_Toc76469778"/>
      <w:bookmarkStart w:id="89" w:name="_Ref152658387"/>
      <w:bookmarkStart w:id="90" w:name="_Ref155785729"/>
      <w:bookmarkStart w:id="91" w:name="_Ref158906192"/>
      <w:bookmarkStart w:id="92" w:name="_Ref158906200"/>
      <w:bookmarkStart w:id="93" w:name="_Toc166507375"/>
      <w:r w:rsidRPr="002F108B">
        <w:t>All forms of gambling are widely accessible</w:t>
      </w:r>
      <w:bookmarkEnd w:id="87"/>
      <w:bookmarkEnd w:id="88"/>
      <w:bookmarkEnd w:id="89"/>
      <w:bookmarkEnd w:id="90"/>
      <w:bookmarkEnd w:id="91"/>
      <w:bookmarkEnd w:id="92"/>
      <w:bookmarkEnd w:id="93"/>
    </w:p>
    <w:p w14:paraId="1F73D9BB" w14:textId="18849D7D" w:rsidR="008350A5" w:rsidRPr="00A06DF7" w:rsidRDefault="00C8788E" w:rsidP="007D7D39">
      <w:pPr>
        <w:rPr>
          <w:rFonts w:cs="Calibri"/>
        </w:rPr>
      </w:pPr>
      <w:r w:rsidRPr="00A06DF7">
        <w:rPr>
          <w:rFonts w:cs="Calibri"/>
          <w:b/>
          <w:bCs/>
        </w:rPr>
        <w:t>Lott</w:t>
      </w:r>
      <w:r w:rsidR="008F295D" w:rsidRPr="00A06DF7">
        <w:rPr>
          <w:rFonts w:cs="Calibri"/>
          <w:b/>
          <w:bCs/>
        </w:rPr>
        <w:t>eries products</w:t>
      </w:r>
      <w:r w:rsidR="00A06DF7" w:rsidRPr="00A06DF7">
        <w:rPr>
          <w:rFonts w:cs="Calibri"/>
          <w:b/>
          <w:bCs/>
        </w:rPr>
        <w:t xml:space="preserve">: </w:t>
      </w:r>
      <w:r w:rsidR="00FC7FD8" w:rsidRPr="00A06DF7">
        <w:rPr>
          <w:rFonts w:cs="Calibri"/>
        </w:rPr>
        <w:t xml:space="preserve">Lotto NZ </w:t>
      </w:r>
      <w:r w:rsidR="004B630D" w:rsidRPr="00A06DF7">
        <w:rPr>
          <w:rFonts w:cs="Calibri"/>
        </w:rPr>
        <w:t>recorded total sales of $1</w:t>
      </w:r>
      <w:r w:rsidR="00A4487B" w:rsidRPr="00A06DF7">
        <w:rPr>
          <w:rFonts w:cs="Calibri"/>
        </w:rPr>
        <w:t>,520 m</w:t>
      </w:r>
      <w:r w:rsidR="004B630D" w:rsidRPr="00A06DF7">
        <w:rPr>
          <w:rFonts w:cs="Calibri"/>
        </w:rPr>
        <w:t>illion in 2022/23</w:t>
      </w:r>
      <w:r w:rsidR="00741614" w:rsidRPr="00A06DF7">
        <w:rPr>
          <w:rFonts w:cs="Calibri"/>
        </w:rPr>
        <w:t>, a</w:t>
      </w:r>
      <w:r w:rsidR="00DF5C0C" w:rsidRPr="00A06DF7">
        <w:rPr>
          <w:rFonts w:cs="Calibri"/>
        </w:rPr>
        <w:t xml:space="preserve"> </w:t>
      </w:r>
      <w:r w:rsidR="00E50166">
        <w:rPr>
          <w:rFonts w:cs="Calibri"/>
        </w:rPr>
        <w:t>4.3</w:t>
      </w:r>
      <w:r w:rsidR="00D9625C" w:rsidRPr="00A06DF7">
        <w:rPr>
          <w:rFonts w:cs="Calibri"/>
        </w:rPr>
        <w:t xml:space="preserve"> per cent</w:t>
      </w:r>
      <w:r w:rsidR="00DF5C0C" w:rsidRPr="00A06DF7">
        <w:rPr>
          <w:rFonts w:cs="Calibri"/>
        </w:rPr>
        <w:t xml:space="preserve"> increase from the previous financial year (</w:t>
      </w:r>
      <w:r w:rsidR="00A4487B" w:rsidRPr="00A06DF7">
        <w:rPr>
          <w:rFonts w:cs="Calibri"/>
        </w:rPr>
        <w:t>$1,</w:t>
      </w:r>
      <w:r w:rsidR="007E226A">
        <w:rPr>
          <w:rFonts w:cs="Calibri"/>
        </w:rPr>
        <w:t>457</w:t>
      </w:r>
      <w:r w:rsidR="00A4487B" w:rsidRPr="00A06DF7">
        <w:rPr>
          <w:rFonts w:cs="Calibri"/>
        </w:rPr>
        <w:t xml:space="preserve"> million</w:t>
      </w:r>
      <w:r w:rsidR="00DF5C0C" w:rsidRPr="00A06DF7">
        <w:rPr>
          <w:rFonts w:cs="Calibri"/>
        </w:rPr>
        <w:t xml:space="preserve"> in 2021/22)</w:t>
      </w:r>
      <w:r w:rsidR="00F50A98" w:rsidRPr="00A06DF7">
        <w:rPr>
          <w:rFonts w:cs="Calibri"/>
        </w:rPr>
        <w:t xml:space="preserve"> </w:t>
      </w:r>
      <w:r w:rsidR="00F50A98" w:rsidRPr="00A06DF7">
        <w:rPr>
          <w:rFonts w:cs="Calibri"/>
        </w:rPr>
        <w:fldChar w:fldCharType="begin"/>
      </w:r>
      <w:r w:rsidR="00715B07" w:rsidRPr="00A06DF7">
        <w:rPr>
          <w:rFonts w:cs="Calibri"/>
        </w:rPr>
        <w:instrText xml:space="preserve"> ADDIN ZOTERO_ITEM CSL_CITATION {"citationID":"H8NxCdvT","properties":{"formattedCitation":"(Lotto New Zealand, 2023)","plainCitation":"(Lotto New Zealand, 2023)","noteIndex":0},"citationItems":[{"id":1336,"uris":["http://zotero.org/users/11111291/items/84T8EE2S"],"itemData":{"id":1336,"type":"report","publisher":"New Zealand Lotteries Commission","title":"Annual Report 2022/23","URL":"https://assets.mylotto.co.nz/assets/uploads/97054b86-8738-11ee-878a-005056af723d.pdf","author":[{"literal":"Lotto New Zealand"}],"issued":{"date-parts":[["2023"]]}}}],"schema":"https://github.com/citation-style-language/schema/raw/master/csl-citation.json"} </w:instrText>
      </w:r>
      <w:r w:rsidR="00F50A98" w:rsidRPr="00A06DF7">
        <w:rPr>
          <w:rFonts w:cs="Calibri"/>
        </w:rPr>
        <w:fldChar w:fldCharType="separate"/>
      </w:r>
      <w:r w:rsidR="00F50A98" w:rsidRPr="00A06DF7">
        <w:rPr>
          <w:rFonts w:cs="Calibri"/>
        </w:rPr>
        <w:t>(Lotto New Zealand, 2023)</w:t>
      </w:r>
      <w:r w:rsidR="00F50A98" w:rsidRPr="00A06DF7">
        <w:rPr>
          <w:rFonts w:cs="Calibri"/>
        </w:rPr>
        <w:fldChar w:fldCharType="end"/>
      </w:r>
      <w:r w:rsidR="00A038F7" w:rsidRPr="00A06DF7">
        <w:rPr>
          <w:rFonts w:cs="Calibri"/>
        </w:rPr>
        <w:t>.</w:t>
      </w:r>
      <w:r w:rsidR="004B630D" w:rsidRPr="00A06DF7">
        <w:rPr>
          <w:rFonts w:cs="Calibri"/>
        </w:rPr>
        <w:t xml:space="preserve"> </w:t>
      </w:r>
      <w:r w:rsidR="00D71CA0" w:rsidRPr="00A06DF7">
        <w:rPr>
          <w:rFonts w:cs="Calibri"/>
        </w:rPr>
        <w:t xml:space="preserve">Lotto </w:t>
      </w:r>
      <w:r w:rsidR="00486780" w:rsidRPr="00A06DF7">
        <w:rPr>
          <w:rFonts w:cs="Calibri"/>
        </w:rPr>
        <w:t>has</w:t>
      </w:r>
      <w:r w:rsidR="00D71CA0" w:rsidRPr="00A06DF7">
        <w:rPr>
          <w:rFonts w:cs="Calibri"/>
        </w:rPr>
        <w:t xml:space="preserve"> decreased the number of retail </w:t>
      </w:r>
      <w:r w:rsidR="00F41A97" w:rsidRPr="00A06DF7">
        <w:rPr>
          <w:rFonts w:cs="Calibri"/>
        </w:rPr>
        <w:t xml:space="preserve">outlets </w:t>
      </w:r>
      <w:r w:rsidR="00660E18" w:rsidRPr="00A06DF7">
        <w:rPr>
          <w:rFonts w:cs="Calibri"/>
        </w:rPr>
        <w:t>by about 21</w:t>
      </w:r>
      <w:r w:rsidR="00D9625C" w:rsidRPr="00A06DF7">
        <w:rPr>
          <w:rFonts w:cs="Calibri"/>
        </w:rPr>
        <w:t xml:space="preserve"> per cent</w:t>
      </w:r>
      <w:r w:rsidR="00660E18" w:rsidRPr="00A06DF7">
        <w:rPr>
          <w:rFonts w:cs="Calibri"/>
        </w:rPr>
        <w:t xml:space="preserve"> since 2020 </w:t>
      </w:r>
      <w:r w:rsidR="00C054B2" w:rsidRPr="00A06DF7">
        <w:rPr>
          <w:rFonts w:cs="Calibri"/>
        </w:rPr>
        <w:t xml:space="preserve">following criticism </w:t>
      </w:r>
      <w:r w:rsidR="004C1E32" w:rsidRPr="00A06DF7">
        <w:rPr>
          <w:rFonts w:cs="Calibri"/>
        </w:rPr>
        <w:t xml:space="preserve">for </w:t>
      </w:r>
      <w:r w:rsidR="001C2430" w:rsidRPr="00A06DF7">
        <w:rPr>
          <w:rFonts w:cs="Calibri"/>
        </w:rPr>
        <w:t>operating</w:t>
      </w:r>
      <w:r w:rsidR="004C1E32" w:rsidRPr="00A06DF7">
        <w:rPr>
          <w:rFonts w:cs="Calibri"/>
        </w:rPr>
        <w:t xml:space="preserve"> too many stores in </w:t>
      </w:r>
      <w:r w:rsidR="00601184" w:rsidRPr="00A06DF7">
        <w:rPr>
          <w:rFonts w:cs="Calibri"/>
        </w:rPr>
        <w:t>low-income</w:t>
      </w:r>
      <w:r w:rsidR="004C1E32" w:rsidRPr="00A06DF7">
        <w:rPr>
          <w:rFonts w:cs="Calibri"/>
        </w:rPr>
        <w:t xml:space="preserve"> areas</w:t>
      </w:r>
      <w:r w:rsidR="009102CB" w:rsidRPr="00A06DF7">
        <w:rPr>
          <w:rFonts w:cs="Calibri"/>
        </w:rPr>
        <w:t xml:space="preserve"> </w:t>
      </w:r>
      <w:r w:rsidR="009102CB" w:rsidRPr="00A06DF7">
        <w:rPr>
          <w:rFonts w:cs="Calibri"/>
        </w:rPr>
        <w:fldChar w:fldCharType="begin"/>
      </w:r>
      <w:r w:rsidR="00715B07" w:rsidRPr="00A06DF7">
        <w:rPr>
          <w:rFonts w:cs="Calibri"/>
        </w:rPr>
        <w:instrText xml:space="preserve"> ADDIN ZOTERO_ITEM CSL_CITATION {"citationID":"k6B2k23N","properties":{"formattedCitation":"(Espiner, 2022)","plainCitation":"(Espiner, 2022)","noteIndex":0},"citationItems":[{"id":1338,"uris":["http://zotero.org/users/11111291/items/9TMX8EPB"],"itemData":{"id":1338,"type":"article-newspaper","abstract":"An expert warns Lotto is impacting poor communities \"by stealth\" and says it has hidden in the shadows as the spotlight shone on pokies.","container-title":"Radio New Zealand","language":"en-nz","note":"section: In Depth","title":"Lotto stores in poorest half of NZ account for 70% of sales","URL":"https://www.rnz.co.nz/news/in-depth/474134/lotto-stores-in-poorest-half-of-nz-account-for-70-percent-of-sales","author":[{"family":"Espiner","given":"Guyon"}],"accessed":{"date-parts":[["2023",11,29]]},"issued":{"date-parts":[["2022"]]}}}],"schema":"https://github.com/citation-style-language/schema/raw/master/csl-citation.json"} </w:instrText>
      </w:r>
      <w:r w:rsidR="009102CB" w:rsidRPr="00A06DF7">
        <w:rPr>
          <w:rFonts w:cs="Calibri"/>
        </w:rPr>
        <w:fldChar w:fldCharType="separate"/>
      </w:r>
      <w:r w:rsidR="009102CB" w:rsidRPr="00A06DF7">
        <w:rPr>
          <w:rFonts w:cs="Calibri"/>
        </w:rPr>
        <w:t>(Espiner, 2022)</w:t>
      </w:r>
      <w:r w:rsidR="009102CB" w:rsidRPr="00A06DF7">
        <w:rPr>
          <w:rFonts w:cs="Calibri"/>
        </w:rPr>
        <w:fldChar w:fldCharType="end"/>
      </w:r>
      <w:r w:rsidR="001C3757" w:rsidRPr="00A06DF7">
        <w:rPr>
          <w:rFonts w:cs="Calibri"/>
        </w:rPr>
        <w:t>.</w:t>
      </w:r>
      <w:r w:rsidR="00716C96" w:rsidRPr="00A06DF7">
        <w:rPr>
          <w:rFonts w:cs="Calibri"/>
        </w:rPr>
        <w:t xml:space="preserve"> </w:t>
      </w:r>
      <w:r w:rsidR="001C3757" w:rsidRPr="00A06DF7">
        <w:rPr>
          <w:rFonts w:cs="Calibri"/>
        </w:rPr>
        <w:t>However,</w:t>
      </w:r>
      <w:r w:rsidR="005C6A43" w:rsidRPr="00A06DF7">
        <w:rPr>
          <w:rFonts w:cs="Calibri"/>
        </w:rPr>
        <w:t xml:space="preserve"> </w:t>
      </w:r>
      <w:r w:rsidR="006A6F88" w:rsidRPr="00A06DF7">
        <w:rPr>
          <w:rFonts w:cs="Calibri"/>
        </w:rPr>
        <w:t>growing</w:t>
      </w:r>
      <w:r w:rsidR="005C6A43" w:rsidRPr="00A06DF7">
        <w:rPr>
          <w:rFonts w:cs="Calibri"/>
        </w:rPr>
        <w:t xml:space="preserve"> profits </w:t>
      </w:r>
      <w:r w:rsidR="00EB1278" w:rsidRPr="00A06DF7">
        <w:rPr>
          <w:rFonts w:cs="Calibri"/>
        </w:rPr>
        <w:t xml:space="preserve">despite this reduction </w:t>
      </w:r>
      <w:r w:rsidR="00486780" w:rsidRPr="00A06DF7">
        <w:rPr>
          <w:rFonts w:cs="Calibri"/>
        </w:rPr>
        <w:t>are</w:t>
      </w:r>
      <w:r w:rsidR="00EB1278" w:rsidRPr="00A06DF7">
        <w:rPr>
          <w:rFonts w:cs="Calibri"/>
        </w:rPr>
        <w:t xml:space="preserve"> a result of a shift to</w:t>
      </w:r>
      <w:r w:rsidR="00786CA0" w:rsidRPr="00A06DF7">
        <w:rPr>
          <w:rFonts w:cs="Calibri"/>
        </w:rPr>
        <w:t>wards</w:t>
      </w:r>
      <w:r w:rsidR="006A6F88" w:rsidRPr="00A06DF7">
        <w:rPr>
          <w:rFonts w:cs="Calibri"/>
        </w:rPr>
        <w:t xml:space="preserve"> </w:t>
      </w:r>
      <w:r w:rsidR="00786CA0" w:rsidRPr="00A06DF7">
        <w:rPr>
          <w:rFonts w:cs="Calibri"/>
        </w:rPr>
        <w:t>online gambling services</w:t>
      </w:r>
      <w:r w:rsidR="006A6F88" w:rsidRPr="00A06DF7">
        <w:rPr>
          <w:rFonts w:cs="Calibri"/>
        </w:rPr>
        <w:t>.</w:t>
      </w:r>
      <w:r w:rsidR="00C977FB" w:rsidRPr="00A06DF7">
        <w:rPr>
          <w:rFonts w:cs="Calibri"/>
        </w:rPr>
        <w:t xml:space="preserve"> The proportion of </w:t>
      </w:r>
      <w:r w:rsidR="00D70886" w:rsidRPr="00A06DF7">
        <w:rPr>
          <w:rFonts w:cs="Calibri"/>
        </w:rPr>
        <w:t>online sales to total revenue has increased from 31</w:t>
      </w:r>
      <w:r w:rsidR="00D9625C" w:rsidRPr="00A06DF7">
        <w:rPr>
          <w:rFonts w:cs="Calibri"/>
        </w:rPr>
        <w:t xml:space="preserve"> per cent</w:t>
      </w:r>
      <w:r w:rsidR="00D70886" w:rsidRPr="00A06DF7">
        <w:rPr>
          <w:rFonts w:cs="Calibri"/>
        </w:rPr>
        <w:t xml:space="preserve"> in 2019/20</w:t>
      </w:r>
      <w:r w:rsidR="009102CB" w:rsidRPr="00A06DF7">
        <w:rPr>
          <w:rFonts w:cs="Calibri"/>
        </w:rPr>
        <w:t xml:space="preserve"> </w:t>
      </w:r>
      <w:r w:rsidR="009102CB" w:rsidRPr="00A06DF7">
        <w:rPr>
          <w:rFonts w:cs="Calibri"/>
        </w:rPr>
        <w:fldChar w:fldCharType="begin"/>
      </w:r>
      <w:r w:rsidR="00715B07" w:rsidRPr="00A06DF7">
        <w:rPr>
          <w:rFonts w:cs="Calibri"/>
        </w:rPr>
        <w:instrText xml:space="preserve"> ADDIN ZOTERO_ITEM CSL_CITATION {"citationID":"GC3FeIsv","properties":{"formattedCitation":"(Lotto New Zealand, 2020)","plainCitation":"(Lotto New Zealand, 2020)","noteIndex":0},"citationItems":[{"id":1337,"uris":["http://zotero.org/users/11111291/items/PUVF2CN4"],"itemData":{"id":1337,"type":"report","publisher":"New Zealand Lotteries Commission","title":"Annual Report 2019/20","URL":"https://assets.mylotto.co.nz/assets/uploads/71e5fae4-8738-11ee-a52e-005056af723d.pdf","author":[{"literal":"Lotto New Zealand"}],"issued":{"date-parts":[["2020"]]}}}],"schema":"https://github.com/citation-style-language/schema/raw/master/csl-citation.json"} </w:instrText>
      </w:r>
      <w:r w:rsidR="009102CB" w:rsidRPr="00A06DF7">
        <w:rPr>
          <w:rFonts w:cs="Calibri"/>
        </w:rPr>
        <w:fldChar w:fldCharType="separate"/>
      </w:r>
      <w:r w:rsidR="009102CB" w:rsidRPr="00A06DF7">
        <w:rPr>
          <w:rFonts w:cs="Calibri"/>
        </w:rPr>
        <w:t>(Lotto New Zealand, 2020)</w:t>
      </w:r>
      <w:r w:rsidR="009102CB" w:rsidRPr="00A06DF7">
        <w:rPr>
          <w:rFonts w:cs="Calibri"/>
        </w:rPr>
        <w:fldChar w:fldCharType="end"/>
      </w:r>
      <w:r w:rsidR="00D70886" w:rsidRPr="00A06DF7">
        <w:rPr>
          <w:rFonts w:cs="Calibri"/>
        </w:rPr>
        <w:t xml:space="preserve">, to </w:t>
      </w:r>
      <w:r w:rsidR="00F73436" w:rsidRPr="00A06DF7">
        <w:rPr>
          <w:rFonts w:cs="Calibri"/>
        </w:rPr>
        <w:t>44</w:t>
      </w:r>
      <w:r w:rsidR="00D9625C" w:rsidRPr="00A06DF7">
        <w:rPr>
          <w:rFonts w:cs="Calibri"/>
        </w:rPr>
        <w:t xml:space="preserve"> per cent</w:t>
      </w:r>
      <w:r w:rsidR="00F73436" w:rsidRPr="00A06DF7">
        <w:rPr>
          <w:rFonts w:cs="Calibri"/>
        </w:rPr>
        <w:t xml:space="preserve"> in 2022/23</w:t>
      </w:r>
      <w:r w:rsidR="00B13FDD" w:rsidRPr="00A06DF7">
        <w:rPr>
          <w:rFonts w:cs="Calibri"/>
        </w:rPr>
        <w:t xml:space="preserve"> </w:t>
      </w:r>
      <w:r w:rsidR="00B13FDD" w:rsidRPr="00A06DF7">
        <w:rPr>
          <w:rFonts w:cs="Calibri"/>
        </w:rPr>
        <w:fldChar w:fldCharType="begin"/>
      </w:r>
      <w:r w:rsidR="00715B07" w:rsidRPr="00A06DF7">
        <w:rPr>
          <w:rFonts w:cs="Calibri"/>
        </w:rPr>
        <w:instrText xml:space="preserve"> ADDIN ZOTERO_ITEM CSL_CITATION {"citationID":"J2nKRIKr","properties":{"formattedCitation":"(Lotto New Zealand, 2023)","plainCitation":"(Lotto New Zealand, 2023)","noteIndex":0},"citationItems":[{"id":1336,"uris":["http://zotero.org/users/11111291/items/84T8EE2S"],"itemData":{"id":1336,"type":"report","publisher":"New Zealand Lotteries Commission","title":"Annual Report 2022/23","URL":"https://assets.mylotto.co.nz/assets/uploads/97054b86-8738-11ee-878a-005056af723d.pdf","author":[{"literal":"Lotto New Zealand"}],"issued":{"date-parts":[["2023"]]}}}],"schema":"https://github.com/citation-style-language/schema/raw/master/csl-citation.json"} </w:instrText>
      </w:r>
      <w:r w:rsidR="00B13FDD" w:rsidRPr="00A06DF7">
        <w:rPr>
          <w:rFonts w:cs="Calibri"/>
        </w:rPr>
        <w:fldChar w:fldCharType="separate"/>
      </w:r>
      <w:r w:rsidR="00B13FDD" w:rsidRPr="00A06DF7">
        <w:rPr>
          <w:rFonts w:cs="Calibri"/>
        </w:rPr>
        <w:t>(Lotto New Zealand, 2023)</w:t>
      </w:r>
      <w:r w:rsidR="00B13FDD" w:rsidRPr="00A06DF7">
        <w:rPr>
          <w:rFonts w:cs="Calibri"/>
        </w:rPr>
        <w:fldChar w:fldCharType="end"/>
      </w:r>
      <w:r w:rsidR="00F73436" w:rsidRPr="00A06DF7">
        <w:rPr>
          <w:rFonts w:cs="Calibri"/>
        </w:rPr>
        <w:t>.</w:t>
      </w:r>
      <w:r w:rsidR="00461E58" w:rsidRPr="00A06DF7">
        <w:rPr>
          <w:rFonts w:cs="Calibri"/>
        </w:rPr>
        <w:t xml:space="preserve"> Radio New Zealand reported that nearly 70</w:t>
      </w:r>
      <w:r w:rsidR="00D9625C" w:rsidRPr="00A06DF7">
        <w:rPr>
          <w:rFonts w:cs="Calibri"/>
        </w:rPr>
        <w:t xml:space="preserve"> per cent</w:t>
      </w:r>
      <w:r w:rsidR="00461E58" w:rsidRPr="00A06DF7">
        <w:rPr>
          <w:rFonts w:cs="Calibri"/>
        </w:rPr>
        <w:t xml:space="preserve"> of Lotto shop sales are made in the poorer half of the community</w:t>
      </w:r>
      <w:r w:rsidR="00B13FDD" w:rsidRPr="00A06DF7">
        <w:rPr>
          <w:rFonts w:cs="Calibri"/>
          <w:vertAlign w:val="superscript"/>
        </w:rPr>
        <w:t xml:space="preserve"> </w:t>
      </w:r>
      <w:r w:rsidR="00B13FDD" w:rsidRPr="00A06DF7">
        <w:rPr>
          <w:rFonts w:cs="Calibri"/>
          <w:vertAlign w:val="superscript"/>
        </w:rPr>
        <w:fldChar w:fldCharType="begin"/>
      </w:r>
      <w:r w:rsidR="00715B07" w:rsidRPr="00A06DF7">
        <w:rPr>
          <w:rFonts w:cs="Calibri"/>
          <w:vertAlign w:val="superscript"/>
        </w:rPr>
        <w:instrText xml:space="preserve"> ADDIN ZOTERO_ITEM CSL_CITATION {"citationID":"UcrBreML","properties":{"formattedCitation":"(Espiner, 2022)","plainCitation":"(Espiner, 2022)","noteIndex":0},"citationItems":[{"id":1338,"uris":["http://zotero.org/users/11111291/items/9TMX8EPB"],"itemData":{"id":1338,"type":"article-newspaper","abstract":"An expert warns Lotto is impacting poor communities \"by stealth\" and says it has hidden in the shadows as the spotlight shone on pokies.","container-title":"Radio New Zealand","language":"en-nz","note":"section: In Depth","title":"Lotto stores in poorest half of NZ account for 70% of sales","URL":"https://www.rnz.co.nz/news/in-depth/474134/lotto-stores-in-poorest-half-of-nz-account-for-70-percent-of-sales","author":[{"family":"Espiner","given":"Guyon"}],"accessed":{"date-parts":[["2023",11,29]]},"issued":{"date-parts":[["2022"]]}}}],"schema":"https://github.com/citation-style-language/schema/raw/master/csl-citation.json"} </w:instrText>
      </w:r>
      <w:r w:rsidR="00B13FDD" w:rsidRPr="00A06DF7">
        <w:rPr>
          <w:rFonts w:cs="Calibri"/>
          <w:vertAlign w:val="superscript"/>
        </w:rPr>
        <w:fldChar w:fldCharType="separate"/>
      </w:r>
      <w:r w:rsidR="00B13FDD" w:rsidRPr="00A06DF7">
        <w:rPr>
          <w:rFonts w:cs="Calibri"/>
        </w:rPr>
        <w:t>(Espiner, 2022)</w:t>
      </w:r>
      <w:r w:rsidR="00B13FDD" w:rsidRPr="00A06DF7">
        <w:rPr>
          <w:rFonts w:cs="Calibri"/>
          <w:vertAlign w:val="superscript"/>
        </w:rPr>
        <w:fldChar w:fldCharType="end"/>
      </w:r>
      <w:r w:rsidR="0039223A" w:rsidRPr="00A06DF7">
        <w:rPr>
          <w:rFonts w:cs="Calibri"/>
        </w:rPr>
        <w:t xml:space="preserve">. The highest selling areas in 2021 </w:t>
      </w:r>
      <w:r w:rsidR="002A0130" w:rsidRPr="00A06DF7">
        <w:rPr>
          <w:rFonts w:cs="Calibri"/>
        </w:rPr>
        <w:t>were</w:t>
      </w:r>
      <w:r w:rsidR="002F697C" w:rsidRPr="00A06DF7">
        <w:rPr>
          <w:rFonts w:cs="Calibri"/>
        </w:rPr>
        <w:t xml:space="preserve"> </w:t>
      </w:r>
      <w:r w:rsidR="002A0130" w:rsidRPr="00A06DF7">
        <w:rPr>
          <w:rFonts w:cs="Calibri"/>
        </w:rPr>
        <w:t xml:space="preserve">Henderson-Massey </w:t>
      </w:r>
      <w:r w:rsidR="0069325B" w:rsidRPr="00A06DF7">
        <w:rPr>
          <w:rFonts w:cs="Calibri"/>
        </w:rPr>
        <w:t xml:space="preserve">(decile 8) </w:t>
      </w:r>
      <w:r w:rsidR="002A0130" w:rsidRPr="00A06DF7">
        <w:rPr>
          <w:rFonts w:cs="Calibri"/>
        </w:rPr>
        <w:t xml:space="preserve">and </w:t>
      </w:r>
      <w:r w:rsidR="001E529C" w:rsidRPr="00A06DF7">
        <w:rPr>
          <w:rFonts w:cs="Calibri"/>
          <w:lang w:val="en-AU"/>
        </w:rPr>
        <w:t>Ōtara</w:t>
      </w:r>
      <w:r w:rsidR="002A0130" w:rsidRPr="00A06DF7">
        <w:rPr>
          <w:rFonts w:cs="Calibri"/>
        </w:rPr>
        <w:t>-Papatoetoe</w:t>
      </w:r>
      <w:r w:rsidR="0069325B" w:rsidRPr="00A06DF7">
        <w:rPr>
          <w:rFonts w:cs="Calibri"/>
        </w:rPr>
        <w:t xml:space="preserve"> (decile 9)</w:t>
      </w:r>
      <w:r w:rsidR="008F554E" w:rsidRPr="00A06DF7">
        <w:rPr>
          <w:rFonts w:cs="Calibri"/>
        </w:rPr>
        <w:t xml:space="preserve">, with spending totalling $26 million and $24 million respectively. </w:t>
      </w:r>
      <w:r w:rsidR="00FB418D" w:rsidRPr="00A06DF7">
        <w:rPr>
          <w:rFonts w:cs="Calibri"/>
        </w:rPr>
        <w:t xml:space="preserve">A higher concentration of retail outlets in </w:t>
      </w:r>
      <w:r w:rsidR="00AD228A" w:rsidRPr="00A06DF7">
        <w:rPr>
          <w:rFonts w:cs="Calibri"/>
        </w:rPr>
        <w:t xml:space="preserve">lower socioeconomic </w:t>
      </w:r>
      <w:r w:rsidR="00FB418D" w:rsidRPr="00A06DF7">
        <w:rPr>
          <w:rFonts w:cs="Calibri"/>
        </w:rPr>
        <w:t xml:space="preserve">communities </w:t>
      </w:r>
      <w:r w:rsidR="00E732BD" w:rsidRPr="00A06DF7">
        <w:rPr>
          <w:rFonts w:cs="Calibri"/>
        </w:rPr>
        <w:t xml:space="preserve">exploits the </w:t>
      </w:r>
      <w:r w:rsidR="009B25A1" w:rsidRPr="00A06DF7">
        <w:rPr>
          <w:rFonts w:cs="Calibri"/>
        </w:rPr>
        <w:t>high</w:t>
      </w:r>
      <w:r w:rsidR="005A0C67" w:rsidRPr="00A06DF7">
        <w:rPr>
          <w:rFonts w:cs="Calibri"/>
        </w:rPr>
        <w:t>er</w:t>
      </w:r>
      <w:r w:rsidR="009B25A1" w:rsidRPr="00A06DF7">
        <w:rPr>
          <w:rFonts w:cs="Calibri"/>
        </w:rPr>
        <w:t xml:space="preserve"> demand</w:t>
      </w:r>
      <w:r w:rsidR="00727ACC" w:rsidRPr="00A06DF7">
        <w:rPr>
          <w:rFonts w:cs="Calibri"/>
        </w:rPr>
        <w:t xml:space="preserve"> and susceptibility </w:t>
      </w:r>
      <w:r w:rsidR="006E4D2B" w:rsidRPr="00A06DF7">
        <w:rPr>
          <w:rFonts w:cs="Calibri"/>
        </w:rPr>
        <w:t xml:space="preserve">of problematic gambling, and Lotto </w:t>
      </w:r>
      <w:r w:rsidR="000864F8" w:rsidRPr="00A06DF7">
        <w:rPr>
          <w:rFonts w:cs="Calibri"/>
        </w:rPr>
        <w:t>ha</w:t>
      </w:r>
      <w:r w:rsidR="0025639E" w:rsidRPr="00A06DF7">
        <w:rPr>
          <w:rFonts w:cs="Calibri"/>
        </w:rPr>
        <w:t>s</w:t>
      </w:r>
      <w:r w:rsidR="000864F8" w:rsidRPr="00A06DF7">
        <w:rPr>
          <w:rFonts w:cs="Calibri"/>
        </w:rPr>
        <w:t xml:space="preserve"> set targets of reducing </w:t>
      </w:r>
      <w:r w:rsidR="009B38DC" w:rsidRPr="00A06DF7">
        <w:rPr>
          <w:rFonts w:cs="Calibri"/>
        </w:rPr>
        <w:t>the number of stores in high deprivation areas.</w:t>
      </w:r>
      <w:r w:rsidR="00AB46CC" w:rsidRPr="00A06DF7">
        <w:rPr>
          <w:rFonts w:cs="Calibri"/>
        </w:rPr>
        <w:t xml:space="preserve"> </w:t>
      </w:r>
    </w:p>
    <w:p w14:paraId="14FAE000" w14:textId="066462AC" w:rsidR="00BA4E06" w:rsidRPr="00A06DF7" w:rsidRDefault="00BA4E06" w:rsidP="00BA4E06">
      <w:pPr>
        <w:rPr>
          <w:rFonts w:cs="Calibri"/>
          <w:lang w:val="en-AU"/>
        </w:rPr>
      </w:pPr>
      <w:r w:rsidRPr="00A06DF7">
        <w:rPr>
          <w:rFonts w:cs="Calibri"/>
          <w:b/>
          <w:bCs/>
          <w:lang w:val="en-AU"/>
        </w:rPr>
        <w:t>Class 4 EGMs</w:t>
      </w:r>
      <w:r w:rsidR="00A06DF7" w:rsidRPr="00A06DF7">
        <w:rPr>
          <w:rFonts w:cs="Calibri"/>
          <w:b/>
          <w:bCs/>
          <w:lang w:val="en-AU"/>
        </w:rPr>
        <w:t xml:space="preserve">: </w:t>
      </w:r>
      <w:r w:rsidR="005752B8" w:rsidRPr="00A06DF7">
        <w:rPr>
          <w:rFonts w:cs="Calibri"/>
          <w:lang w:val="en-AU"/>
        </w:rPr>
        <w:t>The</w:t>
      </w:r>
      <w:r w:rsidR="00F05910" w:rsidRPr="00A06DF7">
        <w:rPr>
          <w:rFonts w:cs="Calibri"/>
          <w:lang w:val="en-AU"/>
        </w:rPr>
        <w:t xml:space="preserve"> number of Class 4 </w:t>
      </w:r>
      <w:r w:rsidR="00B62432" w:rsidRPr="00A06DF7">
        <w:rPr>
          <w:rFonts w:cs="Calibri"/>
          <w:lang w:val="en-AU"/>
        </w:rPr>
        <w:t>EGMs</w:t>
      </w:r>
      <w:r w:rsidR="00CF55A4" w:rsidRPr="00A06DF7">
        <w:rPr>
          <w:rFonts w:cs="Calibri"/>
          <w:lang w:val="en-AU"/>
        </w:rPr>
        <w:t xml:space="preserve"> and venues in New Zealand </w:t>
      </w:r>
      <w:r w:rsidR="00D90383" w:rsidRPr="00A06DF7">
        <w:rPr>
          <w:rFonts w:cs="Calibri"/>
          <w:lang w:val="en-AU"/>
        </w:rPr>
        <w:t>has continued to decline</w:t>
      </w:r>
      <w:r w:rsidR="00CF55A4" w:rsidRPr="00A06DF7">
        <w:rPr>
          <w:rFonts w:cs="Calibri"/>
          <w:lang w:val="en-AU"/>
        </w:rPr>
        <w:t xml:space="preserve"> as shown in </w:t>
      </w:r>
      <w:r w:rsidR="00FC6962" w:rsidRPr="00A06DF7">
        <w:rPr>
          <w:rFonts w:cs="Calibri"/>
          <w:lang w:val="en-AU"/>
        </w:rPr>
        <w:fldChar w:fldCharType="begin"/>
      </w:r>
      <w:r w:rsidR="00FC6962" w:rsidRPr="00A06DF7">
        <w:rPr>
          <w:rFonts w:cs="Calibri"/>
          <w:lang w:val="en-AU"/>
        </w:rPr>
        <w:instrText xml:space="preserve"> REF _Ref152079321 \h </w:instrText>
      </w:r>
      <w:r w:rsidR="00A06DF7">
        <w:rPr>
          <w:rFonts w:cs="Calibri"/>
          <w:lang w:val="en-AU"/>
        </w:rPr>
        <w:instrText xml:space="preserve"> \* MERGEFORMAT </w:instrText>
      </w:r>
      <w:r w:rsidR="00FC6962" w:rsidRPr="00A06DF7">
        <w:rPr>
          <w:rFonts w:cs="Calibri"/>
          <w:lang w:val="en-AU"/>
        </w:rPr>
      </w:r>
      <w:r w:rsidR="00FC6962" w:rsidRPr="00A06DF7">
        <w:rPr>
          <w:rFonts w:cs="Calibri"/>
          <w:lang w:val="en-AU"/>
        </w:rPr>
        <w:fldChar w:fldCharType="separate"/>
      </w:r>
      <w:r w:rsidR="004F4DA7" w:rsidRPr="004F4DA7">
        <w:rPr>
          <w:rFonts w:cs="Calibri"/>
        </w:rPr>
        <w:t xml:space="preserve">Figure </w:t>
      </w:r>
      <w:r w:rsidR="004F4DA7" w:rsidRPr="004F4DA7">
        <w:rPr>
          <w:rFonts w:cs="Calibri"/>
          <w:noProof/>
        </w:rPr>
        <w:t>3</w:t>
      </w:r>
      <w:r w:rsidR="00FC6962" w:rsidRPr="00A06DF7">
        <w:rPr>
          <w:rFonts w:cs="Calibri"/>
          <w:lang w:val="en-AU"/>
        </w:rPr>
        <w:fldChar w:fldCharType="end"/>
      </w:r>
      <w:r w:rsidR="00BD2D7B" w:rsidRPr="00A06DF7">
        <w:rPr>
          <w:rFonts w:cs="Calibri"/>
          <w:lang w:val="en-AU"/>
        </w:rPr>
        <w:t xml:space="preserve"> and </w:t>
      </w:r>
      <w:r w:rsidR="00FC6962" w:rsidRPr="00A06DF7">
        <w:rPr>
          <w:rFonts w:cs="Calibri"/>
          <w:lang w:val="en-AU"/>
        </w:rPr>
        <w:fldChar w:fldCharType="begin"/>
      </w:r>
      <w:r w:rsidR="00FC6962" w:rsidRPr="00A06DF7">
        <w:rPr>
          <w:rFonts w:cs="Calibri"/>
          <w:lang w:val="en-AU"/>
        </w:rPr>
        <w:instrText xml:space="preserve"> REF _Ref152079323 \h </w:instrText>
      </w:r>
      <w:r w:rsidR="00A06DF7">
        <w:rPr>
          <w:rFonts w:cs="Calibri"/>
          <w:lang w:val="en-AU"/>
        </w:rPr>
        <w:instrText xml:space="preserve"> \* MERGEFORMAT </w:instrText>
      </w:r>
      <w:r w:rsidR="00FC6962" w:rsidRPr="00A06DF7">
        <w:rPr>
          <w:rFonts w:cs="Calibri"/>
          <w:lang w:val="en-AU"/>
        </w:rPr>
      </w:r>
      <w:r w:rsidR="00FC6962" w:rsidRPr="00A06DF7">
        <w:rPr>
          <w:rFonts w:cs="Calibri"/>
          <w:lang w:val="en-AU"/>
        </w:rPr>
        <w:fldChar w:fldCharType="separate"/>
      </w:r>
      <w:r w:rsidR="004F4DA7" w:rsidRPr="004F4DA7">
        <w:rPr>
          <w:rFonts w:cs="Calibri"/>
          <w:noProof/>
        </w:rPr>
        <w:t>Figure</w:t>
      </w:r>
      <w:r w:rsidR="004F4DA7">
        <w:t xml:space="preserve"> </w:t>
      </w:r>
      <w:r w:rsidR="004F4DA7">
        <w:rPr>
          <w:noProof/>
        </w:rPr>
        <w:t>4</w:t>
      </w:r>
      <w:r w:rsidR="00FC6962" w:rsidRPr="00A06DF7">
        <w:rPr>
          <w:rFonts w:cs="Calibri"/>
          <w:lang w:val="en-AU"/>
        </w:rPr>
        <w:fldChar w:fldCharType="end"/>
      </w:r>
      <w:r w:rsidR="00795005" w:rsidRPr="00A06DF7">
        <w:rPr>
          <w:rFonts w:cs="Calibri"/>
          <w:lang w:val="en-AU"/>
        </w:rPr>
        <w:t xml:space="preserve"> </w:t>
      </w:r>
      <w:r w:rsidR="000815FB" w:rsidRPr="00A06DF7">
        <w:rPr>
          <w:rFonts w:cs="Calibri"/>
          <w:lang w:val="en-AU"/>
        </w:rPr>
        <w:fldChar w:fldCharType="begin"/>
      </w:r>
      <w:r w:rsidR="00715B07" w:rsidRPr="00A06DF7">
        <w:rPr>
          <w:rFonts w:cs="Calibri"/>
          <w:lang w:val="en-AU"/>
        </w:rPr>
        <w:instrText xml:space="preserve"> ADDIN ZOTERO_ITEM CSL_CITATION {"citationID":"JbAIT6pS","properties":{"formattedCitation":"(Department of Internal Affairs, 2023c)","plainCitation":"(Department of Internal Affairs, 2023c)","noteIndex":0},"citationItems":[{"id":1340,"uris":["http://zotero.org/users/11111291/items/6IGEKFY8"],"itemData":{"id":1340,"type":"dataset","title":"GMP Dashboard","URL":"https://www.dia.govt.nz/gambling-statistics-gmp-dashboard","author":[{"literal":"Department of Internal Affairs"}],"issued":{"date-parts":[["2023"]]}}}],"schema":"https://github.com/citation-style-language/schema/raw/master/csl-citation.json"} </w:instrText>
      </w:r>
      <w:r w:rsidR="000815FB" w:rsidRPr="00A06DF7">
        <w:rPr>
          <w:rFonts w:cs="Calibri"/>
          <w:lang w:val="en-AU"/>
        </w:rPr>
        <w:fldChar w:fldCharType="separate"/>
      </w:r>
      <w:r w:rsidR="00252AA4" w:rsidRPr="00A06DF7">
        <w:rPr>
          <w:rFonts w:cs="Calibri"/>
        </w:rPr>
        <w:t>(Department of Internal Affairs, 2023c)</w:t>
      </w:r>
      <w:r w:rsidR="000815FB" w:rsidRPr="00A06DF7">
        <w:rPr>
          <w:rFonts w:cs="Calibri"/>
          <w:lang w:val="en-AU"/>
        </w:rPr>
        <w:fldChar w:fldCharType="end"/>
      </w:r>
      <w:r w:rsidR="00157C53" w:rsidRPr="00A06DF7">
        <w:rPr>
          <w:rFonts w:cs="Calibri"/>
          <w:lang w:val="en-AU"/>
        </w:rPr>
        <w:t>.</w:t>
      </w:r>
    </w:p>
    <w:p w14:paraId="5C69A89A" w14:textId="261C6DF6" w:rsidR="00CF55A4" w:rsidRDefault="00CF55A4" w:rsidP="00CF55A4">
      <w:pPr>
        <w:pStyle w:val="Caption"/>
      </w:pPr>
      <w:bookmarkStart w:id="94" w:name="_Ref152079321"/>
      <w:bookmarkStart w:id="95" w:name="_Toc166580298"/>
      <w:r>
        <w:t xml:space="preserve">Figure </w:t>
      </w:r>
      <w:r>
        <w:fldChar w:fldCharType="begin"/>
      </w:r>
      <w:r>
        <w:instrText>SEQ Figure \* ARABIC</w:instrText>
      </w:r>
      <w:r>
        <w:fldChar w:fldCharType="separate"/>
      </w:r>
      <w:r w:rsidR="004F4DA7">
        <w:rPr>
          <w:noProof/>
        </w:rPr>
        <w:t>3</w:t>
      </w:r>
      <w:r>
        <w:fldChar w:fldCharType="end"/>
      </w:r>
      <w:bookmarkEnd w:id="94"/>
      <w:r w:rsidR="009410B0">
        <w:t xml:space="preserve">: </w:t>
      </w:r>
      <w:r w:rsidR="001A62A1">
        <w:t xml:space="preserve">Number of Class 4 EGMs in NZ </w:t>
      </w:r>
      <w:r w:rsidR="00C16C67">
        <w:t>(DIA, 2023)</w:t>
      </w:r>
      <w:bookmarkEnd w:id="95"/>
    </w:p>
    <w:p w14:paraId="70C7C699" w14:textId="1EE7FE35" w:rsidR="001A62A1" w:rsidRPr="001A62A1" w:rsidRDefault="001A62A1" w:rsidP="000271F5">
      <w:pPr>
        <w:rPr>
          <w:lang w:val="en-AU"/>
        </w:rPr>
      </w:pPr>
      <w:r>
        <w:rPr>
          <w:noProof/>
        </w:rPr>
        <w:drawing>
          <wp:inline distT="0" distB="0" distL="0" distR="0" wp14:anchorId="45100029" wp14:editId="4DF420FD">
            <wp:extent cx="5731510" cy="2606040"/>
            <wp:effectExtent l="0" t="0" r="2540" b="3810"/>
            <wp:docPr id="5" name="Graphic 5" descr="A bar chart showing the number of Class 4 electronic gaming machines and venu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A bar chart showing the number of Class 4 electronic gaming machines and venues over time"/>
                    <pic:cNvPicPr/>
                  </pic:nvPicPr>
                  <pic:blipFill>
                    <a:blip r:embed="rId21">
                      <a:extLst>
                        <a:ext uri="{96DAC541-7B7A-43D3-8B79-37D633B846F1}">
                          <asvg:svgBlip xmlns:asvg="http://schemas.microsoft.com/office/drawing/2016/SVG/main" r:embed="rId22"/>
                        </a:ext>
                      </a:extLst>
                    </a:blip>
                    <a:stretch>
                      <a:fillRect/>
                    </a:stretch>
                  </pic:blipFill>
                  <pic:spPr>
                    <a:xfrm>
                      <a:off x="0" y="0"/>
                      <a:ext cx="5731510" cy="2606040"/>
                    </a:xfrm>
                    <a:prstGeom prst="rect">
                      <a:avLst/>
                    </a:prstGeom>
                  </pic:spPr>
                </pic:pic>
              </a:graphicData>
            </a:graphic>
          </wp:inline>
        </w:drawing>
      </w:r>
    </w:p>
    <w:p w14:paraId="4E20CE5A" w14:textId="364591A6" w:rsidR="00122CAD" w:rsidRDefault="001A62A1" w:rsidP="001A62A1">
      <w:pPr>
        <w:pStyle w:val="Caption"/>
      </w:pPr>
      <w:bookmarkStart w:id="96" w:name="_Ref152079323"/>
      <w:bookmarkStart w:id="97" w:name="_Toc166580299"/>
      <w:r>
        <w:lastRenderedPageBreak/>
        <w:t xml:space="preserve">Figure </w:t>
      </w:r>
      <w:r>
        <w:fldChar w:fldCharType="begin"/>
      </w:r>
      <w:r>
        <w:instrText>SEQ Figure \* ARABIC</w:instrText>
      </w:r>
      <w:r>
        <w:fldChar w:fldCharType="separate"/>
      </w:r>
      <w:r w:rsidR="004F4DA7">
        <w:rPr>
          <w:noProof/>
        </w:rPr>
        <w:t>4</w:t>
      </w:r>
      <w:r>
        <w:fldChar w:fldCharType="end"/>
      </w:r>
      <w:bookmarkEnd w:id="96"/>
      <w:r w:rsidR="009410B0">
        <w:t xml:space="preserve">: </w:t>
      </w:r>
      <w:r>
        <w:t>Number of Class 4 venues in NZ</w:t>
      </w:r>
      <w:r w:rsidR="00C16C67">
        <w:t xml:space="preserve"> (DIA, 2023)</w:t>
      </w:r>
      <w:bookmarkEnd w:id="97"/>
    </w:p>
    <w:p w14:paraId="71102A16" w14:textId="2B282464" w:rsidR="001A62A1" w:rsidRPr="001A62A1" w:rsidRDefault="00FC6962" w:rsidP="000271F5">
      <w:pPr>
        <w:spacing w:after="0"/>
      </w:pPr>
      <w:r>
        <w:rPr>
          <w:noProof/>
        </w:rPr>
        <w:drawing>
          <wp:inline distT="0" distB="0" distL="0" distR="0" wp14:anchorId="3E08C7ED" wp14:editId="44F7061E">
            <wp:extent cx="5731510" cy="2600960"/>
            <wp:effectExtent l="0" t="0" r="2540" b="8890"/>
            <wp:docPr id="6" name="Graphic 6" descr="A bar chart showing the number of electronic gaming machin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A bar chart showing the number of electronic gaming machines over time"/>
                    <pic:cNvPicPr/>
                  </pic:nvPicPr>
                  <pic:blipFill>
                    <a:blip r:embed="rId23">
                      <a:extLst>
                        <a:ext uri="{96DAC541-7B7A-43D3-8B79-37D633B846F1}">
                          <asvg:svgBlip xmlns:asvg="http://schemas.microsoft.com/office/drawing/2016/SVG/main" r:embed="rId24"/>
                        </a:ext>
                      </a:extLst>
                    </a:blip>
                    <a:stretch>
                      <a:fillRect/>
                    </a:stretch>
                  </pic:blipFill>
                  <pic:spPr>
                    <a:xfrm>
                      <a:off x="0" y="0"/>
                      <a:ext cx="5731510" cy="2600960"/>
                    </a:xfrm>
                    <a:prstGeom prst="rect">
                      <a:avLst/>
                    </a:prstGeom>
                  </pic:spPr>
                </pic:pic>
              </a:graphicData>
            </a:graphic>
          </wp:inline>
        </w:drawing>
      </w:r>
    </w:p>
    <w:p w14:paraId="6D0EB8E2" w14:textId="5A3F1053" w:rsidR="00630229" w:rsidRPr="00A06DF7" w:rsidRDefault="000A6A74" w:rsidP="00A74A5D">
      <w:pPr>
        <w:rPr>
          <w:rFonts w:cs="Calibri"/>
        </w:rPr>
      </w:pPr>
      <w:bookmarkStart w:id="98" w:name="_Toc65250304"/>
      <w:bookmarkStart w:id="99" w:name="_Toc76469779"/>
      <w:r w:rsidRPr="00A06DF7">
        <w:rPr>
          <w:rFonts w:cs="Calibri"/>
        </w:rPr>
        <w:t>Based on the</w:t>
      </w:r>
      <w:r w:rsidR="00B85AC6" w:rsidRPr="00A06DF7">
        <w:rPr>
          <w:rFonts w:cs="Calibri"/>
        </w:rPr>
        <w:t xml:space="preserve"> </w:t>
      </w:r>
      <w:r w:rsidRPr="00A06DF7">
        <w:rPr>
          <w:rFonts w:cs="Calibri"/>
        </w:rPr>
        <w:t>data in</w:t>
      </w:r>
      <w:r w:rsidR="006C6530" w:rsidRPr="00A06DF7">
        <w:rPr>
          <w:rFonts w:cs="Calibri"/>
        </w:rPr>
        <w:t xml:space="preserve"> June 2023, there were </w:t>
      </w:r>
      <w:r w:rsidR="00E43967" w:rsidRPr="00A06DF7">
        <w:rPr>
          <w:rFonts w:cs="Calibri"/>
        </w:rPr>
        <w:t xml:space="preserve">473 </w:t>
      </w:r>
      <w:r w:rsidR="00512812" w:rsidRPr="00A06DF7">
        <w:rPr>
          <w:rFonts w:cs="Calibri"/>
        </w:rPr>
        <w:t>fewer</w:t>
      </w:r>
      <w:r w:rsidR="00E43967" w:rsidRPr="00A06DF7">
        <w:rPr>
          <w:rFonts w:cs="Calibri"/>
        </w:rPr>
        <w:t xml:space="preserve"> EGMs than </w:t>
      </w:r>
      <w:r w:rsidRPr="00A06DF7">
        <w:rPr>
          <w:rFonts w:cs="Calibri"/>
        </w:rPr>
        <w:t>in June 2020</w:t>
      </w:r>
      <w:r w:rsidR="00C70684" w:rsidRPr="00A06DF7">
        <w:rPr>
          <w:rFonts w:cs="Calibri"/>
        </w:rPr>
        <w:t xml:space="preserve"> (14,847 to </w:t>
      </w:r>
      <w:r w:rsidR="00FB05E1" w:rsidRPr="00A06DF7">
        <w:rPr>
          <w:rFonts w:cs="Calibri"/>
        </w:rPr>
        <w:t>14,374)</w:t>
      </w:r>
      <w:r w:rsidRPr="00A06DF7">
        <w:rPr>
          <w:rFonts w:cs="Calibri"/>
        </w:rPr>
        <w:t xml:space="preserve">. Similarly, </w:t>
      </w:r>
      <w:r w:rsidR="00D6411E" w:rsidRPr="00A06DF7">
        <w:rPr>
          <w:rFonts w:cs="Calibri"/>
        </w:rPr>
        <w:t xml:space="preserve">the number of Class 4 venues has reduced in the same </w:t>
      </w:r>
      <w:r w:rsidR="00512812" w:rsidRPr="00A06DF7">
        <w:rPr>
          <w:rFonts w:cs="Calibri"/>
        </w:rPr>
        <w:t>three-year</w:t>
      </w:r>
      <w:r w:rsidR="00D6411E" w:rsidRPr="00A06DF7">
        <w:rPr>
          <w:rFonts w:cs="Calibri"/>
        </w:rPr>
        <w:t xml:space="preserve"> period</w:t>
      </w:r>
      <w:r w:rsidR="006656F7" w:rsidRPr="00A06DF7">
        <w:rPr>
          <w:rFonts w:cs="Calibri"/>
        </w:rPr>
        <w:t xml:space="preserve"> by 59</w:t>
      </w:r>
      <w:r w:rsidR="00D6411E" w:rsidRPr="00A06DF7">
        <w:rPr>
          <w:rFonts w:cs="Calibri"/>
        </w:rPr>
        <w:t xml:space="preserve"> (</w:t>
      </w:r>
      <w:r w:rsidR="006656F7" w:rsidRPr="00A06DF7">
        <w:rPr>
          <w:rFonts w:cs="Calibri"/>
        </w:rPr>
        <w:t>1,074 to 1,015)</w:t>
      </w:r>
      <w:r w:rsidR="00512812" w:rsidRPr="00A06DF7">
        <w:rPr>
          <w:rFonts w:cs="Calibri"/>
        </w:rPr>
        <w:t xml:space="preserve">. </w:t>
      </w:r>
    </w:p>
    <w:p w14:paraId="2BC2D996" w14:textId="64747272" w:rsidR="00D51148" w:rsidRPr="00A06DF7" w:rsidRDefault="007118D0" w:rsidP="00F90F7A">
      <w:pPr>
        <w:rPr>
          <w:rFonts w:cs="Calibri"/>
          <w:lang w:val="en-AU"/>
        </w:rPr>
      </w:pPr>
      <w:r w:rsidRPr="00A06DF7">
        <w:rPr>
          <w:rFonts w:cs="Calibri"/>
          <w:b/>
          <w:bCs/>
          <w:lang w:val="en-AU"/>
        </w:rPr>
        <w:t>TAB New Zealand (TAB NZ)</w:t>
      </w:r>
      <w:r w:rsidR="00A06DF7" w:rsidRPr="00A06DF7">
        <w:rPr>
          <w:rFonts w:cs="Calibri"/>
          <w:b/>
          <w:bCs/>
          <w:lang w:val="en-AU"/>
        </w:rPr>
        <w:t xml:space="preserve">: </w:t>
      </w:r>
      <w:r w:rsidR="0065083B" w:rsidRPr="00A06DF7">
        <w:rPr>
          <w:rFonts w:cs="Calibri"/>
          <w:lang w:val="en-AU"/>
        </w:rPr>
        <w:t>TAB NZ</w:t>
      </w:r>
      <w:r w:rsidR="00863E45" w:rsidRPr="00A06DF7">
        <w:rPr>
          <w:rFonts w:cs="Calibri"/>
          <w:lang w:val="en-AU"/>
        </w:rPr>
        <w:t xml:space="preserve"> </w:t>
      </w:r>
      <w:r w:rsidR="0076392B" w:rsidRPr="00A06DF7">
        <w:rPr>
          <w:rFonts w:cs="Calibri"/>
          <w:lang w:val="en-AU"/>
        </w:rPr>
        <w:t xml:space="preserve">is a statutory monopoly for </w:t>
      </w:r>
      <w:r w:rsidR="00517ED6" w:rsidRPr="00A06DF7">
        <w:rPr>
          <w:rFonts w:cs="Calibri"/>
          <w:lang w:val="en-AU"/>
        </w:rPr>
        <w:t xml:space="preserve">sports betting </w:t>
      </w:r>
      <w:r w:rsidR="008616AD" w:rsidRPr="00A06DF7">
        <w:rPr>
          <w:rFonts w:cs="Calibri"/>
          <w:lang w:val="en-AU"/>
        </w:rPr>
        <w:t>and is regulated under the Racing Industry Act</w:t>
      </w:r>
      <w:r w:rsidR="00170B6A" w:rsidRPr="00A06DF7">
        <w:rPr>
          <w:rFonts w:cs="Calibri"/>
          <w:lang w:val="en-AU"/>
        </w:rPr>
        <w:t xml:space="preserve"> 2020</w:t>
      </w:r>
      <w:r w:rsidR="009D20B8" w:rsidRPr="00A06DF7">
        <w:rPr>
          <w:rFonts w:cs="Calibri"/>
          <w:lang w:val="en-AU"/>
        </w:rPr>
        <w:t xml:space="preserve">. </w:t>
      </w:r>
      <w:r w:rsidR="00A12E12" w:rsidRPr="00A06DF7">
        <w:rPr>
          <w:rFonts w:cs="Calibri"/>
          <w:lang w:val="en-AU"/>
        </w:rPr>
        <w:t xml:space="preserve">Total </w:t>
      </w:r>
      <w:r w:rsidR="007370D5" w:rsidRPr="00A06DF7">
        <w:rPr>
          <w:rFonts w:cs="Calibri"/>
          <w:lang w:val="en-AU"/>
        </w:rPr>
        <w:t xml:space="preserve"> turnover </w:t>
      </w:r>
      <w:r w:rsidR="00E546CD" w:rsidRPr="00A06DF7">
        <w:rPr>
          <w:rFonts w:cs="Calibri"/>
          <w:lang w:val="en-AU"/>
        </w:rPr>
        <w:t>was</w:t>
      </w:r>
      <w:r w:rsidR="007370D5" w:rsidRPr="00A06DF7">
        <w:rPr>
          <w:rFonts w:cs="Calibri"/>
          <w:lang w:val="en-AU"/>
        </w:rPr>
        <w:t xml:space="preserve"> $2,</w:t>
      </w:r>
      <w:r w:rsidR="001E4D0A">
        <w:rPr>
          <w:rFonts w:cs="Calibri"/>
          <w:lang w:val="en-AU"/>
        </w:rPr>
        <w:t>538</w:t>
      </w:r>
      <w:r w:rsidR="007370D5" w:rsidRPr="00A06DF7">
        <w:rPr>
          <w:rFonts w:cs="Calibri"/>
          <w:lang w:val="en-AU"/>
        </w:rPr>
        <w:t xml:space="preserve"> million in 2021/22</w:t>
      </w:r>
      <w:r w:rsidR="00C952FD">
        <w:rPr>
          <w:rFonts w:cs="Calibri"/>
          <w:lang w:val="en-AU"/>
        </w:rPr>
        <w:t xml:space="preserve"> </w:t>
      </w:r>
      <w:r w:rsidR="00C952FD">
        <w:rPr>
          <w:rFonts w:cs="Calibri"/>
          <w:lang w:val="en-AU"/>
        </w:rPr>
        <w:fldChar w:fldCharType="begin"/>
      </w:r>
      <w:r w:rsidR="00C952FD">
        <w:rPr>
          <w:rFonts w:cs="Calibri"/>
          <w:lang w:val="en-AU"/>
        </w:rPr>
        <w:instrText xml:space="preserve"> ADDIN ZOTERO_ITEM CSL_CITATION {"citationID":"zotLc80o","properties":{"formattedCitation":"(Department of Internal Affairs, 2023a)","plainCitation":"(Department of Internal Affairs, 2023a)","noteIndex":0},"citationItems":[{"id":1427,"uris":["http://zotero.org/users/11111291/items/S4F3RHNR"],"itemData":{"id":1427,"type":"dataset","title":"Annual Gambling Expenditure Statistics","URL":"https://catalogue.data.govt.nz/dataset/gambling-expenditure-statistics","author":[{"literal":"Department of Internal Affairs"}],"issued":{"date-parts":[["2023"]]}}}],"schema":"https://github.com/citation-style-language/schema/raw/master/csl-citation.json"} </w:instrText>
      </w:r>
      <w:r w:rsidR="00C952FD">
        <w:rPr>
          <w:rFonts w:cs="Calibri"/>
          <w:lang w:val="en-AU"/>
        </w:rPr>
        <w:fldChar w:fldCharType="separate"/>
      </w:r>
      <w:r w:rsidR="00C952FD" w:rsidRPr="00C952FD">
        <w:rPr>
          <w:rFonts w:cs="Calibri"/>
        </w:rPr>
        <w:t>(Department of Internal Affairs, 2023a)</w:t>
      </w:r>
      <w:r w:rsidR="00C952FD">
        <w:rPr>
          <w:rFonts w:cs="Calibri"/>
          <w:lang w:val="en-AU"/>
        </w:rPr>
        <w:fldChar w:fldCharType="end"/>
      </w:r>
      <w:r w:rsidR="00C57176" w:rsidRPr="00A06DF7">
        <w:rPr>
          <w:rStyle w:val="FootnoteReference"/>
          <w:rFonts w:cs="Calibri"/>
        </w:rPr>
        <w:footnoteReference w:id="19"/>
      </w:r>
      <w:r w:rsidR="00A12E12" w:rsidRPr="00A06DF7">
        <w:rPr>
          <w:rFonts w:cs="Calibri"/>
          <w:lang w:val="en-AU"/>
        </w:rPr>
        <w:t xml:space="preserve">, a </w:t>
      </w:r>
      <w:r w:rsidR="00C952FD">
        <w:rPr>
          <w:rFonts w:cs="Calibri"/>
          <w:lang w:val="en-AU"/>
        </w:rPr>
        <w:t>1</w:t>
      </w:r>
      <w:r w:rsidR="00D9625C" w:rsidRPr="00A06DF7">
        <w:rPr>
          <w:rFonts w:cs="Calibri"/>
          <w:lang w:val="en-AU"/>
        </w:rPr>
        <w:t xml:space="preserve"> per cent</w:t>
      </w:r>
      <w:r w:rsidR="00A12E12" w:rsidRPr="00A06DF7">
        <w:rPr>
          <w:rFonts w:cs="Calibri"/>
          <w:lang w:val="en-AU"/>
        </w:rPr>
        <w:t xml:space="preserve"> </w:t>
      </w:r>
      <w:r w:rsidR="00E546CD" w:rsidRPr="00A06DF7">
        <w:rPr>
          <w:rFonts w:cs="Calibri"/>
          <w:lang w:val="en-AU"/>
        </w:rPr>
        <w:t>decrease</w:t>
      </w:r>
      <w:r w:rsidR="00A12E12" w:rsidRPr="00A06DF7">
        <w:rPr>
          <w:rFonts w:cs="Calibri"/>
          <w:lang w:val="en-AU"/>
        </w:rPr>
        <w:t xml:space="preserve"> </w:t>
      </w:r>
      <w:r w:rsidR="00BF4ABB" w:rsidRPr="00A06DF7">
        <w:rPr>
          <w:rFonts w:cs="Calibri"/>
          <w:lang w:val="en-AU"/>
        </w:rPr>
        <w:t>from</w:t>
      </w:r>
      <w:r w:rsidR="00E546CD" w:rsidRPr="00A06DF7">
        <w:rPr>
          <w:rFonts w:cs="Calibri"/>
          <w:lang w:val="en-AU"/>
        </w:rPr>
        <w:t xml:space="preserve"> the</w:t>
      </w:r>
      <w:r w:rsidR="00A23334" w:rsidRPr="00A06DF7">
        <w:rPr>
          <w:rFonts w:cs="Calibri"/>
          <w:lang w:val="en-AU"/>
        </w:rPr>
        <w:t xml:space="preserve"> previous year, primarily due to COVID-related retail site closures</w:t>
      </w:r>
      <w:r w:rsidR="00214FC2" w:rsidRPr="00A06DF7">
        <w:rPr>
          <w:rFonts w:cs="Calibri"/>
          <w:lang w:val="en-AU"/>
        </w:rPr>
        <w:t xml:space="preserve"> </w:t>
      </w:r>
      <w:r w:rsidR="00E06819" w:rsidRPr="00A06DF7">
        <w:rPr>
          <w:rFonts w:cs="Calibri"/>
          <w:lang w:val="en-AU"/>
        </w:rPr>
        <w:fldChar w:fldCharType="begin"/>
      </w:r>
      <w:r w:rsidR="00715B07" w:rsidRPr="00A06DF7">
        <w:rPr>
          <w:rFonts w:cs="Calibri"/>
          <w:lang w:val="en-AU"/>
        </w:rPr>
        <w:instrText xml:space="preserve"> ADDIN ZOTERO_ITEM CSL_CITATION {"citationID":"L7498xLm","properties":{"formattedCitation":"(TAB New Zealand, 2022)","plainCitation":"(TAB New Zealand, 2022)","noteIndex":0},"citationItems":[{"id":1342,"uris":["http://zotero.org/users/11111291/items/NLWJ4TWJ"],"itemData":{"id":1342,"type":"report","title":"TAB NZ Annual Report 2021-22","URL":"https://static.tab.co.nz/content/uploads/TAB%20NZ%202021-22%20annual%20report.pdf","author":[{"literal":"TAB New Zealand"}],"issued":{"date-parts":[["2022"]]}}}],"schema":"https://github.com/citation-style-language/schema/raw/master/csl-citation.json"} </w:instrText>
      </w:r>
      <w:r w:rsidR="00E06819" w:rsidRPr="00A06DF7">
        <w:rPr>
          <w:rFonts w:cs="Calibri"/>
          <w:lang w:val="en-AU"/>
        </w:rPr>
        <w:fldChar w:fldCharType="separate"/>
      </w:r>
      <w:r w:rsidR="00E06819" w:rsidRPr="00A06DF7">
        <w:rPr>
          <w:rFonts w:cs="Calibri"/>
        </w:rPr>
        <w:t>(TAB New Zealand, 2022)</w:t>
      </w:r>
      <w:r w:rsidR="00E06819" w:rsidRPr="00A06DF7">
        <w:rPr>
          <w:rFonts w:cs="Calibri"/>
          <w:lang w:val="en-AU"/>
        </w:rPr>
        <w:fldChar w:fldCharType="end"/>
      </w:r>
      <w:r w:rsidR="00A23334" w:rsidRPr="00A06DF7">
        <w:rPr>
          <w:rFonts w:cs="Calibri"/>
          <w:lang w:val="en-AU"/>
        </w:rPr>
        <w:t>.</w:t>
      </w:r>
      <w:r w:rsidR="006C216E" w:rsidRPr="00A06DF7">
        <w:rPr>
          <w:rFonts w:cs="Calibri"/>
          <w:lang w:val="en-AU"/>
        </w:rPr>
        <w:t xml:space="preserve"> TAB NZ also attributed </w:t>
      </w:r>
      <w:r w:rsidR="006B2CB6" w:rsidRPr="00A06DF7">
        <w:rPr>
          <w:rFonts w:cs="Calibri"/>
          <w:lang w:val="en-AU"/>
        </w:rPr>
        <w:t xml:space="preserve">the reduced turnover to </w:t>
      </w:r>
      <w:r w:rsidR="00974173" w:rsidRPr="00A06DF7">
        <w:rPr>
          <w:rFonts w:cs="Calibri"/>
          <w:lang w:val="en-AU"/>
        </w:rPr>
        <w:t xml:space="preserve">pressure resulting from regulatory settings that allow international betting </w:t>
      </w:r>
      <w:r w:rsidR="00CF7CF0" w:rsidRPr="00A06DF7">
        <w:rPr>
          <w:rFonts w:cs="Calibri"/>
          <w:lang w:val="en-AU"/>
        </w:rPr>
        <w:t xml:space="preserve">companies to operate in NZ. </w:t>
      </w:r>
      <w:r w:rsidR="0042248F" w:rsidRPr="00A06DF7">
        <w:rPr>
          <w:rFonts w:cs="Calibri"/>
          <w:lang w:val="en-AU"/>
        </w:rPr>
        <w:t>TAB estimates</w:t>
      </w:r>
      <w:r w:rsidR="00750CA7" w:rsidRPr="00A06DF7">
        <w:rPr>
          <w:rFonts w:cs="Calibri"/>
          <w:lang w:val="en-AU"/>
        </w:rPr>
        <w:t xml:space="preserve"> around $150 million was lost to </w:t>
      </w:r>
      <w:r w:rsidR="005C447B" w:rsidRPr="00A06DF7">
        <w:rPr>
          <w:rFonts w:cs="Calibri"/>
          <w:lang w:val="en-AU"/>
        </w:rPr>
        <w:t>offshore-based</w:t>
      </w:r>
      <w:r w:rsidR="00750CA7" w:rsidRPr="00A06DF7">
        <w:rPr>
          <w:rFonts w:cs="Calibri"/>
          <w:lang w:val="en-AU"/>
        </w:rPr>
        <w:t xml:space="preserve"> operators</w:t>
      </w:r>
      <w:r w:rsidR="00CA479C" w:rsidRPr="00A06DF7">
        <w:rPr>
          <w:rFonts w:cs="Calibri"/>
          <w:lang w:val="en-AU"/>
        </w:rPr>
        <w:t xml:space="preserve">, </w:t>
      </w:r>
      <w:r w:rsidR="00BC763A" w:rsidRPr="00A06DF7">
        <w:rPr>
          <w:rFonts w:cs="Calibri"/>
          <w:lang w:val="en-AU"/>
        </w:rPr>
        <w:t>money that could have otherwise</w:t>
      </w:r>
      <w:r w:rsidR="00CA479C" w:rsidRPr="00A06DF7">
        <w:rPr>
          <w:rFonts w:cs="Calibri"/>
          <w:lang w:val="en-AU"/>
        </w:rPr>
        <w:t xml:space="preserve"> </w:t>
      </w:r>
      <w:r w:rsidR="00BB7F18" w:rsidRPr="00A06DF7">
        <w:rPr>
          <w:rFonts w:cs="Calibri"/>
          <w:lang w:val="en-AU"/>
        </w:rPr>
        <w:t>contributed</w:t>
      </w:r>
      <w:r w:rsidR="00CA479C" w:rsidRPr="00A06DF7">
        <w:rPr>
          <w:rFonts w:cs="Calibri"/>
          <w:lang w:val="en-AU"/>
        </w:rPr>
        <w:t xml:space="preserve"> </w:t>
      </w:r>
      <w:r w:rsidR="00BB7F18" w:rsidRPr="00A06DF7">
        <w:rPr>
          <w:rFonts w:cs="Calibri"/>
          <w:lang w:val="en-AU"/>
        </w:rPr>
        <w:t>to local sports, racing and communities</w:t>
      </w:r>
      <w:r w:rsidR="00E84188" w:rsidRPr="00A06DF7">
        <w:rPr>
          <w:rFonts w:cs="Calibri"/>
          <w:lang w:val="en-AU"/>
        </w:rPr>
        <w:t xml:space="preserve"> </w:t>
      </w:r>
      <w:r w:rsidR="00E84188" w:rsidRPr="00A06DF7">
        <w:rPr>
          <w:rFonts w:cs="Calibri"/>
          <w:lang w:val="en-AU"/>
        </w:rPr>
        <w:fldChar w:fldCharType="begin"/>
      </w:r>
      <w:r w:rsidR="00715B07" w:rsidRPr="00A06DF7">
        <w:rPr>
          <w:rFonts w:cs="Calibri"/>
          <w:lang w:val="en-AU"/>
        </w:rPr>
        <w:instrText xml:space="preserve"> ADDIN ZOTERO_ITEM CSL_CITATION {"citationID":"cr0oKMV3","properties":{"formattedCitation":"(TAB New Zealand, 2022)","plainCitation":"(TAB New Zealand, 2022)","noteIndex":0},"citationItems":[{"id":1342,"uris":["http://zotero.org/users/11111291/items/NLWJ4TWJ"],"itemData":{"id":1342,"type":"report","title":"TAB NZ Annual Report 2021-22","URL":"https://static.tab.co.nz/content/uploads/TAB%20NZ%202021-22%20annual%20report.pdf","author":[{"literal":"TAB New Zealand"}],"issued":{"date-parts":[["2022"]]}}}],"schema":"https://github.com/citation-style-language/schema/raw/master/csl-citation.json"} </w:instrText>
      </w:r>
      <w:r w:rsidR="00E84188" w:rsidRPr="00A06DF7">
        <w:rPr>
          <w:rFonts w:cs="Calibri"/>
          <w:lang w:val="en-AU"/>
        </w:rPr>
        <w:fldChar w:fldCharType="separate"/>
      </w:r>
      <w:r w:rsidR="00E84188" w:rsidRPr="00A06DF7">
        <w:rPr>
          <w:rFonts w:cs="Calibri"/>
        </w:rPr>
        <w:t>(TAB New Zealand, 2022)</w:t>
      </w:r>
      <w:r w:rsidR="00E84188" w:rsidRPr="00A06DF7">
        <w:rPr>
          <w:rFonts w:cs="Calibri"/>
          <w:lang w:val="en-AU"/>
        </w:rPr>
        <w:fldChar w:fldCharType="end"/>
      </w:r>
      <w:r w:rsidR="00BB7F18" w:rsidRPr="00A06DF7">
        <w:rPr>
          <w:rFonts w:cs="Calibri"/>
          <w:lang w:val="en-AU"/>
        </w:rPr>
        <w:t>.</w:t>
      </w:r>
      <w:r w:rsidR="005D7695" w:rsidRPr="00A06DF7">
        <w:rPr>
          <w:rFonts w:cs="Calibri"/>
          <w:lang w:val="en-AU"/>
        </w:rPr>
        <w:t xml:space="preserve"> </w:t>
      </w:r>
      <w:r w:rsidR="00DB5460" w:rsidRPr="00A06DF7">
        <w:rPr>
          <w:rFonts w:cs="Calibri"/>
          <w:lang w:val="en-AU"/>
        </w:rPr>
        <w:t>In May 2023, f</w:t>
      </w:r>
      <w:r w:rsidR="006E444A" w:rsidRPr="00A06DF7">
        <w:rPr>
          <w:rFonts w:cs="Calibri"/>
          <w:lang w:val="en-AU"/>
        </w:rPr>
        <w:t xml:space="preserve">ormer </w:t>
      </w:r>
      <w:r w:rsidR="00CE5053" w:rsidRPr="00A06DF7">
        <w:rPr>
          <w:rFonts w:cs="Calibri"/>
          <w:lang w:val="en-AU"/>
        </w:rPr>
        <w:t xml:space="preserve">Minister for Racing </w:t>
      </w:r>
      <w:r w:rsidR="00D810BB" w:rsidRPr="00A06DF7">
        <w:rPr>
          <w:rFonts w:cs="Calibri"/>
          <w:lang w:val="en-AU"/>
        </w:rPr>
        <w:t xml:space="preserve">Hon Kieran McAnulty </w:t>
      </w:r>
      <w:r w:rsidR="00CE5053" w:rsidRPr="00A06DF7">
        <w:rPr>
          <w:rFonts w:cs="Calibri"/>
          <w:lang w:val="en-AU"/>
        </w:rPr>
        <w:t xml:space="preserve">announced that </w:t>
      </w:r>
      <w:r w:rsidR="005B7546" w:rsidRPr="00A06DF7">
        <w:rPr>
          <w:rFonts w:cs="Calibri"/>
          <w:lang w:val="en-AU"/>
        </w:rPr>
        <w:t xml:space="preserve">Cabinet had </w:t>
      </w:r>
      <w:r w:rsidR="006D5E01" w:rsidRPr="00A06DF7">
        <w:rPr>
          <w:rFonts w:cs="Calibri"/>
          <w:lang w:val="en-AU"/>
        </w:rPr>
        <w:t>made an in-principle decision to extend TAB NZ’s monopoly for sports and racing betting to the online environment, subject to further work being done</w:t>
      </w:r>
      <w:r w:rsidR="00B55C72" w:rsidRPr="00A06DF7">
        <w:rPr>
          <w:rFonts w:cs="Calibri"/>
          <w:lang w:val="en-AU"/>
        </w:rPr>
        <w:t>.</w:t>
      </w:r>
      <w:r w:rsidR="006D5E01" w:rsidRPr="00A06DF7">
        <w:rPr>
          <w:rFonts w:cs="Calibri"/>
          <w:lang w:val="en-AU"/>
        </w:rPr>
        <w:t xml:space="preserve"> </w:t>
      </w:r>
      <w:r w:rsidR="00251430" w:rsidRPr="00A06DF7">
        <w:rPr>
          <w:rFonts w:cs="Calibri"/>
          <w:lang w:val="en-AU"/>
        </w:rPr>
        <w:t>W</w:t>
      </w:r>
      <w:r w:rsidR="00CE5053" w:rsidRPr="00A06DF7">
        <w:rPr>
          <w:rFonts w:cs="Calibri"/>
          <w:lang w:val="en-AU"/>
        </w:rPr>
        <w:t xml:space="preserve">ork was </w:t>
      </w:r>
      <w:r w:rsidR="004572F2" w:rsidRPr="00A06DF7">
        <w:rPr>
          <w:rFonts w:cs="Calibri"/>
          <w:lang w:val="en-AU"/>
        </w:rPr>
        <w:t>also</w:t>
      </w:r>
      <w:r w:rsidR="00CE5053" w:rsidRPr="00A06DF7">
        <w:rPr>
          <w:rFonts w:cs="Calibri"/>
          <w:lang w:val="en-AU"/>
        </w:rPr>
        <w:t xml:space="preserve"> underway </w:t>
      </w:r>
      <w:r w:rsidR="009310C2" w:rsidRPr="00A06DF7">
        <w:rPr>
          <w:rFonts w:cs="Calibri"/>
          <w:lang w:val="en-AU"/>
        </w:rPr>
        <w:t>considering</w:t>
      </w:r>
      <w:r w:rsidR="00241266" w:rsidRPr="00A06DF7">
        <w:rPr>
          <w:rFonts w:cs="Calibri"/>
          <w:lang w:val="en-AU"/>
        </w:rPr>
        <w:t xml:space="preserve"> </w:t>
      </w:r>
      <w:r w:rsidR="00DF35FB" w:rsidRPr="00A06DF7">
        <w:rPr>
          <w:rFonts w:cs="Calibri"/>
          <w:lang w:val="en-AU"/>
        </w:rPr>
        <w:t>(amongst other measures)</w:t>
      </w:r>
      <w:r w:rsidR="00241266" w:rsidRPr="00A06DF7">
        <w:rPr>
          <w:rFonts w:cs="Calibri"/>
          <w:lang w:val="en-AU"/>
        </w:rPr>
        <w:t xml:space="preserve"> legislatively enforcing geo-blocking </w:t>
      </w:r>
      <w:r w:rsidR="00EB44C5" w:rsidRPr="00A06DF7">
        <w:rPr>
          <w:rFonts w:cs="Calibri"/>
          <w:lang w:val="en-AU"/>
        </w:rPr>
        <w:t xml:space="preserve">to prevent </w:t>
      </w:r>
      <w:r w:rsidR="002E5D9D" w:rsidRPr="00A06DF7">
        <w:rPr>
          <w:rFonts w:cs="Calibri"/>
          <w:lang w:val="en-AU"/>
        </w:rPr>
        <w:t xml:space="preserve">international gambling </w:t>
      </w:r>
      <w:r w:rsidR="00767F80" w:rsidRPr="00A06DF7">
        <w:rPr>
          <w:rFonts w:cs="Calibri"/>
          <w:lang w:val="en-AU"/>
        </w:rPr>
        <w:fldChar w:fldCharType="begin"/>
      </w:r>
      <w:r w:rsidR="00715B07" w:rsidRPr="00A06DF7">
        <w:rPr>
          <w:rFonts w:cs="Calibri"/>
          <w:lang w:val="en-AU"/>
        </w:rPr>
        <w:instrText xml:space="preserve"> ADDIN ZOTERO_ITEM CSL_CITATION {"citationID":"exxkkvsj","properties":{"formattedCitation":"(Pullar-Strecker, 2023)","plainCitation":"(Pullar-Strecker, 2023)","noteIndex":0},"citationItems":[{"id":1343,"uris":["http://zotero.org/users/11111291/items/BRAM6ABB"],"itemData":{"id":1343,"type":"article-newspaper","abstract":"Ministers have agreed in principle to block overseas gambling websites, but the question remains 'how''.","container-title":"Stuff","language":"en","note":"section: business","title":"Here's how blocking New Zealanders from international gambling might work","URL":"https://www.stuff.co.nz/business/132166691/heres-how-blocking-new-zealanders-from-international-gambling-might-work","author":[{"family":"Pullar-Strecker","given":"Tom"}],"accessed":{"date-parts":[["2023",11,29]]},"issued":{"date-parts":[["2023"]]}}}],"schema":"https://github.com/citation-style-language/schema/raw/master/csl-citation.json"} </w:instrText>
      </w:r>
      <w:r w:rsidR="00767F80" w:rsidRPr="00A06DF7">
        <w:rPr>
          <w:rFonts w:cs="Calibri"/>
          <w:lang w:val="en-AU"/>
        </w:rPr>
        <w:fldChar w:fldCharType="separate"/>
      </w:r>
      <w:r w:rsidR="00767F80" w:rsidRPr="00A06DF7">
        <w:rPr>
          <w:rFonts w:cs="Calibri"/>
        </w:rPr>
        <w:t>(Pullar-Strecker, 2023)</w:t>
      </w:r>
      <w:r w:rsidR="00767F80" w:rsidRPr="00A06DF7">
        <w:rPr>
          <w:rFonts w:cs="Calibri"/>
          <w:lang w:val="en-AU"/>
        </w:rPr>
        <w:fldChar w:fldCharType="end"/>
      </w:r>
      <w:r w:rsidR="00164BA6" w:rsidRPr="00A06DF7">
        <w:rPr>
          <w:rFonts w:cs="Calibri"/>
          <w:lang w:val="en-AU"/>
        </w:rPr>
        <w:t xml:space="preserve">. </w:t>
      </w:r>
      <w:r w:rsidR="004B1294" w:rsidRPr="00A06DF7">
        <w:rPr>
          <w:rFonts w:cs="Calibri"/>
          <w:lang w:val="en-AU"/>
        </w:rPr>
        <w:t>This was concurrent with</w:t>
      </w:r>
      <w:r w:rsidR="008F2EE9" w:rsidRPr="00A06DF7">
        <w:rPr>
          <w:rFonts w:cs="Calibri"/>
          <w:lang w:val="en-AU"/>
        </w:rPr>
        <w:t xml:space="preserve"> </w:t>
      </w:r>
      <w:r w:rsidR="00300F77" w:rsidRPr="00A06DF7">
        <w:rPr>
          <w:rFonts w:cs="Calibri"/>
          <w:lang w:val="en-AU"/>
        </w:rPr>
        <w:t>TAB NZ</w:t>
      </w:r>
      <w:r w:rsidR="00BD1050" w:rsidRPr="00A06DF7">
        <w:rPr>
          <w:rFonts w:cs="Calibri"/>
          <w:lang w:val="en-AU"/>
        </w:rPr>
        <w:t>’</w:t>
      </w:r>
      <w:r w:rsidR="004B1294" w:rsidRPr="00A06DF7">
        <w:rPr>
          <w:rFonts w:cs="Calibri"/>
          <w:lang w:val="en-AU"/>
        </w:rPr>
        <w:t>s</w:t>
      </w:r>
      <w:r w:rsidR="00300F77" w:rsidRPr="00A06DF7">
        <w:rPr>
          <w:rFonts w:cs="Calibri"/>
          <w:lang w:val="en-AU"/>
        </w:rPr>
        <w:t xml:space="preserve"> </w:t>
      </w:r>
      <w:r w:rsidR="004B1294" w:rsidRPr="00A06DF7">
        <w:rPr>
          <w:rFonts w:cs="Calibri"/>
          <w:lang w:val="en-AU"/>
        </w:rPr>
        <w:t>approval</w:t>
      </w:r>
      <w:r w:rsidR="00300F77" w:rsidRPr="00A06DF7">
        <w:rPr>
          <w:rFonts w:cs="Calibri"/>
          <w:lang w:val="en-AU"/>
        </w:rPr>
        <w:t xml:space="preserve"> to outsource operations to </w:t>
      </w:r>
      <w:r w:rsidR="00A46B04" w:rsidRPr="00A06DF7">
        <w:rPr>
          <w:rFonts w:cs="Calibri"/>
          <w:lang w:val="en-AU"/>
        </w:rPr>
        <w:t>Entain, a British gambling entity</w:t>
      </w:r>
      <w:r w:rsidR="004B1294" w:rsidRPr="00A06DF7">
        <w:rPr>
          <w:rFonts w:cs="Calibri"/>
          <w:lang w:val="en-AU"/>
        </w:rPr>
        <w:t>.</w:t>
      </w:r>
      <w:r w:rsidR="00221B88" w:rsidRPr="00A06DF7">
        <w:rPr>
          <w:rFonts w:cs="Calibri"/>
          <w:lang w:val="en-AU"/>
        </w:rPr>
        <w:t xml:space="preserve"> </w:t>
      </w:r>
      <w:r w:rsidR="003C1140" w:rsidRPr="00A06DF7">
        <w:rPr>
          <w:rFonts w:cs="Calibri"/>
          <w:lang w:val="en-AU"/>
        </w:rPr>
        <w:t xml:space="preserve">Part of the agreement </w:t>
      </w:r>
      <w:r w:rsidR="00E27D0A" w:rsidRPr="00A06DF7">
        <w:rPr>
          <w:rFonts w:cs="Calibri"/>
          <w:lang w:val="en-AU"/>
        </w:rPr>
        <w:t>was an upfront initial consideration of $160 million, with an additional $100 million subject to l</w:t>
      </w:r>
      <w:r w:rsidR="00A97EC5" w:rsidRPr="00A06DF7">
        <w:rPr>
          <w:rFonts w:cs="Calibri"/>
          <w:lang w:val="en-AU"/>
        </w:rPr>
        <w:t xml:space="preserve">egislative geo-blocking implementation </w:t>
      </w:r>
      <w:r w:rsidR="007B79F7" w:rsidRPr="00A06DF7">
        <w:rPr>
          <w:rFonts w:cs="Calibri"/>
          <w:lang w:val="en-AU"/>
        </w:rPr>
        <w:fldChar w:fldCharType="begin"/>
      </w:r>
      <w:r w:rsidR="00715B07" w:rsidRPr="00A06DF7">
        <w:rPr>
          <w:rFonts w:cs="Calibri"/>
          <w:lang w:val="en-AU"/>
        </w:rPr>
        <w:instrText xml:space="preserve"> ADDIN ZOTERO_ITEM CSL_CITATION {"citationID":"AriGYmiQ","properties":{"formattedCitation":"(Entain, 2023)","plainCitation":"(Entain, 2023)","noteIndex":0},"citationItems":[{"id":1344,"uris":["http://zotero.org/users/11111291/items/GNFRM7GQ"],"itemData":{"id":1344,"type":"webpage","container-title":"Entain","language":"en-US","title":"Update on TAB NZ and 365scores opportunities","URL":"https://www.entaingroup.com/news-insights/latest-news/2023/update-on-tab-nz-partnership-and-365scores-opportunities/","author":[{"literal":"Entain"}],"accessed":{"date-parts":[["2023",11,29]]},"issued":{"date-parts":[["2023"]]}}}],"schema":"https://github.com/citation-style-language/schema/raw/master/csl-citation.json"} </w:instrText>
      </w:r>
      <w:r w:rsidR="007B79F7" w:rsidRPr="00A06DF7">
        <w:rPr>
          <w:rFonts w:cs="Calibri"/>
          <w:lang w:val="en-AU"/>
        </w:rPr>
        <w:fldChar w:fldCharType="separate"/>
      </w:r>
      <w:r w:rsidR="007B79F7" w:rsidRPr="00A06DF7">
        <w:rPr>
          <w:rFonts w:cs="Calibri"/>
        </w:rPr>
        <w:t>(Entain, 2023)</w:t>
      </w:r>
      <w:r w:rsidR="007B79F7" w:rsidRPr="00A06DF7">
        <w:rPr>
          <w:rFonts w:cs="Calibri"/>
          <w:lang w:val="en-AU"/>
        </w:rPr>
        <w:fldChar w:fldCharType="end"/>
      </w:r>
      <w:r w:rsidR="00B42FDB" w:rsidRPr="00A06DF7">
        <w:rPr>
          <w:rFonts w:cs="Calibri"/>
          <w:lang w:val="en-AU"/>
        </w:rPr>
        <w:t>.</w:t>
      </w:r>
      <w:r w:rsidR="00200F77" w:rsidRPr="00A06DF7">
        <w:rPr>
          <w:rFonts w:cs="Calibri"/>
          <w:lang w:val="en-AU"/>
        </w:rPr>
        <w:t xml:space="preserve"> </w:t>
      </w:r>
      <w:r w:rsidR="00A05405" w:rsidRPr="00A06DF7">
        <w:rPr>
          <w:rFonts w:cs="Calibri"/>
          <w:lang w:val="en-AU"/>
        </w:rPr>
        <w:t>TAB said r</w:t>
      </w:r>
      <w:r w:rsidR="008D6F1F" w:rsidRPr="00A06DF7">
        <w:rPr>
          <w:rFonts w:cs="Calibri"/>
          <w:lang w:val="en-AU"/>
        </w:rPr>
        <w:t xml:space="preserve">estricting </w:t>
      </w:r>
      <w:r w:rsidR="00200F77" w:rsidRPr="00A06DF7">
        <w:rPr>
          <w:rFonts w:cs="Calibri"/>
          <w:lang w:val="en-AU"/>
        </w:rPr>
        <w:t xml:space="preserve">unregulated betting sites </w:t>
      </w:r>
      <w:r w:rsidR="00531BCE" w:rsidRPr="00A06DF7">
        <w:rPr>
          <w:rFonts w:cs="Calibri"/>
          <w:lang w:val="en-AU"/>
        </w:rPr>
        <w:t>would</w:t>
      </w:r>
      <w:r w:rsidR="006E28A8" w:rsidRPr="00A06DF7">
        <w:rPr>
          <w:rFonts w:cs="Calibri"/>
          <w:lang w:val="en-AU"/>
        </w:rPr>
        <w:t xml:space="preserve"> yield </w:t>
      </w:r>
      <w:r w:rsidR="00A50925" w:rsidRPr="00A06DF7">
        <w:rPr>
          <w:rFonts w:cs="Calibri"/>
          <w:lang w:val="en-AU"/>
        </w:rPr>
        <w:t xml:space="preserve">both economic and social benefits, as more </w:t>
      </w:r>
      <w:r w:rsidR="0063541C" w:rsidRPr="00A06DF7">
        <w:rPr>
          <w:rFonts w:cs="Calibri"/>
          <w:lang w:val="en-AU"/>
        </w:rPr>
        <w:t>money c</w:t>
      </w:r>
      <w:r w:rsidR="00531BCE" w:rsidRPr="00A06DF7">
        <w:rPr>
          <w:rFonts w:cs="Calibri"/>
          <w:lang w:val="en-AU"/>
        </w:rPr>
        <w:t>ould</w:t>
      </w:r>
      <w:r w:rsidR="0063541C" w:rsidRPr="00A06DF7">
        <w:rPr>
          <w:rFonts w:cs="Calibri"/>
          <w:lang w:val="en-AU"/>
        </w:rPr>
        <w:t xml:space="preserve"> be reinvested back into communities and sporting bodies</w:t>
      </w:r>
      <w:r w:rsidR="001F0FFF" w:rsidRPr="00A06DF7">
        <w:rPr>
          <w:rFonts w:cs="Calibri"/>
          <w:lang w:val="en-AU"/>
        </w:rPr>
        <w:t xml:space="preserve">, and there </w:t>
      </w:r>
      <w:r w:rsidR="004B51D0" w:rsidRPr="00A06DF7">
        <w:rPr>
          <w:rFonts w:cs="Calibri"/>
          <w:lang w:val="en-AU"/>
        </w:rPr>
        <w:t>would be</w:t>
      </w:r>
      <w:r w:rsidR="001F0FFF" w:rsidRPr="00A06DF7">
        <w:rPr>
          <w:rFonts w:cs="Calibri"/>
          <w:lang w:val="en-AU"/>
        </w:rPr>
        <w:t xml:space="preserve"> </w:t>
      </w:r>
      <w:r w:rsidR="001E4ED2" w:rsidRPr="00A06DF7">
        <w:rPr>
          <w:rFonts w:cs="Calibri"/>
          <w:lang w:val="en-AU"/>
        </w:rPr>
        <w:t>greater</w:t>
      </w:r>
      <w:r w:rsidR="00AB5998" w:rsidRPr="00A06DF7">
        <w:rPr>
          <w:rFonts w:cs="Calibri"/>
          <w:lang w:val="en-AU"/>
        </w:rPr>
        <w:t xml:space="preserve"> </w:t>
      </w:r>
      <w:r w:rsidR="00CF254E" w:rsidRPr="00A06DF7">
        <w:rPr>
          <w:rFonts w:cs="Calibri"/>
          <w:lang w:val="en-AU"/>
        </w:rPr>
        <w:t xml:space="preserve">oversight </w:t>
      </w:r>
      <w:r w:rsidR="001F0FFF" w:rsidRPr="00A06DF7">
        <w:rPr>
          <w:rFonts w:cs="Calibri"/>
          <w:lang w:val="en-AU"/>
        </w:rPr>
        <w:t xml:space="preserve">and implementation of </w:t>
      </w:r>
      <w:r w:rsidR="00AB5998" w:rsidRPr="00A06DF7">
        <w:rPr>
          <w:rFonts w:cs="Calibri"/>
          <w:lang w:val="en-AU"/>
        </w:rPr>
        <w:t xml:space="preserve">harm minimisation strategies. </w:t>
      </w:r>
      <w:r w:rsidR="00797308" w:rsidRPr="00A06DF7">
        <w:rPr>
          <w:rFonts w:cs="Calibri"/>
          <w:lang w:val="en-AU"/>
        </w:rPr>
        <w:t>Cabinet has more recently agreed to take steps to regulate online gambling (more on this in section 3.4 below).</w:t>
      </w:r>
    </w:p>
    <w:p w14:paraId="25C9E0DE" w14:textId="7165F817" w:rsidR="00B317B7" w:rsidRPr="00A06DF7" w:rsidRDefault="00B317B7" w:rsidP="00F90F7A">
      <w:pPr>
        <w:rPr>
          <w:rFonts w:cs="Calibri"/>
          <w:lang w:val="en-AU"/>
        </w:rPr>
      </w:pPr>
      <w:r w:rsidRPr="00A06DF7">
        <w:rPr>
          <w:rFonts w:cs="Calibri"/>
          <w:b/>
          <w:bCs/>
          <w:lang w:val="en-AU"/>
        </w:rPr>
        <w:lastRenderedPageBreak/>
        <w:t>Casinos</w:t>
      </w:r>
      <w:r w:rsidR="00A06DF7" w:rsidRPr="00A06DF7">
        <w:rPr>
          <w:rFonts w:cs="Calibri"/>
          <w:b/>
          <w:bCs/>
          <w:lang w:val="en-AU"/>
        </w:rPr>
        <w:t xml:space="preserve">: </w:t>
      </w:r>
      <w:r w:rsidR="000E5495" w:rsidRPr="00A06DF7">
        <w:rPr>
          <w:rFonts w:cs="Calibri"/>
          <w:lang w:val="en-AU"/>
        </w:rPr>
        <w:t xml:space="preserve">There are six casinos in New Zealand, and </w:t>
      </w:r>
      <w:r w:rsidR="00F6619C" w:rsidRPr="00A06DF7">
        <w:rPr>
          <w:rFonts w:cs="Calibri"/>
          <w:lang w:val="en-AU"/>
        </w:rPr>
        <w:t xml:space="preserve">under the Gambling Act </w:t>
      </w:r>
      <w:r w:rsidR="00170B6A" w:rsidRPr="00A06DF7">
        <w:rPr>
          <w:rFonts w:cs="Calibri"/>
          <w:lang w:val="en-AU"/>
        </w:rPr>
        <w:t>(</w:t>
      </w:r>
      <w:r w:rsidR="00F6619C" w:rsidRPr="00A06DF7">
        <w:rPr>
          <w:rFonts w:cs="Calibri"/>
          <w:lang w:val="en-AU"/>
        </w:rPr>
        <w:t>2003</w:t>
      </w:r>
      <w:r w:rsidR="00170B6A" w:rsidRPr="00A06DF7">
        <w:rPr>
          <w:rFonts w:cs="Calibri"/>
          <w:lang w:val="en-AU"/>
        </w:rPr>
        <w:t>)</w:t>
      </w:r>
      <w:r w:rsidR="00F6619C" w:rsidRPr="00A06DF7">
        <w:rPr>
          <w:rFonts w:cs="Calibri"/>
          <w:lang w:val="en-AU"/>
        </w:rPr>
        <w:t xml:space="preserve"> no new casino venue </w:t>
      </w:r>
      <w:r w:rsidR="006E3877" w:rsidRPr="00A06DF7">
        <w:rPr>
          <w:rFonts w:cs="Calibri"/>
          <w:lang w:val="en-AU"/>
        </w:rPr>
        <w:t xml:space="preserve">licences </w:t>
      </w:r>
      <w:r w:rsidR="00F6619C" w:rsidRPr="00A06DF7">
        <w:rPr>
          <w:rFonts w:cs="Calibri"/>
          <w:lang w:val="en-AU"/>
        </w:rPr>
        <w:t xml:space="preserve">will be issued. </w:t>
      </w:r>
      <w:r w:rsidR="00A01918" w:rsidRPr="00A06DF7">
        <w:rPr>
          <w:rFonts w:cs="Calibri"/>
          <w:lang w:val="en-AU"/>
        </w:rPr>
        <w:t>SkyCity operates four of them</w:t>
      </w:r>
      <w:r w:rsidR="006E3877" w:rsidRPr="00A06DF7">
        <w:rPr>
          <w:rFonts w:cs="Calibri"/>
          <w:lang w:val="en-AU"/>
        </w:rPr>
        <w:t>:</w:t>
      </w:r>
      <w:r w:rsidR="00A01918" w:rsidRPr="00A06DF7">
        <w:rPr>
          <w:rFonts w:cs="Calibri"/>
          <w:lang w:val="en-AU"/>
        </w:rPr>
        <w:t xml:space="preserve"> one in Auckland, one in Hamilton and two in Queenstown</w:t>
      </w:r>
      <w:r w:rsidR="00C4537D" w:rsidRPr="00A06DF7">
        <w:rPr>
          <w:rFonts w:cs="Calibri"/>
          <w:lang w:val="en-AU"/>
        </w:rPr>
        <w:t xml:space="preserve"> </w:t>
      </w:r>
      <w:r w:rsidR="009436DF" w:rsidRPr="00A06DF7">
        <w:rPr>
          <w:rFonts w:cs="Calibri"/>
          <w:lang w:val="en-AU"/>
        </w:rPr>
        <w:fldChar w:fldCharType="begin"/>
      </w:r>
      <w:r w:rsidR="009436DF" w:rsidRPr="00A06DF7">
        <w:rPr>
          <w:rFonts w:cs="Calibri"/>
          <w:lang w:val="en-AU"/>
        </w:rPr>
        <w:instrText xml:space="preserve"> ADDIN ZOTERO_ITEM CSL_CITATION {"citationID":"rQvMh00L","properties":{"formattedCitation":"(Gambling Commission, 2022)","plainCitation":"(Gambling Commission, 2022)","noteIndex":0},"citationItems":[{"id":1545,"uris":["http://zotero.org/users/11111291/items/F982M3A4"],"itemData":{"id":1545,"type":"report","language":"en","note":"publisher: Gambling Commission","title":"Report Of The Gambling Commission","URL":"https://www.gamblingcommission.govt.nz/GCwebsite.nsf/Files/AnnualReport2022/$file/REPORT%20OF%20THE%20GAMBLING%20COMMISSION%20FOR%20THE%20YEAR%20ENDED%2030%20JUNE%202022%20(FINAL).pdf","author":[{"literal":"Gambling Commission"}],"accessed":{"date-parts":[["2024",2,12]]},"issued":{"date-parts":[["2022"]]}}}],"schema":"https://github.com/citation-style-language/schema/raw/master/csl-citation.json"} </w:instrText>
      </w:r>
      <w:r w:rsidR="009436DF" w:rsidRPr="00A06DF7">
        <w:rPr>
          <w:rFonts w:cs="Calibri"/>
          <w:lang w:val="en-AU"/>
        </w:rPr>
        <w:fldChar w:fldCharType="separate"/>
      </w:r>
      <w:r w:rsidR="009436DF" w:rsidRPr="00A06DF7">
        <w:rPr>
          <w:rFonts w:cs="Calibri"/>
        </w:rPr>
        <w:t>(Gambling Commission, 2022)</w:t>
      </w:r>
      <w:r w:rsidR="009436DF" w:rsidRPr="00A06DF7">
        <w:rPr>
          <w:rFonts w:cs="Calibri"/>
          <w:lang w:val="en-AU"/>
        </w:rPr>
        <w:fldChar w:fldCharType="end"/>
      </w:r>
      <w:r w:rsidR="004E5E18" w:rsidRPr="00A06DF7">
        <w:rPr>
          <w:rFonts w:cs="Calibri"/>
          <w:lang w:val="en-AU"/>
        </w:rPr>
        <w:t>.</w:t>
      </w:r>
      <w:r w:rsidR="00E54740" w:rsidRPr="00A06DF7">
        <w:rPr>
          <w:rFonts w:cs="Calibri"/>
          <w:lang w:val="en-AU"/>
        </w:rPr>
        <w:t xml:space="preserve"> SKYCITY Wharf closed temporarily in 2020 due to the impact of COVID-19 on tourist numbers and on its ability to staff the venue. The Casino is likely to remain closed for the foreseeable future</w:t>
      </w:r>
      <w:r w:rsidR="007D0CC9" w:rsidRPr="00A06DF7">
        <w:rPr>
          <w:rFonts w:cs="Calibri"/>
          <w:lang w:val="en-AU"/>
        </w:rPr>
        <w:t>. The remaining two are operated in Christchurch and Dunedin</w:t>
      </w:r>
      <w:r w:rsidR="00427656" w:rsidRPr="00A06DF7">
        <w:rPr>
          <w:rFonts w:cs="Calibri"/>
          <w:lang w:val="en-AU"/>
        </w:rPr>
        <w:t>, independent of SkyCity</w:t>
      </w:r>
      <w:r w:rsidR="007D0CC9" w:rsidRPr="00A06DF7">
        <w:rPr>
          <w:rFonts w:cs="Calibri"/>
          <w:lang w:val="en-AU"/>
        </w:rPr>
        <w:t>.</w:t>
      </w:r>
    </w:p>
    <w:p w14:paraId="62AEDDEB" w14:textId="33E03D7A" w:rsidR="00F618E6" w:rsidRPr="00A06DF7" w:rsidRDefault="00F618E6" w:rsidP="00E466D1">
      <w:pPr>
        <w:rPr>
          <w:rFonts w:cs="Calibri"/>
          <w:lang w:val="en-AU"/>
        </w:rPr>
      </w:pPr>
      <w:r w:rsidRPr="00A06DF7">
        <w:rPr>
          <w:rFonts w:cs="Calibri"/>
          <w:b/>
          <w:bCs/>
          <w:lang w:val="en-AU"/>
        </w:rPr>
        <w:t>Online gambling</w:t>
      </w:r>
      <w:r w:rsidR="00A06DF7" w:rsidRPr="00A06DF7">
        <w:rPr>
          <w:rFonts w:cs="Calibri"/>
          <w:b/>
          <w:bCs/>
          <w:lang w:val="en-AU"/>
        </w:rPr>
        <w:t xml:space="preserve">: </w:t>
      </w:r>
      <w:r w:rsidR="00E41139" w:rsidRPr="00A06DF7">
        <w:rPr>
          <w:rFonts w:cs="Calibri"/>
          <w:lang w:val="en-AU"/>
        </w:rPr>
        <w:t xml:space="preserve">New Zealand has two </w:t>
      </w:r>
      <w:r w:rsidR="009410B0" w:rsidRPr="00A06DF7">
        <w:rPr>
          <w:rFonts w:cs="Calibri"/>
          <w:lang w:val="en-AU"/>
        </w:rPr>
        <w:t xml:space="preserve">authorised </w:t>
      </w:r>
      <w:r w:rsidR="00E41139" w:rsidRPr="00A06DF7">
        <w:rPr>
          <w:rFonts w:cs="Calibri"/>
          <w:lang w:val="en-AU"/>
        </w:rPr>
        <w:t xml:space="preserve">online gambling providers – Lotto NZ and Tab NZ. Lotto provides various online gambling products such as </w:t>
      </w:r>
      <w:r w:rsidR="005065BA" w:rsidRPr="00A06DF7">
        <w:rPr>
          <w:rFonts w:cs="Calibri"/>
          <w:lang w:val="en-AU"/>
        </w:rPr>
        <w:t xml:space="preserve">Powerball and Instant Kiwi, and TAB offers live sports </w:t>
      </w:r>
      <w:r w:rsidR="00C91AAD" w:rsidRPr="00A06DF7">
        <w:rPr>
          <w:rFonts w:cs="Calibri"/>
          <w:lang w:val="en-AU"/>
        </w:rPr>
        <w:t xml:space="preserve">and race </w:t>
      </w:r>
      <w:r w:rsidR="005065BA" w:rsidRPr="00A06DF7">
        <w:rPr>
          <w:rFonts w:cs="Calibri"/>
          <w:lang w:val="en-AU"/>
        </w:rPr>
        <w:t>betting</w:t>
      </w:r>
      <w:r w:rsidR="00BF675B" w:rsidRPr="00A06DF7">
        <w:rPr>
          <w:rFonts w:cs="Calibri"/>
          <w:lang w:val="en-AU"/>
        </w:rPr>
        <w:t xml:space="preserve"> </w:t>
      </w:r>
      <w:r w:rsidR="00BF675B" w:rsidRPr="00A06DF7">
        <w:rPr>
          <w:rFonts w:cs="Calibri"/>
          <w:lang w:val="en-AU"/>
        </w:rPr>
        <w:fldChar w:fldCharType="begin"/>
      </w:r>
      <w:r w:rsidR="00BA456D">
        <w:rPr>
          <w:rFonts w:cs="Calibri"/>
          <w:lang w:val="en-AU"/>
        </w:rPr>
        <w:instrText xml:space="preserve"> ADDIN ZOTERO_ITEM CSL_CITATION {"citationID":"4nL04BcK","properties":{"formattedCitation":"(Department of Internal Affairs, 2021c)","plainCitation":"(Department of Internal Affairs, 2021c)","noteIndex":0},"citationItems":[{"id":1509,"uris":["http://zotero.org/users/11111291/items/6ILHSIT3"],"itemData":{"id":1509,"type":"webpage","title":"Regulatory system information: Gambling","URL":"https://www.dia.govt.nz/Regulatory-Stewardship---Gambling","author":[{"literal":"Department of Internal Affairs"}],"accessed":{"date-parts":[["2024",1,18]]},"issued":{"date-parts":[["2021"]]}}}],"schema":"https://github.com/citation-style-language/schema/raw/master/csl-citation.json"} </w:instrText>
      </w:r>
      <w:r w:rsidR="00BF675B" w:rsidRPr="00A06DF7">
        <w:rPr>
          <w:rFonts w:cs="Calibri"/>
          <w:lang w:val="en-AU"/>
        </w:rPr>
        <w:fldChar w:fldCharType="separate"/>
      </w:r>
      <w:r w:rsidR="00BA456D" w:rsidRPr="00BA456D">
        <w:rPr>
          <w:rFonts w:cs="Calibri"/>
        </w:rPr>
        <w:t>(Department of Internal Affairs, 2021c)</w:t>
      </w:r>
      <w:r w:rsidR="00BF675B" w:rsidRPr="00A06DF7">
        <w:rPr>
          <w:rFonts w:cs="Calibri"/>
          <w:lang w:val="en-AU"/>
        </w:rPr>
        <w:fldChar w:fldCharType="end"/>
      </w:r>
      <w:r w:rsidR="0011747F" w:rsidRPr="00A06DF7">
        <w:rPr>
          <w:rFonts w:cs="Calibri"/>
          <w:lang w:val="en-AU"/>
        </w:rPr>
        <w:t>.</w:t>
      </w:r>
      <w:r w:rsidR="00752EA5" w:rsidRPr="00A06DF7">
        <w:rPr>
          <w:rFonts w:cs="Calibri"/>
          <w:lang w:val="en-AU"/>
        </w:rPr>
        <w:t xml:space="preserve"> </w:t>
      </w:r>
      <w:r w:rsidR="005B58FF">
        <w:rPr>
          <w:rFonts w:cs="Calibri"/>
          <w:lang w:val="en-AU"/>
        </w:rPr>
        <w:t xml:space="preserve">A temporary rule change was </w:t>
      </w:r>
      <w:r w:rsidR="00551086">
        <w:rPr>
          <w:rFonts w:cs="Calibri"/>
          <w:lang w:val="en-AU"/>
        </w:rPr>
        <w:t>made to Class 3 Lottery operators to allow</w:t>
      </w:r>
      <w:r w:rsidR="0025627A">
        <w:rPr>
          <w:rFonts w:cs="Calibri"/>
          <w:lang w:val="en-AU"/>
        </w:rPr>
        <w:t xml:space="preserve"> them to operate online from October 2021 to October 2024 due to the impacts of COVID-19 </w:t>
      </w:r>
      <w:r w:rsidR="00BA456D">
        <w:rPr>
          <w:rFonts w:cs="Calibri"/>
          <w:lang w:val="en-AU"/>
        </w:rPr>
        <w:fldChar w:fldCharType="begin"/>
      </w:r>
      <w:r w:rsidR="00BA456D">
        <w:rPr>
          <w:rFonts w:cs="Calibri"/>
          <w:lang w:val="en-AU"/>
        </w:rPr>
        <w:instrText xml:space="preserve"> ADDIN ZOTERO_ITEM CSL_CITATION {"citationID":"r1H7tjsH","properties":{"formattedCitation":"(Department of Internal Affairs, 2021a)","plainCitation":"(Department of Internal Affairs, 2021a)","noteIndex":0},"citationItems":[{"id":1785,"uris":["http://zotero.org/users/11111291/items/HUBJFKBR"],"itemData":{"id":1785,"type":"webpage","title":"Gambling class 3 lottery license rule changes","URL":"https://www.dia.govt.nz/Gambling-class-3-lottery-license-rule-changes","author":[{"literal":"Department of Internal Affairs"}],"accessed":{"date-parts":[["2024",4,30]]},"issued":{"date-parts":[["2021"]]}}}],"schema":"https://github.com/citation-style-language/schema/raw/master/csl-citation.json"} </w:instrText>
      </w:r>
      <w:r w:rsidR="00BA456D">
        <w:rPr>
          <w:rFonts w:cs="Calibri"/>
          <w:lang w:val="en-AU"/>
        </w:rPr>
        <w:fldChar w:fldCharType="separate"/>
      </w:r>
      <w:r w:rsidR="00BA456D" w:rsidRPr="00BA456D">
        <w:rPr>
          <w:rFonts w:cs="Calibri"/>
        </w:rPr>
        <w:t>(Department of Internal Affairs, 2021a)</w:t>
      </w:r>
      <w:r w:rsidR="00BA456D">
        <w:rPr>
          <w:rFonts w:cs="Calibri"/>
          <w:lang w:val="en-AU"/>
        </w:rPr>
        <w:fldChar w:fldCharType="end"/>
      </w:r>
      <w:r w:rsidR="0025627A">
        <w:rPr>
          <w:rFonts w:cs="Calibri"/>
          <w:lang w:val="en-AU"/>
        </w:rPr>
        <w:t>.</w:t>
      </w:r>
      <w:r w:rsidR="00752EA5" w:rsidRPr="00A06DF7">
        <w:rPr>
          <w:rFonts w:cs="Calibri"/>
          <w:lang w:val="en-AU"/>
        </w:rPr>
        <w:t xml:space="preserve"> New Zealanders can also access unregulated </w:t>
      </w:r>
      <w:r w:rsidR="005C447B" w:rsidRPr="00A06DF7">
        <w:rPr>
          <w:rFonts w:cs="Calibri"/>
          <w:lang w:val="en-AU"/>
        </w:rPr>
        <w:t>offshore-based</w:t>
      </w:r>
      <w:r w:rsidR="00752EA5" w:rsidRPr="00A06DF7">
        <w:rPr>
          <w:rFonts w:cs="Calibri"/>
          <w:lang w:val="en-AU"/>
        </w:rPr>
        <w:t xml:space="preserve"> gambling services</w:t>
      </w:r>
      <w:r w:rsidR="00A72BE1" w:rsidRPr="00A06DF7">
        <w:rPr>
          <w:rFonts w:cs="Calibri"/>
          <w:lang w:val="en-AU"/>
        </w:rPr>
        <w:t xml:space="preserve">, and there has been a significant growth in </w:t>
      </w:r>
      <w:r w:rsidR="006D1F2D" w:rsidRPr="00A06DF7">
        <w:rPr>
          <w:rFonts w:cs="Calibri"/>
          <w:lang w:val="en-AU"/>
        </w:rPr>
        <w:t>New Zealanders’ use of these services</w:t>
      </w:r>
      <w:r w:rsidR="00752EA5" w:rsidRPr="00A06DF7">
        <w:rPr>
          <w:rFonts w:cs="Calibri"/>
          <w:lang w:val="en-AU"/>
        </w:rPr>
        <w:t xml:space="preserve"> (see Section</w:t>
      </w:r>
      <w:r w:rsidR="0077344A" w:rsidRPr="00A06DF7">
        <w:rPr>
          <w:rFonts w:cs="Calibri"/>
          <w:lang w:val="en-AU"/>
        </w:rPr>
        <w:t xml:space="preserve"> </w:t>
      </w:r>
      <w:r w:rsidR="00254388" w:rsidRPr="00A06DF7">
        <w:rPr>
          <w:rFonts w:cs="Calibri"/>
          <w:lang w:val="en-AU"/>
        </w:rPr>
        <w:fldChar w:fldCharType="begin"/>
      </w:r>
      <w:r w:rsidR="00254388" w:rsidRPr="00A06DF7">
        <w:rPr>
          <w:rFonts w:cs="Calibri"/>
          <w:lang w:val="en-AU"/>
        </w:rPr>
        <w:instrText xml:space="preserve"> REF _Ref156466586 \r \h </w:instrText>
      </w:r>
      <w:r w:rsidR="00A06DF7">
        <w:rPr>
          <w:rFonts w:cs="Calibri"/>
          <w:lang w:val="en-AU"/>
        </w:rPr>
        <w:instrText xml:space="preserve"> \* MERGEFORMAT </w:instrText>
      </w:r>
      <w:r w:rsidR="00254388" w:rsidRPr="00A06DF7">
        <w:rPr>
          <w:rFonts w:cs="Calibri"/>
          <w:lang w:val="en-AU"/>
        </w:rPr>
      </w:r>
      <w:r w:rsidR="00254388" w:rsidRPr="00A06DF7">
        <w:rPr>
          <w:rFonts w:cs="Calibri"/>
          <w:lang w:val="en-AU"/>
        </w:rPr>
        <w:fldChar w:fldCharType="separate"/>
      </w:r>
      <w:r w:rsidR="004F4DA7">
        <w:rPr>
          <w:rFonts w:cs="Calibri"/>
          <w:lang w:val="en-AU"/>
        </w:rPr>
        <w:t>3.4</w:t>
      </w:r>
      <w:r w:rsidR="00254388" w:rsidRPr="00A06DF7">
        <w:rPr>
          <w:rFonts w:cs="Calibri"/>
          <w:lang w:val="en-AU"/>
        </w:rPr>
        <w:fldChar w:fldCharType="end"/>
      </w:r>
      <w:r w:rsidR="0081523B" w:rsidRPr="00A06DF7">
        <w:rPr>
          <w:rFonts w:cs="Calibri"/>
          <w:lang w:val="en-AU"/>
        </w:rPr>
        <w:t>).</w:t>
      </w:r>
      <w:r w:rsidR="008664F1" w:rsidRPr="00A06DF7">
        <w:rPr>
          <w:rFonts w:cs="Calibri"/>
          <w:lang w:val="en-AU"/>
        </w:rPr>
        <w:t xml:space="preserve"> </w:t>
      </w:r>
    </w:p>
    <w:p w14:paraId="4D59FD71" w14:textId="16D09C23" w:rsidR="007D7D39" w:rsidRDefault="007D7D39">
      <w:pPr>
        <w:pStyle w:val="Heading6"/>
        <w:rPr>
          <w:shd w:val="clear" w:color="auto" w:fill="FFFFFF"/>
        </w:rPr>
      </w:pPr>
      <w:bookmarkStart w:id="100" w:name="_Toc166507376"/>
      <w:r w:rsidRPr="002F108B">
        <w:rPr>
          <w:shd w:val="clear" w:color="auto" w:fill="FFFFFF"/>
        </w:rPr>
        <w:t xml:space="preserve">Class 4 venues remain </w:t>
      </w:r>
      <w:r w:rsidR="000054BE">
        <w:rPr>
          <w:shd w:val="clear" w:color="auto" w:fill="FFFFFF"/>
        </w:rPr>
        <w:t>in</w:t>
      </w:r>
      <w:r w:rsidRPr="002F108B">
        <w:rPr>
          <w:shd w:val="clear" w:color="auto" w:fill="FFFFFF"/>
        </w:rPr>
        <w:t xml:space="preserve"> areas of high deprivation</w:t>
      </w:r>
      <w:bookmarkEnd w:id="98"/>
      <w:bookmarkEnd w:id="99"/>
      <w:bookmarkEnd w:id="100"/>
    </w:p>
    <w:p w14:paraId="057D777F" w14:textId="2CDDFFF5" w:rsidR="007C420E" w:rsidRPr="00E55265" w:rsidRDefault="007C420E" w:rsidP="00461D35">
      <w:r w:rsidRPr="00E55265">
        <w:t xml:space="preserve">We continue to observe </w:t>
      </w:r>
      <w:r w:rsidR="00F62849" w:rsidRPr="00E55265">
        <w:t>a higher prevalence of Class 4 venues in high deprivation areas</w:t>
      </w:r>
      <w:r w:rsidR="00E55265" w:rsidRPr="00E55265">
        <w:t xml:space="preserve"> (</w:t>
      </w:r>
      <w:r w:rsidR="00E55265" w:rsidRPr="00E55265">
        <w:fldChar w:fldCharType="begin"/>
      </w:r>
      <w:r w:rsidR="00E55265" w:rsidRPr="00E55265">
        <w:instrText xml:space="preserve"> REF _Ref152162478 \h  \* MERGEFORMAT </w:instrText>
      </w:r>
      <w:r w:rsidR="00E55265" w:rsidRPr="00E55265">
        <w:fldChar w:fldCharType="separate"/>
      </w:r>
      <w:r w:rsidR="004F4DA7">
        <w:t xml:space="preserve">Figure </w:t>
      </w:r>
      <w:r w:rsidR="004F4DA7">
        <w:rPr>
          <w:noProof/>
        </w:rPr>
        <w:t>5</w:t>
      </w:r>
      <w:r w:rsidR="00E55265" w:rsidRPr="00E55265">
        <w:fldChar w:fldCharType="end"/>
      </w:r>
      <w:r w:rsidR="00E55265" w:rsidRPr="00E55265">
        <w:t>)</w:t>
      </w:r>
      <w:r w:rsidR="00D95D0C" w:rsidRPr="00E55265">
        <w:t xml:space="preserve"> </w:t>
      </w:r>
      <w:r w:rsidR="00D95D0C" w:rsidRPr="00E55265">
        <w:fldChar w:fldCharType="begin"/>
      </w:r>
      <w:r w:rsidR="00715B07">
        <w:instrText xml:space="preserve"> ADDIN ZOTERO_ITEM CSL_CITATION {"citationID":"9FxCH13Z","properties":{"formattedCitation":"(Department of Internal Affairs, 2023c)","plainCitation":"(Department of Internal Affairs, 2023c)","noteIndex":0},"citationItems":[{"id":1340,"uris":["http://zotero.org/users/11111291/items/6IGEKFY8"],"itemData":{"id":1340,"type":"dataset","title":"GMP Dashboard","URL":"https://www.dia.govt.nz/gambling-statistics-gmp-dashboard","author":[{"literal":"Department of Internal Affairs"}],"issued":{"date-parts":[["2023"]]}}}],"schema":"https://github.com/citation-style-language/schema/raw/master/csl-citation.json"} </w:instrText>
      </w:r>
      <w:r w:rsidR="00D95D0C" w:rsidRPr="00E55265">
        <w:fldChar w:fldCharType="separate"/>
      </w:r>
      <w:r w:rsidR="00252AA4" w:rsidRPr="000271F5">
        <w:t>(Department of Internal Affairs, 2023c)</w:t>
      </w:r>
      <w:r w:rsidR="00D95D0C" w:rsidRPr="00E55265">
        <w:fldChar w:fldCharType="end"/>
      </w:r>
      <w:r w:rsidR="00F62849" w:rsidRPr="00E55265">
        <w:t>.</w:t>
      </w:r>
    </w:p>
    <w:p w14:paraId="3B9139DA" w14:textId="0F546B29" w:rsidR="00692110" w:rsidRDefault="007530D9" w:rsidP="007530D9">
      <w:pPr>
        <w:pStyle w:val="Caption"/>
      </w:pPr>
      <w:bookmarkStart w:id="101" w:name="_Ref152162478"/>
      <w:bookmarkStart w:id="102" w:name="_Toc166580300"/>
      <w:r>
        <w:t xml:space="preserve">Figure </w:t>
      </w:r>
      <w:r>
        <w:fldChar w:fldCharType="begin"/>
      </w:r>
      <w:r>
        <w:instrText>SEQ Figure \* ARABIC</w:instrText>
      </w:r>
      <w:r>
        <w:fldChar w:fldCharType="separate"/>
      </w:r>
      <w:r w:rsidR="004F4DA7">
        <w:rPr>
          <w:noProof/>
        </w:rPr>
        <w:t>5</w:t>
      </w:r>
      <w:r>
        <w:fldChar w:fldCharType="end"/>
      </w:r>
      <w:bookmarkEnd w:id="101"/>
      <w:r w:rsidR="009410B0">
        <w:t xml:space="preserve">: </w:t>
      </w:r>
      <w:r>
        <w:t>Number of Class 4 venues by deprivation rating</w:t>
      </w:r>
      <w:r w:rsidR="00F62849">
        <w:t xml:space="preserve"> (DIA, 2023)</w:t>
      </w:r>
      <w:bookmarkEnd w:id="102"/>
    </w:p>
    <w:p w14:paraId="0B03DF3F" w14:textId="04CE95A1" w:rsidR="00692110" w:rsidRPr="007D7D39" w:rsidRDefault="004E5943" w:rsidP="007D7D39">
      <w:r>
        <w:rPr>
          <w:noProof/>
        </w:rPr>
        <w:drawing>
          <wp:inline distT="0" distB="0" distL="0" distR="0" wp14:anchorId="044EE442" wp14:editId="1DE638A7">
            <wp:extent cx="5475111" cy="3286522"/>
            <wp:effectExtent l="0" t="0" r="0" b="9525"/>
            <wp:docPr id="8" name="Graphic 8" descr="A bar chart showing the number of class 4 venues by deprivation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A bar chart showing the number of class 4 venues by deprivation rating"/>
                    <pic:cNvPicPr/>
                  </pic:nvPicPr>
                  <pic:blipFill>
                    <a:blip r:embed="rId25">
                      <a:extLst>
                        <a:ext uri="{96DAC541-7B7A-43D3-8B79-37D633B846F1}">
                          <asvg:svgBlip xmlns:asvg="http://schemas.microsoft.com/office/drawing/2016/SVG/main" r:embed="rId26"/>
                        </a:ext>
                      </a:extLst>
                    </a:blip>
                    <a:stretch>
                      <a:fillRect/>
                    </a:stretch>
                  </pic:blipFill>
                  <pic:spPr>
                    <a:xfrm>
                      <a:off x="0" y="0"/>
                      <a:ext cx="5478856" cy="3288770"/>
                    </a:xfrm>
                    <a:prstGeom prst="rect">
                      <a:avLst/>
                    </a:prstGeom>
                  </pic:spPr>
                </pic:pic>
              </a:graphicData>
            </a:graphic>
          </wp:inline>
        </w:drawing>
      </w:r>
    </w:p>
    <w:p w14:paraId="03E70153" w14:textId="2A468D2C" w:rsidR="00B2596C" w:rsidRDefault="00B2596C" w:rsidP="00B2596C">
      <w:bookmarkStart w:id="103" w:name="_Ref65075608"/>
      <w:bookmarkStart w:id="104" w:name="_Toc65250305"/>
      <w:bookmarkStart w:id="105" w:name="_Toc76469780"/>
      <w:r>
        <w:t>Although the</w:t>
      </w:r>
      <w:r w:rsidR="001B5D83">
        <w:t xml:space="preserve">re </w:t>
      </w:r>
      <w:r w:rsidR="00350004">
        <w:t>continue</w:t>
      </w:r>
      <w:r w:rsidR="006D5F02">
        <w:t>s</w:t>
      </w:r>
      <w:r w:rsidR="00350004">
        <w:t xml:space="preserve"> to be inequities, the proportion of Class 4 venues in high</w:t>
      </w:r>
      <w:r w:rsidR="00A706B9">
        <w:t>er</w:t>
      </w:r>
      <w:r w:rsidR="00350004">
        <w:t xml:space="preserve"> deprivation areas has decreased, a</w:t>
      </w:r>
      <w:r w:rsidR="000B1A72">
        <w:t xml:space="preserve">s the reductions have primarily been in these areas. </w:t>
      </w:r>
      <w:r w:rsidR="00983061">
        <w:t>Fifty-one</w:t>
      </w:r>
      <w:r w:rsidR="00B24AF3">
        <w:t xml:space="preserve"> out of the </w:t>
      </w:r>
      <w:r w:rsidR="0039572E">
        <w:t xml:space="preserve">53 </w:t>
      </w:r>
      <w:r w:rsidR="0039572E">
        <w:lastRenderedPageBreak/>
        <w:t xml:space="preserve">net reduction in venues in this timeframe have been in </w:t>
      </w:r>
      <w:r w:rsidR="00C53115">
        <w:t>m</w:t>
      </w:r>
      <w:r w:rsidR="0039572E">
        <w:t xml:space="preserve">edium high and </w:t>
      </w:r>
      <w:r w:rsidR="00C53115">
        <w:t>v</w:t>
      </w:r>
      <w:r w:rsidR="0039572E">
        <w:t xml:space="preserve">ery high </w:t>
      </w:r>
      <w:r w:rsidR="00A706B9">
        <w:t xml:space="preserve">deprivation </w:t>
      </w:r>
      <w:r w:rsidR="0039572E">
        <w:t xml:space="preserve">areas. </w:t>
      </w:r>
    </w:p>
    <w:p w14:paraId="732829A5" w14:textId="51D1FBEC" w:rsidR="007D7D39" w:rsidRDefault="007D7D39">
      <w:pPr>
        <w:pStyle w:val="Heading6"/>
      </w:pPr>
      <w:bookmarkStart w:id="106" w:name="_Ref157521820"/>
      <w:bookmarkStart w:id="107" w:name="_Toc166507377"/>
      <w:r w:rsidRPr="002F108B">
        <w:t xml:space="preserve">There </w:t>
      </w:r>
      <w:r w:rsidR="003D4671">
        <w:t>is evidence of policies effectively</w:t>
      </w:r>
      <w:r w:rsidRPr="002F108B">
        <w:t xml:space="preserve"> </w:t>
      </w:r>
      <w:bookmarkEnd w:id="103"/>
      <w:bookmarkEnd w:id="104"/>
      <w:bookmarkEnd w:id="105"/>
      <w:r w:rsidR="003D4671">
        <w:t>reducing the number of Class 4 EGMs and venues</w:t>
      </w:r>
      <w:bookmarkEnd w:id="106"/>
      <w:bookmarkEnd w:id="107"/>
    </w:p>
    <w:p w14:paraId="32F72179" w14:textId="26859017" w:rsidR="00A74A5D" w:rsidRDefault="00A74A5D" w:rsidP="000271F5">
      <w:pPr>
        <w:keepNext/>
        <w:rPr>
          <w:shd w:val="clear" w:color="auto" w:fill="FFFFFF"/>
        </w:rPr>
      </w:pPr>
      <w:bookmarkStart w:id="108" w:name="_Toc65250306"/>
      <w:bookmarkStart w:id="109" w:name="_Toc76469781"/>
      <w:r>
        <w:rPr>
          <w:shd w:val="clear" w:color="auto" w:fill="FFFFFF"/>
        </w:rPr>
        <w:t xml:space="preserve">The New Zealand Work Research Institute and Sense </w:t>
      </w:r>
      <w:r w:rsidRPr="00FE6C5C">
        <w:rPr>
          <w:rFonts w:cs="Calibri"/>
          <w:shd w:val="clear" w:color="auto" w:fill="FFFFFF"/>
        </w:rPr>
        <w:t xml:space="preserve">Partners </w:t>
      </w:r>
      <w:r w:rsidRPr="00FE6C5C">
        <w:rPr>
          <w:rFonts w:cs="Calibri"/>
          <w:shd w:val="clear" w:color="auto" w:fill="FFFFFF"/>
        </w:rPr>
        <w:fldChar w:fldCharType="begin"/>
      </w:r>
      <w:r w:rsidR="00715B07" w:rsidRPr="00FE6C5C">
        <w:rPr>
          <w:rFonts w:cs="Calibri"/>
          <w:shd w:val="clear" w:color="auto" w:fill="FFFFFF"/>
        </w:rPr>
        <w:instrText xml:space="preserve"> ADDIN ZOTERO_ITEM CSL_CITATION {"citationID":"41fSM94W","properties":{"formattedCitation":"(Erwin et al., 2020)","plainCitation":"(Erwin et al., 2020)","noteIndex":0},"citationItems":[{"id":1339,"uris":["http://zotero.org/users/11111291/items/9GN7PUZK"],"itemData":{"id":1339,"type":"report","abstract":"An analysis of the impact of territorial authority electronic gaming machine (class 4) policy on gambling harm in New Zealand.","language":"en","publisher":"New Zealand Work Research Institute, Sense Partners","title":"Capping Gambling in NZ: The effectiveness of local government policy interventions","URL":"https://www.health.govt.nz/system/files/documents/publications/capping_gambling_in_nz.pdf","author":[{"family":"Erwin","given":"Christopher"},{"family":"Lees","given":"Kirdan"},{"family":"Pacheco","given":"Gail"},{"family":"Turcu","given":"Alexandra"}],"accessed":{"date-parts":[["2023",11,29]]},"issued":{"date-parts":[["2020"]]}}}],"schema":"https://github.com/citation-style-language/schema/raw/master/csl-citation.json"} </w:instrText>
      </w:r>
      <w:r w:rsidRPr="00FE6C5C">
        <w:rPr>
          <w:rFonts w:cs="Calibri"/>
          <w:shd w:val="clear" w:color="auto" w:fill="FFFFFF"/>
        </w:rPr>
        <w:fldChar w:fldCharType="separate"/>
      </w:r>
      <w:r w:rsidRPr="00011146">
        <w:rPr>
          <w:rFonts w:cs="Calibri"/>
        </w:rPr>
        <w:t>(Erwin et al., 2020)</w:t>
      </w:r>
      <w:r w:rsidRPr="00FE6C5C">
        <w:rPr>
          <w:rFonts w:cs="Calibri"/>
          <w:shd w:val="clear" w:color="auto" w:fill="FFFFFF"/>
        </w:rPr>
        <w:fldChar w:fldCharType="end"/>
      </w:r>
      <w:r w:rsidRPr="00FE6C5C">
        <w:rPr>
          <w:rFonts w:cs="Calibri"/>
          <w:shd w:val="clear" w:color="auto" w:fill="FFFFFF"/>
        </w:rPr>
        <w:t xml:space="preserve"> </w:t>
      </w:r>
      <w:r w:rsidR="5F33400F" w:rsidRPr="00FE6C5C">
        <w:rPr>
          <w:rFonts w:cs="Calibri"/>
          <w:shd w:val="clear" w:color="auto" w:fill="FFFFFF"/>
        </w:rPr>
        <w:t>reported</w:t>
      </w:r>
      <w:r>
        <w:rPr>
          <w:shd w:val="clear" w:color="auto" w:fill="FFFFFF"/>
        </w:rPr>
        <w:t xml:space="preserve"> that the following policy interventions were effective in reducing the number of Class 4 EGMs and venues in New Zealand: </w:t>
      </w:r>
    </w:p>
    <w:p w14:paraId="4DCBF187" w14:textId="7608E535" w:rsidR="00A74A5D" w:rsidRPr="000271F5" w:rsidRDefault="00D3443B" w:rsidP="007156C7">
      <w:pPr>
        <w:pStyle w:val="ListBullet"/>
        <w:numPr>
          <w:ilvl w:val="0"/>
          <w:numId w:val="31"/>
        </w:numPr>
      </w:pPr>
      <w:r>
        <w:t>A</w:t>
      </w:r>
      <w:r w:rsidR="00A74A5D" w:rsidRPr="000271F5">
        <w:t>bsolute caps on the number of EGMs and/or venues</w:t>
      </w:r>
      <w:r w:rsidR="00EC190C">
        <w:t>;</w:t>
      </w:r>
    </w:p>
    <w:p w14:paraId="23FDA854" w14:textId="274D4BAA" w:rsidR="00A74A5D" w:rsidRPr="000271F5" w:rsidRDefault="00D3443B" w:rsidP="007156C7">
      <w:pPr>
        <w:pStyle w:val="ListBullet"/>
        <w:numPr>
          <w:ilvl w:val="0"/>
          <w:numId w:val="31"/>
        </w:numPr>
      </w:pPr>
      <w:r>
        <w:t>P</w:t>
      </w:r>
      <w:r w:rsidR="00A74A5D" w:rsidRPr="000271F5">
        <w:t>er capita caps on the number of EGMs and/or venues</w:t>
      </w:r>
      <w:r w:rsidR="00EC190C">
        <w:t>; and</w:t>
      </w:r>
    </w:p>
    <w:p w14:paraId="552F61A7" w14:textId="04942142" w:rsidR="00A74A5D" w:rsidRPr="000271F5" w:rsidRDefault="00D3443B" w:rsidP="007156C7">
      <w:pPr>
        <w:pStyle w:val="ListBullet"/>
        <w:numPr>
          <w:ilvl w:val="0"/>
          <w:numId w:val="31"/>
        </w:numPr>
      </w:pPr>
      <w:r>
        <w:t>S</w:t>
      </w:r>
      <w:r w:rsidR="00A74A5D" w:rsidRPr="000271F5">
        <w:t xml:space="preserve">inking lid policies (restricting transfer of Class 4 </w:t>
      </w:r>
      <w:r w:rsidR="00332C00" w:rsidRPr="000271F5">
        <w:t>licen</w:t>
      </w:r>
      <w:r w:rsidR="00332C00">
        <w:t>c</w:t>
      </w:r>
      <w:r w:rsidR="00332C00" w:rsidRPr="000271F5">
        <w:t xml:space="preserve">es </w:t>
      </w:r>
      <w:r w:rsidR="00A74A5D" w:rsidRPr="000271F5">
        <w:t>to slowly reduce availability over time).</w:t>
      </w:r>
    </w:p>
    <w:p w14:paraId="4EF675A6" w14:textId="393A5B14" w:rsidR="00E77BFF" w:rsidRDefault="00A74A5D" w:rsidP="00A74A5D">
      <w:pPr>
        <w:rPr>
          <w:shd w:val="clear" w:color="auto" w:fill="FFFFFF"/>
        </w:rPr>
      </w:pPr>
      <w:r>
        <w:rPr>
          <w:shd w:val="clear" w:color="auto" w:fill="FFFFFF"/>
        </w:rPr>
        <w:t xml:space="preserve">They found that sinking lids and per capita caps reduced gambling expenditure by 13 to 14 per cent relative to the reference group of territorial authorities with no restrictions other than those in the Gambling Act. Additionally, absolute caps were found to reduce expenditure by 10 per cent. </w:t>
      </w:r>
      <w:r w:rsidR="0010000F">
        <w:rPr>
          <w:shd w:val="clear" w:color="auto" w:fill="FFFFFF"/>
        </w:rPr>
        <w:fldChar w:fldCharType="begin"/>
      </w:r>
      <w:r w:rsidR="0010000F">
        <w:rPr>
          <w:shd w:val="clear" w:color="auto" w:fill="FFFFFF"/>
        </w:rPr>
        <w:instrText xml:space="preserve"> REF _Ref152166708 \h </w:instrText>
      </w:r>
      <w:r w:rsidR="00583367">
        <w:rPr>
          <w:shd w:val="clear" w:color="auto" w:fill="FFFFFF"/>
        </w:rPr>
        <w:instrText xml:space="preserve"> \* MERGEFORMAT </w:instrText>
      </w:r>
      <w:r w:rsidR="0010000F">
        <w:rPr>
          <w:shd w:val="clear" w:color="auto" w:fill="FFFFFF"/>
        </w:rPr>
      </w:r>
      <w:r w:rsidR="0010000F">
        <w:rPr>
          <w:shd w:val="clear" w:color="auto" w:fill="FFFFFF"/>
        </w:rPr>
        <w:fldChar w:fldCharType="separate"/>
      </w:r>
      <w:r w:rsidR="004F4DA7">
        <w:t xml:space="preserve">Figure </w:t>
      </w:r>
      <w:r w:rsidR="004F4DA7">
        <w:rPr>
          <w:noProof/>
        </w:rPr>
        <w:t>6</w:t>
      </w:r>
      <w:r w:rsidR="0010000F">
        <w:rPr>
          <w:shd w:val="clear" w:color="auto" w:fill="FFFFFF"/>
        </w:rPr>
        <w:fldChar w:fldCharType="end"/>
      </w:r>
      <w:r w:rsidR="0010000F">
        <w:rPr>
          <w:shd w:val="clear" w:color="auto" w:fill="FFFFFF"/>
        </w:rPr>
        <w:t xml:space="preserve"> shows the </w:t>
      </w:r>
      <w:r w:rsidR="00C419BC">
        <w:rPr>
          <w:shd w:val="clear" w:color="auto" w:fill="FFFFFF"/>
        </w:rPr>
        <w:t>increas</w:t>
      </w:r>
      <w:r w:rsidR="001E579B">
        <w:rPr>
          <w:shd w:val="clear" w:color="auto" w:fill="FFFFFF"/>
        </w:rPr>
        <w:t>ing</w:t>
      </w:r>
      <w:r w:rsidR="00C419BC">
        <w:rPr>
          <w:shd w:val="clear" w:color="auto" w:fill="FFFFFF"/>
        </w:rPr>
        <w:t xml:space="preserve"> </w:t>
      </w:r>
      <w:r w:rsidR="001E579B">
        <w:rPr>
          <w:shd w:val="clear" w:color="auto" w:fill="FFFFFF"/>
        </w:rPr>
        <w:t>implementation</w:t>
      </w:r>
      <w:r w:rsidR="00C419BC">
        <w:rPr>
          <w:shd w:val="clear" w:color="auto" w:fill="FFFFFF"/>
        </w:rPr>
        <w:t xml:space="preserve"> of gambling policies across Territorial Local Authorities (TLAs) </w:t>
      </w:r>
      <w:r w:rsidR="001E579B">
        <w:rPr>
          <w:shd w:val="clear" w:color="auto" w:fill="FFFFFF"/>
        </w:rPr>
        <w:t>in</w:t>
      </w:r>
      <w:r w:rsidR="00C419BC">
        <w:rPr>
          <w:shd w:val="clear" w:color="auto" w:fill="FFFFFF"/>
        </w:rPr>
        <w:t xml:space="preserve"> NZ</w:t>
      </w:r>
      <w:r w:rsidR="001E579B">
        <w:rPr>
          <w:shd w:val="clear" w:color="auto" w:fill="FFFFFF"/>
        </w:rPr>
        <w:t>.</w:t>
      </w:r>
    </w:p>
    <w:p w14:paraId="504E6BB9" w14:textId="37FC8115" w:rsidR="00E77BFF" w:rsidRDefault="00E77BFF" w:rsidP="00E77BFF">
      <w:pPr>
        <w:pStyle w:val="Caption"/>
        <w:rPr>
          <w:shd w:val="clear" w:color="auto" w:fill="FFFFFF"/>
        </w:rPr>
      </w:pPr>
      <w:bookmarkStart w:id="110" w:name="_Ref152166708"/>
      <w:bookmarkStart w:id="111" w:name="_Toc166580301"/>
      <w:r>
        <w:t xml:space="preserve">Figure </w:t>
      </w:r>
      <w:r>
        <w:fldChar w:fldCharType="begin"/>
      </w:r>
      <w:r>
        <w:instrText>SEQ Figure \* ARABIC</w:instrText>
      </w:r>
      <w:r>
        <w:fldChar w:fldCharType="separate"/>
      </w:r>
      <w:r w:rsidR="004F4DA7">
        <w:rPr>
          <w:noProof/>
        </w:rPr>
        <w:t>6</w:t>
      </w:r>
      <w:r>
        <w:fldChar w:fldCharType="end"/>
      </w:r>
      <w:bookmarkEnd w:id="110"/>
      <w:r w:rsidR="003C167F">
        <w:t xml:space="preserve">: </w:t>
      </w:r>
      <w:r w:rsidR="00B06ADD">
        <w:t>Gambling policies in Territorial Local Authorities (</w:t>
      </w:r>
      <w:r w:rsidR="00C419BC">
        <w:t>Ministry of Health, 2023</w:t>
      </w:r>
      <w:r w:rsidR="00B06ADD">
        <w:t>)</w:t>
      </w:r>
      <w:bookmarkEnd w:id="111"/>
      <w:r w:rsidR="00B06ADD">
        <w:t xml:space="preserve"> </w:t>
      </w:r>
    </w:p>
    <w:p w14:paraId="256DE56F" w14:textId="70017371" w:rsidR="006F1B0F" w:rsidRDefault="0049607B" w:rsidP="000271F5">
      <w:pPr>
        <w:spacing w:after="0"/>
        <w:rPr>
          <w:shd w:val="clear" w:color="auto" w:fill="FFFFFF"/>
        </w:rPr>
      </w:pPr>
      <w:r>
        <w:rPr>
          <w:noProof/>
        </w:rPr>
        <w:drawing>
          <wp:inline distT="0" distB="0" distL="0" distR="0" wp14:anchorId="4FE33C0F" wp14:editId="1C53F1C5">
            <wp:extent cx="5731510" cy="3435985"/>
            <wp:effectExtent l="0" t="0" r="2540" b="0"/>
            <wp:docPr id="39" name="Graphic 39" descr="A bar chart showing gambling policies in Territorial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A bar chart showing gambling policies in Territorial Local Authorities"/>
                    <pic:cNvPicPr/>
                  </pic:nvPicPr>
                  <pic:blipFill>
                    <a:blip r:embed="rId27">
                      <a:extLst>
                        <a:ext uri="{96DAC541-7B7A-43D3-8B79-37D633B846F1}">
                          <asvg:svgBlip xmlns:asvg="http://schemas.microsoft.com/office/drawing/2016/SVG/main" r:embed="rId28"/>
                        </a:ext>
                      </a:extLst>
                    </a:blip>
                    <a:stretch>
                      <a:fillRect/>
                    </a:stretch>
                  </pic:blipFill>
                  <pic:spPr>
                    <a:xfrm>
                      <a:off x="0" y="0"/>
                      <a:ext cx="5731510" cy="3435985"/>
                    </a:xfrm>
                    <a:prstGeom prst="rect">
                      <a:avLst/>
                    </a:prstGeom>
                  </pic:spPr>
                </pic:pic>
              </a:graphicData>
            </a:graphic>
          </wp:inline>
        </w:drawing>
      </w:r>
    </w:p>
    <w:p w14:paraId="07AA3099" w14:textId="4DEB5E34" w:rsidR="003D46BE" w:rsidRPr="003D46BE" w:rsidRDefault="003D46BE" w:rsidP="000271F5">
      <w:pPr>
        <w:pStyle w:val="Source"/>
      </w:pPr>
      <w:r>
        <w:t xml:space="preserve">Note: </w:t>
      </w:r>
      <w:r w:rsidR="00D44EA1">
        <w:t>Number of TLAs = 67</w:t>
      </w:r>
    </w:p>
    <w:p w14:paraId="38FDE516" w14:textId="5D21C615" w:rsidR="00A74A5D" w:rsidRDefault="003D46BE" w:rsidP="000271F5">
      <w:pPr>
        <w:keepNext/>
      </w:pPr>
      <w:r>
        <w:lastRenderedPageBreak/>
        <w:t xml:space="preserve">This data highlights the following </w:t>
      </w:r>
      <w:r w:rsidR="00D44EA1">
        <w:t>changes from 2020 to 2023</w:t>
      </w:r>
      <w:r>
        <w:t>:</w:t>
      </w:r>
    </w:p>
    <w:p w14:paraId="14D01F81" w14:textId="0C7BE7D2" w:rsidR="003D46BE" w:rsidRDefault="00D3443B" w:rsidP="00FB3D6A">
      <w:pPr>
        <w:pStyle w:val="ListBullet"/>
        <w:numPr>
          <w:ilvl w:val="0"/>
          <w:numId w:val="30"/>
        </w:numPr>
      </w:pPr>
      <w:r>
        <w:t>T</w:t>
      </w:r>
      <w:r w:rsidR="003D46BE">
        <w:t xml:space="preserve">he proportion </w:t>
      </w:r>
      <w:r w:rsidR="00D44EA1">
        <w:t xml:space="preserve">of TLAs with no restrictions has decreased </w:t>
      </w:r>
      <w:r w:rsidR="009E208F">
        <w:t>significantly</w:t>
      </w:r>
      <w:r w:rsidR="00D44EA1">
        <w:t xml:space="preserve"> from </w:t>
      </w:r>
      <w:r w:rsidR="009E208F">
        <w:t>37</w:t>
      </w:r>
      <w:r w:rsidR="00D9625C">
        <w:t xml:space="preserve"> per cent</w:t>
      </w:r>
      <w:r w:rsidR="009E208F">
        <w:t xml:space="preserve"> to 10</w:t>
      </w:r>
      <w:r w:rsidR="00D9625C">
        <w:t xml:space="preserve"> per cent</w:t>
      </w:r>
      <w:r w:rsidR="009E208F">
        <w:t xml:space="preserve"> (25 to 7)</w:t>
      </w:r>
    </w:p>
    <w:p w14:paraId="06A2275B" w14:textId="08792574" w:rsidR="009E208F" w:rsidRDefault="00D3443B" w:rsidP="00FB3D6A">
      <w:pPr>
        <w:pStyle w:val="ListBullet"/>
        <w:numPr>
          <w:ilvl w:val="0"/>
          <w:numId w:val="30"/>
        </w:numPr>
      </w:pPr>
      <w:r>
        <w:t>T</w:t>
      </w:r>
      <w:r w:rsidR="00E00913">
        <w:t xml:space="preserve">he </w:t>
      </w:r>
      <w:r w:rsidR="00813E25">
        <w:t>share</w:t>
      </w:r>
      <w:r w:rsidR="00E00913">
        <w:t xml:space="preserve"> of TLAs </w:t>
      </w:r>
      <w:r w:rsidR="00977011">
        <w:t xml:space="preserve">restricting new machines and venues </w:t>
      </w:r>
      <w:r w:rsidR="008C7C63">
        <w:t xml:space="preserve">has increased </w:t>
      </w:r>
      <w:r w:rsidR="00864067">
        <w:t>from 43</w:t>
      </w:r>
      <w:r w:rsidR="00D9625C">
        <w:t xml:space="preserve"> per cent</w:t>
      </w:r>
      <w:r w:rsidR="00864067">
        <w:t xml:space="preserve"> to 51</w:t>
      </w:r>
      <w:r w:rsidR="00D9625C">
        <w:t xml:space="preserve"> per cent</w:t>
      </w:r>
      <w:r w:rsidR="00864067">
        <w:t xml:space="preserve"> (</w:t>
      </w:r>
      <w:r w:rsidR="00271903">
        <w:t>29 to 34)</w:t>
      </w:r>
    </w:p>
    <w:p w14:paraId="1CEEA238" w14:textId="4DB1321F" w:rsidR="00271903" w:rsidRDefault="00D3443B" w:rsidP="00FB3D6A">
      <w:pPr>
        <w:pStyle w:val="ListBullet"/>
        <w:numPr>
          <w:ilvl w:val="0"/>
          <w:numId w:val="30"/>
        </w:numPr>
      </w:pPr>
      <w:r>
        <w:t>A</w:t>
      </w:r>
      <w:r w:rsidR="0068625D">
        <w:t xml:space="preserve">n additional </w:t>
      </w:r>
      <w:r w:rsidR="000D7B68">
        <w:t>18 TLAs have set a cap on the number of machines and venues</w:t>
      </w:r>
      <w:r w:rsidR="00FA052C">
        <w:t xml:space="preserve"> (5 to 23)</w:t>
      </w:r>
    </w:p>
    <w:p w14:paraId="3AA5E28B" w14:textId="6AEAE787" w:rsidR="00D95B2B" w:rsidRDefault="00D3443B" w:rsidP="00FB3D6A">
      <w:pPr>
        <w:pStyle w:val="ListBullet"/>
        <w:numPr>
          <w:ilvl w:val="0"/>
          <w:numId w:val="30"/>
        </w:numPr>
      </w:pPr>
      <w:r>
        <w:t>O</w:t>
      </w:r>
      <w:r w:rsidR="00D95B2B">
        <w:t xml:space="preserve">nly 3 TLAs </w:t>
      </w:r>
      <w:r w:rsidR="00C751C9">
        <w:t>now have a machine/venue to population ratio, a reduction from 8 three years ago</w:t>
      </w:r>
      <w:r w:rsidR="003C167F">
        <w:t>.</w:t>
      </w:r>
    </w:p>
    <w:p w14:paraId="3F814BB2" w14:textId="74EB8E1E" w:rsidR="001907B9" w:rsidRDefault="00236F24" w:rsidP="001907B9">
      <w:r>
        <w:fldChar w:fldCharType="begin"/>
      </w:r>
      <w:r w:rsidR="00715B07">
        <w:instrText xml:space="preserve"> ADDIN ZOTERO_ITEM CSL_CITATION {"citationID":"fKWWcYv6","properties":{"formattedCitation":"(Rimal et al., 2023)","plainCitation":"(Rimal et al., 2023)","dontUpdate":true,"noteIndex":0},"citationItems":[{"id":1452,"uris":["http://zotero.org/users/11111291/items/GIBRTRCB"],"itemData":{"id":1452,"type":"article-journal","abstract":"Electronic gaming machines (EGMs) are one of the most addictive and harmful forms of gambling. Gaming machine characteristics, easy accessibility of EGMs and normalisation of gambling behaviour have exacerbated these effects. We conducted a pilot study investigating the perspectives of gambling expert stakeholders on gambling harm and effective harm-minimisation policies regarding EGMs. In-depth individual interviews were undertaken with 14 health professionals working in the addiction sector, academics in the field of gambling and individuals from a range of government and non-government organisations who have an impact on gambling policy making in New Zealand. Five major themes were identified: the need to shift focus from problematic people to the problematic product, the need for a holistic approach to gambling intervention, focus on creating an empowered population, and improving protective factors and refining public health initiatives to gambling harm. The results suggest the need to challenge current narratives of EGM-related gambling harm and have wide-ranging implications for EGM harm minimisation and health promotion policies.","container-title":"Health Policy (Amsterdam, Netherlands)","DOI":"10.1016/j.healthpol.2023.104897","ISSN":"1872-6054","journalAbbreviation":"Health Policy","language":"eng","note":"PMID: 37651971","page":"104897","source":"PubMed","title":"Perspectives from gambling expert stakeholders in relation to electronic gaming machines in New Zealand","volume":"136","author":[{"family":"Rimal","given":"Retina"},{"family":"Shepherd","given":"Robin-Marie"},{"family":"Curley","given":"Louise Elizabeth"},{"family":"Sundram","given":"Frederick"}],"issued":{"date-parts":[["2023",10]]}}}],"schema":"https://github.com/citation-style-language/schema/raw/master/csl-citation.json"} </w:instrText>
      </w:r>
      <w:r>
        <w:fldChar w:fldCharType="separate"/>
      </w:r>
      <w:r w:rsidRPr="00236F24">
        <w:rPr>
          <w:rFonts w:ascii="Segoe UI" w:hAnsi="Segoe UI" w:cs="Segoe UI"/>
        </w:rPr>
        <w:t xml:space="preserve">Rimal et al. </w:t>
      </w:r>
      <w:r>
        <w:rPr>
          <w:rFonts w:ascii="Segoe UI" w:hAnsi="Segoe UI" w:cs="Segoe UI"/>
        </w:rPr>
        <w:t>(</w:t>
      </w:r>
      <w:r w:rsidRPr="00236F24">
        <w:rPr>
          <w:rFonts w:ascii="Segoe UI" w:hAnsi="Segoe UI" w:cs="Segoe UI"/>
        </w:rPr>
        <w:t>2023)</w:t>
      </w:r>
      <w:r>
        <w:fldChar w:fldCharType="end"/>
      </w:r>
      <w:r>
        <w:t xml:space="preserve"> conducted a qualitative study </w:t>
      </w:r>
      <w:r w:rsidR="00520758">
        <w:t>to investigate the perspectives of gambling e</w:t>
      </w:r>
      <w:r w:rsidR="00465760">
        <w:t xml:space="preserve">xpert stakeholders </w:t>
      </w:r>
      <w:r w:rsidR="004F327A">
        <w:t>regarding EGM</w:t>
      </w:r>
      <w:r w:rsidR="004438F4">
        <w:t>s in New Zealand</w:t>
      </w:r>
      <w:r w:rsidR="004F327A">
        <w:t xml:space="preserve">. </w:t>
      </w:r>
      <w:r w:rsidR="005F2CEF">
        <w:t xml:space="preserve">They </w:t>
      </w:r>
      <w:r w:rsidR="001A650F">
        <w:t>interviewed</w:t>
      </w:r>
      <w:r w:rsidR="005F2CEF">
        <w:t xml:space="preserve"> policymakers, academics and health professionals </w:t>
      </w:r>
      <w:r w:rsidR="00C611F7">
        <w:t xml:space="preserve">on </w:t>
      </w:r>
      <w:r w:rsidR="0011256C">
        <w:t>gambling harm and harm-minimisation policies.</w:t>
      </w:r>
      <w:r w:rsidR="00926690">
        <w:t xml:space="preserve"> The following themes </w:t>
      </w:r>
      <w:r w:rsidR="00397568">
        <w:t xml:space="preserve">and recommendations </w:t>
      </w:r>
      <w:r w:rsidR="00926690">
        <w:t>were identified:</w:t>
      </w:r>
    </w:p>
    <w:p w14:paraId="5642E5FF" w14:textId="21DC9FD0" w:rsidR="00092EC0" w:rsidRDefault="00D3443B" w:rsidP="00FB3D6A">
      <w:pPr>
        <w:pStyle w:val="ListBullet"/>
        <w:numPr>
          <w:ilvl w:val="0"/>
          <w:numId w:val="30"/>
        </w:numPr>
      </w:pPr>
      <w:r>
        <w:t>T</w:t>
      </w:r>
      <w:r w:rsidR="005D01B6">
        <w:t>o shift</w:t>
      </w:r>
      <w:r w:rsidR="00092EC0" w:rsidRPr="00092EC0">
        <w:t xml:space="preserve"> focus from problematic people to the problematic product</w:t>
      </w:r>
    </w:p>
    <w:p w14:paraId="30433C63" w14:textId="27EBAC28" w:rsidR="00092EC0" w:rsidRDefault="00D3443B" w:rsidP="00FB3D6A">
      <w:pPr>
        <w:pStyle w:val="ListBullet"/>
        <w:numPr>
          <w:ilvl w:val="0"/>
          <w:numId w:val="30"/>
        </w:numPr>
      </w:pPr>
      <w:r>
        <w:t>T</w:t>
      </w:r>
      <w:r w:rsidR="00092EC0" w:rsidRPr="00092EC0">
        <w:t>he need for a holistic approach to gambling intervention</w:t>
      </w:r>
    </w:p>
    <w:p w14:paraId="4D9C7B7E" w14:textId="383998C8" w:rsidR="002322C2" w:rsidRDefault="00D3443B" w:rsidP="00FB3D6A">
      <w:pPr>
        <w:pStyle w:val="ListBullet"/>
        <w:numPr>
          <w:ilvl w:val="0"/>
          <w:numId w:val="30"/>
        </w:numPr>
      </w:pPr>
      <w:r>
        <w:t>T</w:t>
      </w:r>
      <w:r w:rsidR="00397568">
        <w:t xml:space="preserve">o </w:t>
      </w:r>
      <w:r w:rsidR="00092EC0" w:rsidRPr="00092EC0">
        <w:t>focus on creating an empowered population</w:t>
      </w:r>
    </w:p>
    <w:p w14:paraId="563D5A92" w14:textId="04D6C230" w:rsidR="00926690" w:rsidRDefault="00D3443B" w:rsidP="00FB3D6A">
      <w:pPr>
        <w:pStyle w:val="ListBullet"/>
        <w:numPr>
          <w:ilvl w:val="0"/>
          <w:numId w:val="30"/>
        </w:numPr>
      </w:pPr>
      <w:r>
        <w:t>I</w:t>
      </w:r>
      <w:r w:rsidR="00092EC0" w:rsidRPr="00092EC0">
        <w:t>mproving protective factors and refining public health initiatives to gambling harm</w:t>
      </w:r>
      <w:r w:rsidR="00797308">
        <w:t>.</w:t>
      </w:r>
    </w:p>
    <w:p w14:paraId="4FC1FCC9" w14:textId="376A69D5" w:rsidR="00FC1D8D" w:rsidRPr="00A06DF7" w:rsidRDefault="00CC656B" w:rsidP="000271F5">
      <w:pPr>
        <w:rPr>
          <w:rFonts w:cs="Calibri"/>
        </w:rPr>
      </w:pPr>
      <w:r w:rsidRPr="00A06DF7">
        <w:rPr>
          <w:rFonts w:cs="Calibri"/>
        </w:rPr>
        <w:t>A recent study found that</w:t>
      </w:r>
      <w:r w:rsidR="00883A67" w:rsidRPr="00A06DF7">
        <w:rPr>
          <w:rFonts w:cs="Calibri"/>
        </w:rPr>
        <w:t xml:space="preserve"> EGMs </w:t>
      </w:r>
      <w:r w:rsidR="00EF72C8" w:rsidRPr="00A06DF7">
        <w:rPr>
          <w:rFonts w:cs="Calibri"/>
        </w:rPr>
        <w:t xml:space="preserve">are responsible for more than </w:t>
      </w:r>
      <w:r w:rsidR="003D61C1" w:rsidRPr="00A06DF7">
        <w:rPr>
          <w:rFonts w:cs="Calibri"/>
        </w:rPr>
        <w:t xml:space="preserve">half of gambling-related issues </w:t>
      </w:r>
      <w:r w:rsidR="003D26C0" w:rsidRPr="00A06DF7">
        <w:rPr>
          <w:rFonts w:cs="Calibri"/>
        </w:rPr>
        <w:t>in Australia</w:t>
      </w:r>
      <w:r w:rsidR="00C3298F" w:rsidRPr="00A06DF7">
        <w:rPr>
          <w:rFonts w:cs="Calibri"/>
        </w:rPr>
        <w:t xml:space="preserve"> </w:t>
      </w:r>
      <w:r w:rsidR="00C3298F" w:rsidRPr="00A06DF7">
        <w:rPr>
          <w:rFonts w:cs="Calibri"/>
        </w:rPr>
        <w:fldChar w:fldCharType="begin"/>
      </w:r>
      <w:r w:rsidR="00715B07" w:rsidRPr="00A06DF7">
        <w:rPr>
          <w:rFonts w:cs="Calibri"/>
        </w:rPr>
        <w:instrText xml:space="preserve"> ADDIN ZOTERO_ITEM CSL_CITATION {"citationID":"PjvGZbiz","properties":{"formattedCitation":"(Browne et al., 2023)","plainCitation":"(Browne et al., 2023)","noteIndex":0},"citationItems":[{"id":1454,"uris":["http://zotero.org/users/11111291/items/NQAPBWLH"],"itemData":{"id":1454,"type":"article-journal","abstract":"Abstract Background and aims It is well understood that engagement with some forms of gambling, like EGMs, is riskier than other forms. However, while reports of associations are common, few studies have attempted to evaluate and compare the relative risk of all available forms, and none have estimated the relative contribution of each form to the total burden of gambling problems (GP) in a population. Methods Using an aggregated dataset of national and state-based prevalence studies in Australia (N = 71,103), we estimated prevalence and unique effects of frequency of engagement on each form on GP. Two alternative numerical methods were then applied to infer the relative contribution of each form to the total amount of GP. Results EGMs are responsible for 51%–57% of gambling problems in Australia, and 90% of gambling problems are attributable to EGMs, casino, race, and sports betting. Casino table games and EGMs are equally risky at the individual level, but the former contribute far less to problems due to low participation. Bingo and lottery play show no statistically detectable risk for GP. Discussion and conclusion The results illustrate which forms present the greatest population burden and illuminate the reasons why. EGMs have an outsized impact. EGM uniquely combines high risk conditional on play, with a high participation rate and a high frequency of play among participants. This is in contrast to risky but less commonly played casino games, and prevalent but non-risky forms like lotteries. We conclude that EGM regulation should be a primary focus of policy action in Australia. More innovative policy ideas relating to EGMs should be tested due to the disproportionate impact of this product type.","container-title":"Journal of Behavioral Addictions","DOI":"10.1556/2006.2022.00083","ISSN":"2063-5303, 2062-5871","issue":"1","language":"en","note":"number: 1\npublisher: Akadémiai Kiadó\nsection: Journal of Behavioral Addictions","page":"182-193","source":"akjournals.com","title":"Unambiguous evidence that over half of gambling problems in Australia are caused by electronic gambling machines: Results from a large-scale composite population study","title-short":"Unambiguous evidence that over half of gambling problems in Australia are caused by electronic gambling machines","volume":"12","author":[{"family":"Browne","given":"Matthew"},{"family":"Delfabbro","given":"Paul"},{"family":"Thorne","given":"Hannah B."},{"family":"Tulloch","given":"Catherine"},{"family":"Rockloff","given":"Matthew J."},{"family":"Hing","given":"Nerilee"},{"family":"Dowling","given":"Nicki A."},{"family":"Stevens","given":"Matthew"}],"issued":{"date-parts":[["2023",2,1]]}}}],"schema":"https://github.com/citation-style-language/schema/raw/master/csl-citation.json"} </w:instrText>
      </w:r>
      <w:r w:rsidR="00C3298F" w:rsidRPr="00A06DF7">
        <w:rPr>
          <w:rFonts w:cs="Calibri"/>
        </w:rPr>
        <w:fldChar w:fldCharType="separate"/>
      </w:r>
      <w:r w:rsidR="00C3298F" w:rsidRPr="00A06DF7">
        <w:rPr>
          <w:rFonts w:cs="Calibri"/>
        </w:rPr>
        <w:t>(Browne et al., 2023)</w:t>
      </w:r>
      <w:r w:rsidR="00C3298F" w:rsidRPr="00A06DF7">
        <w:rPr>
          <w:rFonts w:cs="Calibri"/>
        </w:rPr>
        <w:fldChar w:fldCharType="end"/>
      </w:r>
      <w:r w:rsidR="003D61C1" w:rsidRPr="00A06DF7">
        <w:rPr>
          <w:rFonts w:cs="Calibri"/>
        </w:rPr>
        <w:t>.</w:t>
      </w:r>
      <w:r w:rsidR="00A245C1" w:rsidRPr="00A06DF7">
        <w:rPr>
          <w:rFonts w:cs="Calibri"/>
        </w:rPr>
        <w:t xml:space="preserve"> </w:t>
      </w:r>
      <w:r w:rsidR="00C43512" w:rsidRPr="00A06DF7">
        <w:rPr>
          <w:rFonts w:cs="Calibri"/>
        </w:rPr>
        <w:t xml:space="preserve">Researchers used </w:t>
      </w:r>
      <w:r w:rsidR="00AF6E76" w:rsidRPr="00A06DF7">
        <w:rPr>
          <w:rFonts w:cs="Calibri"/>
        </w:rPr>
        <w:t xml:space="preserve">an aggregated dataset of national and state-based prevalence studies </w:t>
      </w:r>
      <w:r w:rsidR="00314540" w:rsidRPr="00A06DF7">
        <w:rPr>
          <w:rFonts w:cs="Calibri"/>
        </w:rPr>
        <w:t xml:space="preserve">to estimate the prevalence and effects </w:t>
      </w:r>
      <w:r w:rsidR="001008CD" w:rsidRPr="00A06DF7">
        <w:rPr>
          <w:rFonts w:cs="Calibri"/>
        </w:rPr>
        <w:t xml:space="preserve">of </w:t>
      </w:r>
      <w:r w:rsidR="00F13FD8" w:rsidRPr="00A06DF7">
        <w:rPr>
          <w:rFonts w:cs="Calibri"/>
        </w:rPr>
        <w:t xml:space="preserve">various </w:t>
      </w:r>
      <w:r w:rsidR="001008CD" w:rsidRPr="00A06DF7">
        <w:rPr>
          <w:rFonts w:cs="Calibri"/>
        </w:rPr>
        <w:t xml:space="preserve">gambling forms on the total burden of gambling problems. </w:t>
      </w:r>
      <w:r w:rsidR="00DF17B9" w:rsidRPr="00A06DF7">
        <w:rPr>
          <w:rFonts w:cs="Calibri"/>
        </w:rPr>
        <w:t xml:space="preserve">They found </w:t>
      </w:r>
      <w:r w:rsidR="008D325B" w:rsidRPr="00A06DF7">
        <w:rPr>
          <w:rFonts w:cs="Calibri"/>
        </w:rPr>
        <w:t xml:space="preserve">that EGMs </w:t>
      </w:r>
      <w:r w:rsidR="005609B6" w:rsidRPr="00A06DF7">
        <w:rPr>
          <w:rFonts w:cs="Calibri"/>
        </w:rPr>
        <w:t xml:space="preserve">are attributable </w:t>
      </w:r>
      <w:r w:rsidR="006A6B9B">
        <w:rPr>
          <w:rFonts w:cs="Calibri"/>
        </w:rPr>
        <w:t>from</w:t>
      </w:r>
      <w:r w:rsidR="006A6B9B" w:rsidRPr="00A06DF7">
        <w:rPr>
          <w:rFonts w:cs="Calibri"/>
        </w:rPr>
        <w:t xml:space="preserve"> </w:t>
      </w:r>
      <w:r w:rsidR="00DF17B9" w:rsidRPr="00A06DF7">
        <w:rPr>
          <w:rFonts w:cs="Calibri"/>
        </w:rPr>
        <w:t>51</w:t>
      </w:r>
      <w:r w:rsidR="00D9625C" w:rsidRPr="00A06DF7">
        <w:rPr>
          <w:rFonts w:cs="Calibri"/>
        </w:rPr>
        <w:t xml:space="preserve"> per cent</w:t>
      </w:r>
      <w:r w:rsidR="00E26262" w:rsidRPr="00A06DF7">
        <w:rPr>
          <w:rFonts w:cs="Calibri"/>
        </w:rPr>
        <w:t xml:space="preserve"> </w:t>
      </w:r>
      <w:r w:rsidR="005609B6" w:rsidRPr="00A06DF7">
        <w:rPr>
          <w:rFonts w:cs="Calibri"/>
        </w:rPr>
        <w:t>to</w:t>
      </w:r>
      <w:r w:rsidR="00E26262" w:rsidRPr="00A06DF7">
        <w:rPr>
          <w:rFonts w:cs="Calibri"/>
        </w:rPr>
        <w:t xml:space="preserve"> 57</w:t>
      </w:r>
      <w:r w:rsidR="00D9625C" w:rsidRPr="00A06DF7">
        <w:rPr>
          <w:rFonts w:cs="Calibri"/>
        </w:rPr>
        <w:t xml:space="preserve"> per cent</w:t>
      </w:r>
      <w:r w:rsidR="00E26262" w:rsidRPr="00A06DF7">
        <w:rPr>
          <w:rFonts w:cs="Calibri"/>
        </w:rPr>
        <w:t xml:space="preserve"> of gambling problems</w:t>
      </w:r>
      <w:r w:rsidR="008137B1" w:rsidRPr="00A06DF7">
        <w:rPr>
          <w:rFonts w:cs="Calibri"/>
        </w:rPr>
        <w:t xml:space="preserve"> in Australia, and 90</w:t>
      </w:r>
      <w:r w:rsidR="00D9625C" w:rsidRPr="00A06DF7">
        <w:rPr>
          <w:rFonts w:cs="Calibri"/>
        </w:rPr>
        <w:t xml:space="preserve"> per cent</w:t>
      </w:r>
      <w:r w:rsidR="008137B1" w:rsidRPr="00A06DF7">
        <w:rPr>
          <w:rFonts w:cs="Calibri"/>
        </w:rPr>
        <w:t xml:space="preserve"> of gambling problems are </w:t>
      </w:r>
      <w:r w:rsidR="005609B6" w:rsidRPr="00A06DF7">
        <w:rPr>
          <w:rFonts w:cs="Calibri"/>
        </w:rPr>
        <w:t>linked</w:t>
      </w:r>
      <w:r w:rsidR="008137B1" w:rsidRPr="00A06DF7">
        <w:rPr>
          <w:rFonts w:cs="Calibri"/>
        </w:rPr>
        <w:t xml:space="preserve"> to EGMs, casino, race and sports betting</w:t>
      </w:r>
      <w:r w:rsidR="00ED0B54" w:rsidRPr="00A06DF7">
        <w:rPr>
          <w:rFonts w:cs="Calibri"/>
        </w:rPr>
        <w:t>.</w:t>
      </w:r>
      <w:r w:rsidR="004F4547" w:rsidRPr="00A06DF7">
        <w:rPr>
          <w:rFonts w:cs="Calibri"/>
        </w:rPr>
        <w:t xml:space="preserve"> </w:t>
      </w:r>
      <w:r w:rsidR="00B6589E" w:rsidRPr="00A06DF7">
        <w:rPr>
          <w:rFonts w:cs="Calibri"/>
        </w:rPr>
        <w:t xml:space="preserve">EGMs pose high risks </w:t>
      </w:r>
      <w:r w:rsidR="00E86552" w:rsidRPr="00A06DF7">
        <w:rPr>
          <w:rFonts w:cs="Calibri"/>
        </w:rPr>
        <w:t xml:space="preserve">due to </w:t>
      </w:r>
      <w:r w:rsidR="008A7531" w:rsidRPr="00A06DF7">
        <w:rPr>
          <w:rFonts w:cs="Calibri"/>
        </w:rPr>
        <w:t>a high</w:t>
      </w:r>
      <w:r w:rsidR="00E86552" w:rsidRPr="00A06DF7">
        <w:rPr>
          <w:rFonts w:cs="Calibri"/>
        </w:rPr>
        <w:t xml:space="preserve"> participation rate</w:t>
      </w:r>
      <w:r w:rsidR="00C37996" w:rsidRPr="00A06DF7">
        <w:rPr>
          <w:rFonts w:cs="Calibri"/>
        </w:rPr>
        <w:t xml:space="preserve"> and high frequency of play among participants</w:t>
      </w:r>
      <w:r w:rsidR="00AB0B7B" w:rsidRPr="00A06DF7">
        <w:rPr>
          <w:rFonts w:cs="Calibri"/>
        </w:rPr>
        <w:t xml:space="preserve">, </w:t>
      </w:r>
      <w:r w:rsidR="008A7531" w:rsidRPr="00A06DF7">
        <w:rPr>
          <w:rFonts w:cs="Calibri"/>
        </w:rPr>
        <w:t>in contrast</w:t>
      </w:r>
      <w:r w:rsidR="00AB0B7B" w:rsidRPr="00A06DF7">
        <w:rPr>
          <w:rFonts w:cs="Calibri"/>
        </w:rPr>
        <w:t xml:space="preserve"> to risky but less </w:t>
      </w:r>
      <w:r w:rsidR="005B0B0B" w:rsidRPr="00A06DF7">
        <w:rPr>
          <w:rFonts w:cs="Calibri"/>
        </w:rPr>
        <w:t>frequently</w:t>
      </w:r>
      <w:r w:rsidR="00AB0B7B" w:rsidRPr="00A06DF7">
        <w:rPr>
          <w:rFonts w:cs="Calibri"/>
        </w:rPr>
        <w:t xml:space="preserve"> played casino games, and prevalent but non-risky forms </w:t>
      </w:r>
      <w:r w:rsidR="005B0B0B" w:rsidRPr="00A06DF7">
        <w:rPr>
          <w:rFonts w:cs="Calibri"/>
        </w:rPr>
        <w:t>such as</w:t>
      </w:r>
      <w:r w:rsidR="00AB0B7B" w:rsidRPr="00A06DF7">
        <w:rPr>
          <w:rFonts w:cs="Calibri"/>
        </w:rPr>
        <w:t xml:space="preserve"> lotteries.</w:t>
      </w:r>
      <w:r w:rsidR="006B0FCD" w:rsidRPr="00A06DF7">
        <w:rPr>
          <w:rFonts w:cs="Calibri"/>
        </w:rPr>
        <w:t xml:space="preserve"> The researchers </w:t>
      </w:r>
      <w:r w:rsidR="00173CC3" w:rsidRPr="00A06DF7">
        <w:rPr>
          <w:rFonts w:cs="Calibri"/>
        </w:rPr>
        <w:t>determined</w:t>
      </w:r>
      <w:r w:rsidR="006B0FCD" w:rsidRPr="00A06DF7">
        <w:rPr>
          <w:rFonts w:cs="Calibri"/>
        </w:rPr>
        <w:t xml:space="preserve"> that </w:t>
      </w:r>
      <w:r w:rsidR="003D094B" w:rsidRPr="00A06DF7">
        <w:rPr>
          <w:rFonts w:cs="Calibri"/>
        </w:rPr>
        <w:t xml:space="preserve">EGM regulation should be a </w:t>
      </w:r>
      <w:r w:rsidR="00173CC3" w:rsidRPr="00A06DF7">
        <w:rPr>
          <w:rFonts w:cs="Calibri"/>
        </w:rPr>
        <w:t>central</w:t>
      </w:r>
      <w:r w:rsidR="003D094B" w:rsidRPr="00A06DF7">
        <w:rPr>
          <w:rFonts w:cs="Calibri"/>
        </w:rPr>
        <w:t xml:space="preserve"> focus of </w:t>
      </w:r>
      <w:r w:rsidR="001C0E55" w:rsidRPr="00A06DF7">
        <w:rPr>
          <w:rFonts w:cs="Calibri"/>
        </w:rPr>
        <w:t xml:space="preserve">gambling </w:t>
      </w:r>
      <w:r w:rsidR="003D094B" w:rsidRPr="00A06DF7">
        <w:rPr>
          <w:rFonts w:cs="Calibri"/>
        </w:rPr>
        <w:t xml:space="preserve">policy action in Australia, and </w:t>
      </w:r>
      <w:r w:rsidR="001C0E55" w:rsidRPr="00A06DF7">
        <w:rPr>
          <w:rFonts w:cs="Calibri"/>
        </w:rPr>
        <w:t>that innovative policy ideas should be explored given the disproportionate impact of EGMs.</w:t>
      </w:r>
    </w:p>
    <w:p w14:paraId="7370CA18" w14:textId="0363758D" w:rsidR="007D7D39" w:rsidRDefault="005667A8">
      <w:pPr>
        <w:pStyle w:val="Heading6"/>
      </w:pPr>
      <w:bookmarkStart w:id="112" w:name="_Ref156466586"/>
      <w:bookmarkStart w:id="113" w:name="_Toc166507378"/>
      <w:bookmarkEnd w:id="108"/>
      <w:bookmarkEnd w:id="109"/>
      <w:r>
        <w:t>O</w:t>
      </w:r>
      <w:r w:rsidR="00752891">
        <w:t xml:space="preserve">nline gambling </w:t>
      </w:r>
      <w:r w:rsidR="0008057B">
        <w:t>has</w:t>
      </w:r>
      <w:r w:rsidR="00752891">
        <w:t xml:space="preserve"> </w:t>
      </w:r>
      <w:r w:rsidR="006F1738">
        <w:t>contin</w:t>
      </w:r>
      <w:r w:rsidR="0008057B">
        <w:t>ued</w:t>
      </w:r>
      <w:r w:rsidR="006F1738">
        <w:t xml:space="preserve"> to increase in New Zealand</w:t>
      </w:r>
      <w:bookmarkEnd w:id="112"/>
      <w:bookmarkEnd w:id="113"/>
    </w:p>
    <w:p w14:paraId="7BE4BDBE" w14:textId="4E06DB06" w:rsidR="000B2951" w:rsidRPr="00A06DF7" w:rsidRDefault="00AB0868" w:rsidP="000B2951">
      <w:pPr>
        <w:rPr>
          <w:rFonts w:cs="Calibri"/>
        </w:rPr>
      </w:pPr>
      <w:r w:rsidRPr="00A06DF7">
        <w:rPr>
          <w:rFonts w:cs="Calibri"/>
        </w:rPr>
        <w:t>There has been</w:t>
      </w:r>
      <w:r w:rsidR="009E1FF4" w:rsidRPr="00A06DF7">
        <w:rPr>
          <w:rFonts w:cs="Calibri"/>
        </w:rPr>
        <w:t xml:space="preserve"> a </w:t>
      </w:r>
      <w:r w:rsidR="0070780D" w:rsidRPr="00A06DF7">
        <w:rPr>
          <w:rFonts w:cs="Calibri"/>
        </w:rPr>
        <w:t>surge in</w:t>
      </w:r>
      <w:r w:rsidR="009E1FF4" w:rsidRPr="00A06DF7">
        <w:rPr>
          <w:rFonts w:cs="Calibri"/>
        </w:rPr>
        <w:t xml:space="preserve"> online </w:t>
      </w:r>
      <w:r w:rsidR="00A87E47" w:rsidRPr="00A06DF7">
        <w:rPr>
          <w:rFonts w:cs="Calibri"/>
        </w:rPr>
        <w:t>gambling</w:t>
      </w:r>
      <w:r w:rsidR="0039728A" w:rsidRPr="00A06DF7">
        <w:rPr>
          <w:rFonts w:cs="Calibri"/>
        </w:rPr>
        <w:t xml:space="preserve"> in New Zealand</w:t>
      </w:r>
      <w:r w:rsidR="00A87E47" w:rsidRPr="00A06DF7">
        <w:rPr>
          <w:rFonts w:cs="Calibri"/>
        </w:rPr>
        <w:t xml:space="preserve">, with estimated </w:t>
      </w:r>
      <w:r w:rsidR="0070780D" w:rsidRPr="00A06DF7">
        <w:rPr>
          <w:rFonts w:cs="Calibri"/>
        </w:rPr>
        <w:t>spending increasing from $139.3</w:t>
      </w:r>
      <w:r w:rsidR="000C7B99" w:rsidRPr="00A06DF7">
        <w:rPr>
          <w:rFonts w:cs="Calibri"/>
        </w:rPr>
        <w:t xml:space="preserve"> </w:t>
      </w:r>
      <w:r w:rsidR="0070780D" w:rsidRPr="00A06DF7">
        <w:rPr>
          <w:rFonts w:cs="Calibri"/>
        </w:rPr>
        <w:t>m</w:t>
      </w:r>
      <w:r w:rsidR="000C7B99" w:rsidRPr="00A06DF7">
        <w:rPr>
          <w:rFonts w:cs="Calibri"/>
        </w:rPr>
        <w:t>illion</w:t>
      </w:r>
      <w:r w:rsidR="0070780D" w:rsidRPr="00A06DF7">
        <w:rPr>
          <w:rFonts w:cs="Calibri"/>
        </w:rPr>
        <w:t xml:space="preserve"> in 2014 to $332.6</w:t>
      </w:r>
      <w:r w:rsidR="000C7B99" w:rsidRPr="00A06DF7">
        <w:rPr>
          <w:rFonts w:cs="Calibri"/>
        </w:rPr>
        <w:t xml:space="preserve"> </w:t>
      </w:r>
      <w:r w:rsidR="0070780D" w:rsidRPr="00A06DF7">
        <w:rPr>
          <w:rFonts w:cs="Calibri"/>
        </w:rPr>
        <w:t>m</w:t>
      </w:r>
      <w:r w:rsidR="000C7B99" w:rsidRPr="00A06DF7">
        <w:rPr>
          <w:rFonts w:cs="Calibri"/>
        </w:rPr>
        <w:t>illion</w:t>
      </w:r>
      <w:r w:rsidR="00927482" w:rsidRPr="00A06DF7">
        <w:rPr>
          <w:rFonts w:cs="Calibri"/>
        </w:rPr>
        <w:t xml:space="preserve"> in 2022</w:t>
      </w:r>
      <w:r w:rsidR="0070780D" w:rsidRPr="00A06DF7">
        <w:rPr>
          <w:rFonts w:cs="Calibri"/>
        </w:rPr>
        <w:t xml:space="preserve"> </w:t>
      </w:r>
      <w:r w:rsidR="001A02DB" w:rsidRPr="00A06DF7">
        <w:rPr>
          <w:rFonts w:cs="Calibri"/>
        </w:rPr>
        <w:fldChar w:fldCharType="begin"/>
      </w:r>
      <w:r w:rsidR="00715B07" w:rsidRPr="00A06DF7">
        <w:rPr>
          <w:rFonts w:cs="Calibri"/>
        </w:rPr>
        <w:instrText xml:space="preserve"> ADDIN ZOTERO_ITEM CSL_CITATION {"citationID":"6yXjVAvg","properties":{"formattedCitation":"(Bevin, 2022)","plainCitation":"(Bevin, 2022)","noteIndex":0},"citationItems":[{"id":1535,"uris":["http://zotero.org/users/11111291/items/6C3T86E9"],"itemData":{"id":1535,"type":"webpage","abstract":"A lack of regulation has made NZ an easy target for online gambling providers, with estimated spending jumping from $139.3m in 2014 to $332.6m in 2020.","container-title":"Newsroom","language":"en-US","title":"Online gambling products 'aggressively' targeting NZ","URL":"http://newsroom.co.nz/2022/10/10/online-gambling-aggressively-targeting-new-zealand/","author":[{"family":"Bevin","given":"Andrew"}],"accessed":{"date-parts":[["2024",1,30]]},"issued":{"date-parts":[["2022",10,10]]}}}],"schema":"https://github.com/citation-style-language/schema/raw/master/csl-citation.json"} </w:instrText>
      </w:r>
      <w:r w:rsidR="001A02DB" w:rsidRPr="00A06DF7">
        <w:rPr>
          <w:rFonts w:cs="Calibri"/>
        </w:rPr>
        <w:fldChar w:fldCharType="separate"/>
      </w:r>
      <w:r w:rsidR="001A02DB" w:rsidRPr="00A06DF7">
        <w:rPr>
          <w:rFonts w:cs="Calibri"/>
        </w:rPr>
        <w:t>(Bevin, 2022)</w:t>
      </w:r>
      <w:r w:rsidR="001A02DB" w:rsidRPr="00A06DF7">
        <w:rPr>
          <w:rFonts w:cs="Calibri"/>
        </w:rPr>
        <w:fldChar w:fldCharType="end"/>
      </w:r>
      <w:r w:rsidR="006F3F84" w:rsidRPr="00A06DF7">
        <w:rPr>
          <w:rFonts w:cs="Calibri"/>
        </w:rPr>
        <w:t xml:space="preserve">. </w:t>
      </w:r>
      <w:r w:rsidR="00F00451" w:rsidRPr="00A06DF7">
        <w:rPr>
          <w:rFonts w:cs="Calibri"/>
        </w:rPr>
        <w:t>In October 2023,</w:t>
      </w:r>
      <w:r w:rsidR="006F3F84" w:rsidRPr="00A06DF7">
        <w:rPr>
          <w:rFonts w:cs="Calibri"/>
        </w:rPr>
        <w:t xml:space="preserve"> </w:t>
      </w:r>
      <w:r w:rsidR="00D46DE7" w:rsidRPr="00A06DF7">
        <w:rPr>
          <w:rFonts w:cs="Calibri"/>
        </w:rPr>
        <w:t>Christchurch Casino announced</w:t>
      </w:r>
      <w:r w:rsidR="00DD6515" w:rsidRPr="00A06DF7">
        <w:rPr>
          <w:rFonts w:cs="Calibri"/>
        </w:rPr>
        <w:t xml:space="preserve"> its plans to introduce </w:t>
      </w:r>
      <w:r w:rsidR="00334F94" w:rsidRPr="00A06DF7">
        <w:rPr>
          <w:rFonts w:cs="Calibri"/>
        </w:rPr>
        <w:t>a</w:t>
      </w:r>
      <w:r w:rsidR="00DD6515" w:rsidRPr="00A06DF7">
        <w:rPr>
          <w:rFonts w:cs="Calibri"/>
        </w:rPr>
        <w:t xml:space="preserve">n online gambling platform </w:t>
      </w:r>
      <w:r w:rsidR="00DE1715" w:rsidRPr="00A06DF7">
        <w:rPr>
          <w:rFonts w:cs="Calibri"/>
        </w:rPr>
        <w:t>based in Malta</w:t>
      </w:r>
      <w:r w:rsidR="008D10C0" w:rsidRPr="00A06DF7">
        <w:rPr>
          <w:rStyle w:val="FootnoteReference"/>
          <w:rFonts w:cs="Calibri"/>
        </w:rPr>
        <w:footnoteReference w:id="20"/>
      </w:r>
      <w:r w:rsidR="00DE1715" w:rsidRPr="00A06DF7">
        <w:rPr>
          <w:rFonts w:cs="Calibri"/>
        </w:rPr>
        <w:t>. This marks the second instance of a New Zealand-owned</w:t>
      </w:r>
      <w:r w:rsidR="00B515A8" w:rsidRPr="00A06DF7">
        <w:rPr>
          <w:rFonts w:cs="Calibri"/>
        </w:rPr>
        <w:t xml:space="preserve">, Malta-operated online casino, as SkyCity launched </w:t>
      </w:r>
      <w:r w:rsidR="00334F94" w:rsidRPr="00A06DF7">
        <w:rPr>
          <w:rFonts w:cs="Calibri"/>
        </w:rPr>
        <w:t xml:space="preserve">its product in 2019. </w:t>
      </w:r>
      <w:r w:rsidR="005250B6" w:rsidRPr="00A06DF7">
        <w:rPr>
          <w:rFonts w:cs="Calibri"/>
        </w:rPr>
        <w:t xml:space="preserve">These </w:t>
      </w:r>
      <w:r w:rsidR="005C447B" w:rsidRPr="00A06DF7">
        <w:rPr>
          <w:rFonts w:cs="Calibri"/>
        </w:rPr>
        <w:t>offshore-based</w:t>
      </w:r>
      <w:r w:rsidR="005250B6" w:rsidRPr="00A06DF7">
        <w:rPr>
          <w:rFonts w:cs="Calibri"/>
        </w:rPr>
        <w:t xml:space="preserve"> operations are a result of </w:t>
      </w:r>
      <w:r w:rsidR="000B3C88" w:rsidRPr="00A06DF7">
        <w:rPr>
          <w:rFonts w:cs="Calibri"/>
        </w:rPr>
        <w:t>legal loopholes</w:t>
      </w:r>
      <w:r w:rsidR="00123566" w:rsidRPr="00A06DF7">
        <w:rPr>
          <w:rFonts w:cs="Calibri"/>
        </w:rPr>
        <w:t>,</w:t>
      </w:r>
      <w:r w:rsidR="000B3C88" w:rsidRPr="00A06DF7">
        <w:rPr>
          <w:rFonts w:cs="Calibri"/>
        </w:rPr>
        <w:t xml:space="preserve"> as outside of Lotto </w:t>
      </w:r>
      <w:r w:rsidR="000B3C88" w:rsidRPr="00A06DF7">
        <w:rPr>
          <w:rFonts w:cs="Calibri"/>
        </w:rPr>
        <w:lastRenderedPageBreak/>
        <w:t>and TAB</w:t>
      </w:r>
      <w:r w:rsidR="003640B8" w:rsidRPr="00A06DF7">
        <w:rPr>
          <w:rFonts w:cs="Calibri"/>
        </w:rPr>
        <w:t xml:space="preserve"> NZ</w:t>
      </w:r>
      <w:r w:rsidR="000B3C88" w:rsidRPr="00A06DF7">
        <w:rPr>
          <w:rFonts w:cs="Calibri"/>
        </w:rPr>
        <w:t xml:space="preserve">, it is illegal </w:t>
      </w:r>
      <w:r w:rsidR="00C06873" w:rsidRPr="00A06DF7">
        <w:rPr>
          <w:rFonts w:cs="Calibri"/>
        </w:rPr>
        <w:t xml:space="preserve">to operate online gambling services in New </w:t>
      </w:r>
      <w:r w:rsidR="00BD2D7B" w:rsidRPr="00A06DF7">
        <w:rPr>
          <w:rFonts w:cs="Calibri"/>
        </w:rPr>
        <w:t>Zealand but</w:t>
      </w:r>
      <w:r w:rsidR="00C06873" w:rsidRPr="00A06DF7">
        <w:rPr>
          <w:rFonts w:cs="Calibri"/>
        </w:rPr>
        <w:t xml:space="preserve"> </w:t>
      </w:r>
      <w:r w:rsidR="0009410E" w:rsidRPr="00A06DF7">
        <w:rPr>
          <w:rFonts w:cs="Calibri"/>
        </w:rPr>
        <w:t>is not il</w:t>
      </w:r>
      <w:r w:rsidR="00C06873" w:rsidRPr="00A06DF7">
        <w:rPr>
          <w:rFonts w:cs="Calibri"/>
        </w:rPr>
        <w:t xml:space="preserve">legal for </w:t>
      </w:r>
      <w:r w:rsidR="004355C4" w:rsidRPr="00A06DF7">
        <w:rPr>
          <w:rFonts w:cs="Calibri"/>
        </w:rPr>
        <w:t xml:space="preserve">New Zealand </w:t>
      </w:r>
      <w:r w:rsidR="00C06873" w:rsidRPr="00A06DF7">
        <w:rPr>
          <w:rFonts w:cs="Calibri"/>
        </w:rPr>
        <w:t xml:space="preserve">consumers to gamble on </w:t>
      </w:r>
      <w:r w:rsidR="005C447B" w:rsidRPr="00A06DF7">
        <w:rPr>
          <w:rFonts w:cs="Calibri"/>
        </w:rPr>
        <w:t xml:space="preserve">offshore-based </w:t>
      </w:r>
      <w:r w:rsidR="00C06873" w:rsidRPr="00A06DF7">
        <w:rPr>
          <w:rFonts w:cs="Calibri"/>
        </w:rPr>
        <w:t>sites.</w:t>
      </w:r>
      <w:r w:rsidR="00DF6A06" w:rsidRPr="00A06DF7">
        <w:rPr>
          <w:rFonts w:cs="Calibri"/>
        </w:rPr>
        <w:t xml:space="preserve"> This is discussed further in </w:t>
      </w:r>
      <w:r w:rsidR="00123566" w:rsidRPr="00A06DF7">
        <w:rPr>
          <w:rFonts w:cs="Calibri"/>
        </w:rPr>
        <w:t>s</w:t>
      </w:r>
      <w:r w:rsidR="00DF6A06" w:rsidRPr="00A06DF7">
        <w:rPr>
          <w:rFonts w:cs="Calibri"/>
        </w:rPr>
        <w:t xml:space="preserve">ection </w:t>
      </w:r>
      <w:r w:rsidR="00FC1D8C" w:rsidRPr="00A06DF7">
        <w:rPr>
          <w:rFonts w:cs="Calibri"/>
        </w:rPr>
        <w:fldChar w:fldCharType="begin"/>
      </w:r>
      <w:r w:rsidR="00FC1D8C" w:rsidRPr="00A06DF7">
        <w:rPr>
          <w:rFonts w:cs="Calibri"/>
        </w:rPr>
        <w:instrText xml:space="preserve"> REF _Ref157760634 \n \h </w:instrText>
      </w:r>
      <w:r w:rsidR="00A06DF7">
        <w:rPr>
          <w:rFonts w:cs="Calibri"/>
        </w:rPr>
        <w:instrText xml:space="preserve"> \* MERGEFORMAT </w:instrText>
      </w:r>
      <w:r w:rsidR="00FC1D8C" w:rsidRPr="00A06DF7">
        <w:rPr>
          <w:rFonts w:cs="Calibri"/>
        </w:rPr>
      </w:r>
      <w:r w:rsidR="00FC1D8C" w:rsidRPr="00A06DF7">
        <w:rPr>
          <w:rFonts w:cs="Calibri"/>
        </w:rPr>
        <w:fldChar w:fldCharType="separate"/>
      </w:r>
      <w:r w:rsidR="004F4DA7">
        <w:rPr>
          <w:rFonts w:cs="Calibri"/>
        </w:rPr>
        <w:t>10.2</w:t>
      </w:r>
      <w:r w:rsidR="00FC1D8C" w:rsidRPr="00A06DF7">
        <w:rPr>
          <w:rFonts w:cs="Calibri"/>
        </w:rPr>
        <w:fldChar w:fldCharType="end"/>
      </w:r>
      <w:r w:rsidR="00DF6A06" w:rsidRPr="00A06DF7">
        <w:rPr>
          <w:rFonts w:cs="Calibri"/>
        </w:rPr>
        <w:t>.</w:t>
      </w:r>
    </w:p>
    <w:p w14:paraId="08E9EB8E" w14:textId="2352269A" w:rsidR="000F21BA" w:rsidRPr="00A06DF7" w:rsidRDefault="003C42B9" w:rsidP="000B2951">
      <w:pPr>
        <w:rPr>
          <w:rFonts w:cs="Calibri"/>
        </w:rPr>
      </w:pPr>
      <w:r w:rsidRPr="00A06DF7">
        <w:rPr>
          <w:rFonts w:cs="Calibri"/>
        </w:rPr>
        <w:t>Following the discussions</w:t>
      </w:r>
      <w:r w:rsidR="007F1E60" w:rsidRPr="00A06DF7">
        <w:rPr>
          <w:rFonts w:cs="Calibri"/>
        </w:rPr>
        <w:t xml:space="preserve"> in </w:t>
      </w:r>
      <w:r w:rsidR="003C167F" w:rsidRPr="00A06DF7">
        <w:rPr>
          <w:rFonts w:cs="Calibri"/>
        </w:rPr>
        <w:t xml:space="preserve">section </w:t>
      </w:r>
      <w:r w:rsidR="007F1E60" w:rsidRPr="00A06DF7">
        <w:rPr>
          <w:rFonts w:cs="Calibri"/>
        </w:rPr>
        <w:fldChar w:fldCharType="begin"/>
      </w:r>
      <w:r w:rsidR="007F1E60" w:rsidRPr="00A06DF7">
        <w:rPr>
          <w:rFonts w:cs="Calibri"/>
        </w:rPr>
        <w:instrText xml:space="preserve"> REF _Ref155785729 \r \h </w:instrText>
      </w:r>
      <w:r w:rsidR="00A06DF7">
        <w:rPr>
          <w:rFonts w:cs="Calibri"/>
        </w:rPr>
        <w:instrText xml:space="preserve"> \* MERGEFORMAT </w:instrText>
      </w:r>
      <w:r w:rsidR="007F1E60" w:rsidRPr="00A06DF7">
        <w:rPr>
          <w:rFonts w:cs="Calibri"/>
        </w:rPr>
      </w:r>
      <w:r w:rsidR="007F1E60" w:rsidRPr="00A06DF7">
        <w:rPr>
          <w:rFonts w:cs="Calibri"/>
        </w:rPr>
        <w:fldChar w:fldCharType="separate"/>
      </w:r>
      <w:r w:rsidR="004F4DA7">
        <w:rPr>
          <w:rFonts w:cs="Calibri"/>
        </w:rPr>
        <w:t>3.1</w:t>
      </w:r>
      <w:r w:rsidR="007F1E60" w:rsidRPr="00A06DF7">
        <w:rPr>
          <w:rFonts w:cs="Calibri"/>
        </w:rPr>
        <w:fldChar w:fldCharType="end"/>
      </w:r>
      <w:r w:rsidR="007F1E60" w:rsidRPr="00A06DF7">
        <w:rPr>
          <w:rFonts w:cs="Calibri"/>
        </w:rPr>
        <w:t xml:space="preserve">, </w:t>
      </w:r>
      <w:r w:rsidR="00E952B5" w:rsidRPr="00A06DF7">
        <w:rPr>
          <w:rFonts w:cs="Calibri"/>
        </w:rPr>
        <w:t>it could be argued that</w:t>
      </w:r>
      <w:r w:rsidR="005834E1" w:rsidRPr="00A06DF7">
        <w:rPr>
          <w:rFonts w:cs="Calibri"/>
        </w:rPr>
        <w:t xml:space="preserve"> if</w:t>
      </w:r>
      <w:r w:rsidR="00E952B5" w:rsidRPr="00A06DF7">
        <w:rPr>
          <w:rFonts w:cs="Calibri"/>
        </w:rPr>
        <w:t xml:space="preserve"> </w:t>
      </w:r>
      <w:r w:rsidR="00633CCF" w:rsidRPr="00A06DF7">
        <w:rPr>
          <w:rFonts w:cs="Calibri"/>
        </w:rPr>
        <w:t xml:space="preserve">the government doesn’t intervene against the “aggressive targeting” from </w:t>
      </w:r>
      <w:r w:rsidR="005C447B" w:rsidRPr="00A06DF7">
        <w:rPr>
          <w:rFonts w:cs="Calibri"/>
        </w:rPr>
        <w:t xml:space="preserve">offshore-based </w:t>
      </w:r>
      <w:r w:rsidR="007D423A" w:rsidRPr="00A06DF7">
        <w:rPr>
          <w:rFonts w:cs="Calibri"/>
        </w:rPr>
        <w:t>providers, the unregulated gambling sector in New Zealand is projected to reach $600 million by 2025.</w:t>
      </w:r>
      <w:r w:rsidR="00AD5D50" w:rsidRPr="00A06DF7">
        <w:rPr>
          <w:rFonts w:cs="Calibri"/>
        </w:rPr>
        <w:t xml:space="preserve"> </w:t>
      </w:r>
      <w:r w:rsidR="000F21BA" w:rsidRPr="00A06DF7">
        <w:rPr>
          <w:rFonts w:cs="Calibri"/>
        </w:rPr>
        <w:fldChar w:fldCharType="begin"/>
      </w:r>
      <w:r w:rsidR="000F21BA" w:rsidRPr="00A06DF7">
        <w:rPr>
          <w:rFonts w:cs="Calibri"/>
        </w:rPr>
        <w:instrText xml:space="preserve"> REF _Ref155786998 \h </w:instrText>
      </w:r>
      <w:r w:rsidR="00A06DF7">
        <w:rPr>
          <w:rFonts w:cs="Calibri"/>
        </w:rPr>
        <w:instrText xml:space="preserve"> \* MERGEFORMAT </w:instrText>
      </w:r>
      <w:r w:rsidR="000F21BA" w:rsidRPr="00A06DF7">
        <w:rPr>
          <w:rFonts w:cs="Calibri"/>
        </w:rPr>
      </w:r>
      <w:r w:rsidR="000F21BA" w:rsidRPr="00A06DF7">
        <w:rPr>
          <w:rFonts w:cs="Calibri"/>
        </w:rPr>
        <w:fldChar w:fldCharType="separate"/>
      </w:r>
      <w:r w:rsidR="004F4DA7" w:rsidRPr="004F4DA7">
        <w:rPr>
          <w:rFonts w:cs="Calibri"/>
        </w:rPr>
        <w:t xml:space="preserve">Figure </w:t>
      </w:r>
      <w:r w:rsidR="004F4DA7" w:rsidRPr="004F4DA7">
        <w:rPr>
          <w:rFonts w:cs="Calibri"/>
          <w:noProof/>
        </w:rPr>
        <w:t>7</w:t>
      </w:r>
      <w:r w:rsidR="000F21BA" w:rsidRPr="00A06DF7">
        <w:rPr>
          <w:rFonts w:cs="Calibri"/>
        </w:rPr>
        <w:fldChar w:fldCharType="end"/>
      </w:r>
      <w:r w:rsidR="000F21BA" w:rsidRPr="00A06DF7">
        <w:rPr>
          <w:rFonts w:cs="Calibri"/>
        </w:rPr>
        <w:t xml:space="preserve"> shows the estimate</w:t>
      </w:r>
      <w:r w:rsidR="003111A9" w:rsidRPr="00A06DF7">
        <w:rPr>
          <w:rFonts w:cs="Calibri"/>
        </w:rPr>
        <w:t>d</w:t>
      </w:r>
      <w:r w:rsidR="000F21BA" w:rsidRPr="00A06DF7">
        <w:rPr>
          <w:rFonts w:cs="Calibri"/>
        </w:rPr>
        <w:t xml:space="preserve"> market share of online gambling in New Zealand in 2020, presented </w:t>
      </w:r>
      <w:r w:rsidR="005825F9" w:rsidRPr="00A06DF7">
        <w:rPr>
          <w:rFonts w:cs="Calibri"/>
        </w:rPr>
        <w:t xml:space="preserve">by Newsroom and sourced from research undertaken by consultancy firm Regulus for SkyCity </w:t>
      </w:r>
      <w:r w:rsidR="00BE66CE" w:rsidRPr="00A06DF7">
        <w:rPr>
          <w:rFonts w:cs="Calibri"/>
        </w:rPr>
        <w:fldChar w:fldCharType="begin"/>
      </w:r>
      <w:r w:rsidR="00715B07" w:rsidRPr="00A06DF7">
        <w:rPr>
          <w:rFonts w:cs="Calibri"/>
        </w:rPr>
        <w:instrText xml:space="preserve"> ADDIN ZOTERO_ITEM CSL_CITATION {"citationID":"3GfjHv4V","properties":{"formattedCitation":"(Bevin, 2022)","plainCitation":"(Bevin, 2022)","noteIndex":0},"citationItems":[{"id":1535,"uris":["http://zotero.org/users/11111291/items/6C3T86E9"],"itemData":{"id":1535,"type":"webpage","abstract":"A lack of regulation has made NZ an easy target for online gambling providers, with estimated spending jumping from $139.3m in 2014 to $332.6m in 2020.","container-title":"Newsroom","language":"en-US","title":"Online gambling products 'aggressively' targeting NZ","URL":"http://newsroom.co.nz/2022/10/10/online-gambling-aggressively-targeting-new-zealand/","author":[{"family":"Bevin","given":"Andrew"}],"accessed":{"date-parts":[["2024",1,30]]},"issued":{"date-parts":[["2022",10,10]]}}}],"schema":"https://github.com/citation-style-language/schema/raw/master/csl-citation.json"} </w:instrText>
      </w:r>
      <w:r w:rsidR="00BE66CE" w:rsidRPr="00A06DF7">
        <w:rPr>
          <w:rFonts w:cs="Calibri"/>
        </w:rPr>
        <w:fldChar w:fldCharType="separate"/>
      </w:r>
      <w:r w:rsidR="00BE66CE" w:rsidRPr="00A06DF7">
        <w:rPr>
          <w:rFonts w:cs="Calibri"/>
        </w:rPr>
        <w:t>(Bevin, 2022)</w:t>
      </w:r>
      <w:r w:rsidR="00BE66CE" w:rsidRPr="00A06DF7">
        <w:rPr>
          <w:rFonts w:cs="Calibri"/>
        </w:rPr>
        <w:fldChar w:fldCharType="end"/>
      </w:r>
      <w:r w:rsidR="00A40195" w:rsidRPr="00A06DF7">
        <w:rPr>
          <w:rFonts w:cs="Calibri"/>
        </w:rPr>
        <w:t>.</w:t>
      </w:r>
    </w:p>
    <w:p w14:paraId="03DDFA4C" w14:textId="547677A7" w:rsidR="00DE1E13" w:rsidRPr="00A06DF7" w:rsidRDefault="008F5CFB" w:rsidP="000B2951">
      <w:pPr>
        <w:rPr>
          <w:rFonts w:cs="Calibri"/>
        </w:rPr>
      </w:pPr>
      <w:r w:rsidRPr="00A06DF7">
        <w:rPr>
          <w:rFonts w:cs="Calibri"/>
        </w:rPr>
        <w:t>On</w:t>
      </w:r>
      <w:r w:rsidR="003D2C49" w:rsidRPr="00A06DF7">
        <w:rPr>
          <w:rFonts w:cs="Calibri"/>
        </w:rPr>
        <w:t xml:space="preserve"> 14 March 2024 it was announced that Cabinet</w:t>
      </w:r>
      <w:r w:rsidR="00DE1E13" w:rsidRPr="00A06DF7">
        <w:rPr>
          <w:rFonts w:cs="Calibri"/>
        </w:rPr>
        <w:t xml:space="preserve"> has made an in-principle </w:t>
      </w:r>
      <w:r w:rsidR="00B6723D" w:rsidRPr="00A06DF7">
        <w:rPr>
          <w:rFonts w:cs="Calibri"/>
        </w:rPr>
        <w:t>to introduce regulation of online gambling. More specifically, Cabinet decided</w:t>
      </w:r>
      <w:r w:rsidR="005D5BC4" w:rsidRPr="00A06DF7">
        <w:rPr>
          <w:rStyle w:val="FootnoteReference"/>
          <w:rFonts w:cs="Calibri"/>
        </w:rPr>
        <w:footnoteReference w:id="21"/>
      </w:r>
      <w:r w:rsidR="00B6723D" w:rsidRPr="00A06DF7">
        <w:rPr>
          <w:rFonts w:cs="Calibri"/>
        </w:rPr>
        <w:t>:</w:t>
      </w:r>
    </w:p>
    <w:p w14:paraId="0DA60B90" w14:textId="3E272F76" w:rsidR="004E7B30" w:rsidRPr="00A06DF7" w:rsidRDefault="004E7B30" w:rsidP="00A06DF7">
      <w:pPr>
        <w:pStyle w:val="Quotes"/>
      </w:pPr>
      <w:r w:rsidRPr="00A06DF7">
        <w:t>“</w:t>
      </w:r>
      <w:r w:rsidR="00581749" w:rsidRPr="00A06DF7">
        <w:t xml:space="preserve">[Hon] </w:t>
      </w:r>
      <w:r w:rsidRPr="00A06DF7">
        <w:t xml:space="preserve">Simon Watts says Cabinet has </w:t>
      </w:r>
      <w:r w:rsidR="00AB6F4D" w:rsidRPr="00A06DF7">
        <w:t>…</w:t>
      </w:r>
      <w:r w:rsidRPr="00A06DF7">
        <w:t xml:space="preserve"> made an in-principle decision to regulate online casino gambling. New Zealand-based gambling operators are regulated by the Gambling Act which requires them to be licenced in New Zealand. These regulations help ensure New Zealanders can gamble safely and responsibly but they do not apply to online casinos as they are located offshore</w:t>
      </w:r>
      <w:r w:rsidR="008F70D1" w:rsidRPr="00A06DF7">
        <w:t>”.</w:t>
      </w:r>
      <w:r w:rsidR="0054508A" w:rsidRPr="00A06DF7">
        <w:t xml:space="preserve"> </w:t>
      </w:r>
      <w:r w:rsidRPr="00A06DF7">
        <w:t>“New Zealand is one of only a handful of developed countries that does not regulate online casinos and that places New Zealanders at risk of being targeted by unscrupulous offshore gambling operators. There is no oversight of harm minimisation and consumer protections currently</w:t>
      </w:r>
      <w:r w:rsidR="003D2C49" w:rsidRPr="00A06DF7">
        <w:t xml:space="preserve"> …</w:t>
      </w:r>
      <w:r w:rsidRPr="00A06DF7">
        <w:t xml:space="preserve"> </w:t>
      </w:r>
      <w:r w:rsidR="003D2C49" w:rsidRPr="00A06DF7">
        <w:t>Regulating online casino gambling will support tax collection, minimise harm and provide consumer protections to New Zealanders.”</w:t>
      </w:r>
    </w:p>
    <w:p w14:paraId="73C28071" w14:textId="68ED09E5" w:rsidR="00E873B8" w:rsidRDefault="00E873B8" w:rsidP="00E873B8">
      <w:pPr>
        <w:pStyle w:val="Caption"/>
      </w:pPr>
      <w:bookmarkStart w:id="114" w:name="_Ref155786998"/>
      <w:bookmarkStart w:id="115" w:name="_Toc166580302"/>
      <w:r>
        <w:lastRenderedPageBreak/>
        <w:t xml:space="preserve">Figure </w:t>
      </w:r>
      <w:r>
        <w:fldChar w:fldCharType="begin"/>
      </w:r>
      <w:r>
        <w:instrText>SEQ Figure \* ARABIC</w:instrText>
      </w:r>
      <w:r>
        <w:fldChar w:fldCharType="separate"/>
      </w:r>
      <w:r w:rsidR="004F4DA7">
        <w:rPr>
          <w:noProof/>
        </w:rPr>
        <w:t>7</w:t>
      </w:r>
      <w:r>
        <w:fldChar w:fldCharType="end"/>
      </w:r>
      <w:bookmarkEnd w:id="114"/>
      <w:r w:rsidR="003C167F">
        <w:t>:</w:t>
      </w:r>
      <w:r>
        <w:t xml:space="preserve"> </w:t>
      </w:r>
      <w:r w:rsidR="00464179">
        <w:t xml:space="preserve">Estimated market share of New Zealand online gambling in 2020 </w:t>
      </w:r>
      <w:r w:rsidR="00DD3D7F">
        <w:fldChar w:fldCharType="begin"/>
      </w:r>
      <w:r w:rsidR="00715B07">
        <w:instrText xml:space="preserve"> ADDIN ZOTERO_ITEM CSL_CITATION {"citationID":"SuGQqmMI","properties":{"formattedCitation":"(Bevin, 2022)","plainCitation":"(Bevin, 2022)","noteIndex":0},"citationItems":[{"id":1535,"uris":["http://zotero.org/users/11111291/items/6C3T86E9"],"itemData":{"id":1535,"type":"webpage","abstract":"A lack of regulation has made NZ an easy target for online gambling providers, with estimated spending jumping from $139.3m in 2014 to $332.6m in 2020.","container-title":"Newsroom","language":"en-US","title":"Online gambling products 'aggressively' targeting NZ","URL":"http://newsroom.co.nz/2022/10/10/online-gambling-aggressively-targeting-new-zealand/","author":[{"family":"Bevin","given":"Andrew"}],"accessed":{"date-parts":[["2024",1,30]]},"issued":{"date-parts":[["2022",10,10]]}}}],"schema":"https://github.com/citation-style-language/schema/raw/master/csl-citation.json"} </w:instrText>
      </w:r>
      <w:r w:rsidR="00DD3D7F">
        <w:fldChar w:fldCharType="separate"/>
      </w:r>
      <w:r w:rsidR="00DD3D7F" w:rsidRPr="00DD3D7F">
        <w:rPr>
          <w:rFonts w:ascii="Segoe UI" w:hAnsi="Segoe UI" w:cs="Segoe UI"/>
        </w:rPr>
        <w:t>(Bevin, 2022)</w:t>
      </w:r>
      <w:bookmarkEnd w:id="115"/>
      <w:r w:rsidR="00DD3D7F">
        <w:fldChar w:fldCharType="end"/>
      </w:r>
    </w:p>
    <w:p w14:paraId="5299ED48" w14:textId="189CF3A6" w:rsidR="00AC57AA" w:rsidRPr="000B2951" w:rsidRDefault="00E873B8" w:rsidP="00BD1050">
      <w:pPr>
        <w:jc w:val="center"/>
      </w:pPr>
      <w:r w:rsidRPr="00E873B8">
        <w:rPr>
          <w:noProof/>
        </w:rPr>
        <w:drawing>
          <wp:inline distT="0" distB="0" distL="0" distR="0" wp14:anchorId="583BF202" wp14:editId="7C17DD9D">
            <wp:extent cx="3857625" cy="3952175"/>
            <wp:effectExtent l="0" t="0" r="0" b="0"/>
            <wp:docPr id="14" name="Picture 14" descr="A pie chart showing the estimated market share of New Zealand online gambling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e chart showing the estimated market share of New Zealand online gambling in 2020"/>
                    <pic:cNvPicPr/>
                  </pic:nvPicPr>
                  <pic:blipFill>
                    <a:blip r:embed="rId29"/>
                    <a:stretch>
                      <a:fillRect/>
                    </a:stretch>
                  </pic:blipFill>
                  <pic:spPr>
                    <a:xfrm>
                      <a:off x="0" y="0"/>
                      <a:ext cx="3871590" cy="3966482"/>
                    </a:xfrm>
                    <a:prstGeom prst="rect">
                      <a:avLst/>
                    </a:prstGeom>
                  </pic:spPr>
                </pic:pic>
              </a:graphicData>
            </a:graphic>
          </wp:inline>
        </w:drawing>
      </w:r>
    </w:p>
    <w:p w14:paraId="0D76AB61" w14:textId="7B3331FC" w:rsidR="001B70F8" w:rsidRPr="00A06DF7" w:rsidRDefault="001B70F8" w:rsidP="0008057B">
      <w:pPr>
        <w:rPr>
          <w:rFonts w:cs="Calibri"/>
        </w:rPr>
      </w:pPr>
      <w:bookmarkStart w:id="116" w:name="_Ref66353968"/>
      <w:r w:rsidRPr="00A06DF7">
        <w:rPr>
          <w:rFonts w:cs="Calibri"/>
        </w:rPr>
        <w:t>Super Group's Jackpot City holds a significant share of the estimated revenue generated by online gambling providers in New Zealand, accounting for 41</w:t>
      </w:r>
      <w:r w:rsidR="00D9625C" w:rsidRPr="00A06DF7">
        <w:rPr>
          <w:rFonts w:cs="Calibri"/>
        </w:rPr>
        <w:t xml:space="preserve"> per cent</w:t>
      </w:r>
      <w:r w:rsidRPr="00A06DF7">
        <w:rPr>
          <w:rFonts w:cs="Calibri"/>
        </w:rPr>
        <w:t xml:space="preserve"> or $136.2 million out of the total $332.6 million</w:t>
      </w:r>
      <w:r w:rsidR="00853BBE" w:rsidRPr="00A06DF7">
        <w:rPr>
          <w:rFonts w:cs="Calibri"/>
        </w:rPr>
        <w:t xml:space="preserve"> in 2020</w:t>
      </w:r>
      <w:r w:rsidR="00AF2CA5" w:rsidRPr="00A06DF7">
        <w:rPr>
          <w:rFonts w:cs="Calibri"/>
        </w:rPr>
        <w:t xml:space="preserve"> according to Regulus</w:t>
      </w:r>
      <w:r w:rsidR="00853BBE" w:rsidRPr="00A06DF7">
        <w:rPr>
          <w:rFonts w:cs="Calibri"/>
        </w:rPr>
        <w:t xml:space="preserve">. </w:t>
      </w:r>
      <w:r w:rsidR="0019297A" w:rsidRPr="00A06DF7">
        <w:rPr>
          <w:rFonts w:cs="Calibri"/>
        </w:rPr>
        <w:t>Jackpot City’s</w:t>
      </w:r>
      <w:r w:rsidR="00A853B9" w:rsidRPr="00A06DF7">
        <w:rPr>
          <w:rFonts w:cs="Calibri"/>
        </w:rPr>
        <w:t xml:space="preserve"> advertising of free-to-play </w:t>
      </w:r>
      <w:r w:rsidR="003A6010" w:rsidRPr="00A06DF7">
        <w:rPr>
          <w:rFonts w:cs="Calibri"/>
        </w:rPr>
        <w:t xml:space="preserve">gambling sites that resemble their own pay-to-play counterparts </w:t>
      </w:r>
      <w:r w:rsidR="0017212A" w:rsidRPr="00A06DF7">
        <w:rPr>
          <w:rFonts w:cs="Calibri"/>
        </w:rPr>
        <w:t>have raised concerns</w:t>
      </w:r>
      <w:r w:rsidR="00E24A5B" w:rsidRPr="00A06DF7">
        <w:rPr>
          <w:rFonts w:cs="Calibri"/>
        </w:rPr>
        <w:t>,</w:t>
      </w:r>
      <w:r w:rsidR="00E53256" w:rsidRPr="00A06DF7">
        <w:rPr>
          <w:rFonts w:cs="Calibri"/>
        </w:rPr>
        <w:t xml:space="preserve"> as it</w:t>
      </w:r>
      <w:r w:rsidR="00F047C6" w:rsidRPr="00A06DF7">
        <w:rPr>
          <w:rFonts w:cs="Calibri"/>
        </w:rPr>
        <w:t xml:space="preserve"> </w:t>
      </w:r>
      <w:r w:rsidR="00921B55" w:rsidRPr="00A06DF7">
        <w:rPr>
          <w:rFonts w:cs="Calibri"/>
        </w:rPr>
        <w:t>exploit</w:t>
      </w:r>
      <w:r w:rsidR="00E53256" w:rsidRPr="00A06DF7">
        <w:rPr>
          <w:rFonts w:cs="Calibri"/>
        </w:rPr>
        <w:t>s</w:t>
      </w:r>
      <w:r w:rsidR="00E24A5B" w:rsidRPr="00A06DF7">
        <w:rPr>
          <w:rFonts w:cs="Calibri"/>
        </w:rPr>
        <w:t xml:space="preserve"> a loophole </w:t>
      </w:r>
      <w:r w:rsidR="00F047C6" w:rsidRPr="00A06DF7">
        <w:rPr>
          <w:rFonts w:cs="Calibri"/>
        </w:rPr>
        <w:t>in</w:t>
      </w:r>
      <w:r w:rsidR="00D928D0" w:rsidRPr="00A06DF7">
        <w:rPr>
          <w:rFonts w:cs="Calibri"/>
        </w:rPr>
        <w:t xml:space="preserve"> New Zealand’s </w:t>
      </w:r>
      <w:r w:rsidR="00921B55" w:rsidRPr="00A06DF7">
        <w:rPr>
          <w:rFonts w:cs="Calibri"/>
        </w:rPr>
        <w:t>gambling advertising laws</w:t>
      </w:r>
      <w:r w:rsidR="008A1FB9" w:rsidRPr="00A06DF7">
        <w:rPr>
          <w:rFonts w:cs="Calibri"/>
        </w:rPr>
        <w:t xml:space="preserve"> </w:t>
      </w:r>
      <w:r w:rsidR="00715B07" w:rsidRPr="00A06DF7">
        <w:rPr>
          <w:rFonts w:cs="Calibri"/>
        </w:rPr>
        <w:fldChar w:fldCharType="begin"/>
      </w:r>
      <w:r w:rsidR="00715B07" w:rsidRPr="00A06DF7">
        <w:rPr>
          <w:rFonts w:cs="Calibri"/>
        </w:rPr>
        <w:instrText xml:space="preserve"> ADDIN ZOTERO_ITEM CSL_CITATION {"citationID":"WXocgo3g","properties":{"formattedCitation":"(Zaugg, 2023)","plainCitation":"(Zaugg, 2023)","noteIndex":0},"citationItems":[{"id":1543,"uris":["http://zotero.org/users/11111291/items/YJKVD92B"],"itemData":{"id":1543,"type":"article-newspaper","abstract":"Overseas gambling websites have been advertising their free-to-play sites in NZ which closely resemble paid ones under the same name and a similar look.","container-title":"1News","language":"en","title":"Offshore online casinos find way around NZ's advertising laws","URL":"https://www.1news.co.nz/2023/09/09/offshore-online-casinos-find-way-around-nzs-advertising-laws/","author":[{"family":"Zaugg","given":"Leo"}],"accessed":{"date-parts":[["2024",2,12]]},"issued":{"date-parts":[["2023",9,9]]}}}],"schema":"https://github.com/citation-style-language/schema/raw/master/csl-citation.json"} </w:instrText>
      </w:r>
      <w:r w:rsidR="00715B07" w:rsidRPr="00A06DF7">
        <w:rPr>
          <w:rFonts w:cs="Calibri"/>
        </w:rPr>
        <w:fldChar w:fldCharType="separate"/>
      </w:r>
      <w:r w:rsidR="00715B07" w:rsidRPr="00A06DF7">
        <w:rPr>
          <w:rFonts w:cs="Calibri"/>
        </w:rPr>
        <w:t>(Zaugg, 2023)</w:t>
      </w:r>
      <w:r w:rsidR="00715B07" w:rsidRPr="00A06DF7">
        <w:rPr>
          <w:rFonts w:cs="Calibri"/>
        </w:rPr>
        <w:fldChar w:fldCharType="end"/>
      </w:r>
      <w:r w:rsidR="00ED12F0" w:rsidRPr="00A06DF7">
        <w:rPr>
          <w:rFonts w:cs="Calibri"/>
        </w:rPr>
        <w:t>.</w:t>
      </w:r>
      <w:r w:rsidR="00531C12" w:rsidRPr="00A06DF7">
        <w:rPr>
          <w:rFonts w:cs="Calibri"/>
        </w:rPr>
        <w:t xml:space="preserve"> </w:t>
      </w:r>
      <w:r w:rsidR="00253B58" w:rsidRPr="00A06DF7">
        <w:rPr>
          <w:rFonts w:cs="Calibri"/>
        </w:rPr>
        <w:t xml:space="preserve">Free-to-play gambling sites are viewed as a gateway </w:t>
      </w:r>
      <w:r w:rsidR="00EF6442" w:rsidRPr="00A06DF7">
        <w:rPr>
          <w:rFonts w:cs="Calibri"/>
        </w:rPr>
        <w:t xml:space="preserve">to real money gambling, and although Section 16 of the Act </w:t>
      </w:r>
      <w:r w:rsidR="00B70D95" w:rsidRPr="00A06DF7">
        <w:rPr>
          <w:rFonts w:cs="Calibri"/>
        </w:rPr>
        <w:t xml:space="preserve">prevents </w:t>
      </w:r>
      <w:r w:rsidR="005C447B" w:rsidRPr="00A06DF7">
        <w:rPr>
          <w:rFonts w:cs="Calibri"/>
        </w:rPr>
        <w:t xml:space="preserve">offshore-based </w:t>
      </w:r>
      <w:r w:rsidR="00472A23" w:rsidRPr="00A06DF7">
        <w:rPr>
          <w:rFonts w:cs="Calibri"/>
        </w:rPr>
        <w:t>gambling</w:t>
      </w:r>
      <w:r w:rsidR="00B70D95" w:rsidRPr="00A06DF7">
        <w:rPr>
          <w:rFonts w:cs="Calibri"/>
        </w:rPr>
        <w:t xml:space="preserve"> operators </w:t>
      </w:r>
      <w:r w:rsidR="00636EBA" w:rsidRPr="00A06DF7">
        <w:rPr>
          <w:rFonts w:cs="Calibri"/>
        </w:rPr>
        <w:t xml:space="preserve">from advertising </w:t>
      </w:r>
      <w:r w:rsidR="00312686" w:rsidRPr="00A06DF7">
        <w:rPr>
          <w:rFonts w:cs="Calibri"/>
        </w:rPr>
        <w:t xml:space="preserve">in New </w:t>
      </w:r>
      <w:r w:rsidR="001407D3" w:rsidRPr="00A06DF7">
        <w:rPr>
          <w:rFonts w:cs="Calibri"/>
        </w:rPr>
        <w:t>Zealand</w:t>
      </w:r>
      <w:r w:rsidR="003F0337" w:rsidRPr="00A06DF7">
        <w:rPr>
          <w:rFonts w:cs="Calibri"/>
        </w:rPr>
        <w:t xml:space="preserve">, free-to-play </w:t>
      </w:r>
      <w:r w:rsidR="008224D2" w:rsidRPr="00A06DF7">
        <w:rPr>
          <w:rFonts w:cs="Calibri"/>
        </w:rPr>
        <w:t xml:space="preserve">sites </w:t>
      </w:r>
      <w:r w:rsidR="00472A23" w:rsidRPr="00A06DF7">
        <w:rPr>
          <w:rFonts w:cs="Calibri"/>
        </w:rPr>
        <w:t xml:space="preserve">are not </w:t>
      </w:r>
      <w:r w:rsidR="00AB65A8" w:rsidRPr="00A06DF7">
        <w:rPr>
          <w:rFonts w:cs="Calibri"/>
        </w:rPr>
        <w:t>explicitly restricted in the Act</w:t>
      </w:r>
      <w:r w:rsidR="00472A23" w:rsidRPr="00A06DF7">
        <w:rPr>
          <w:rFonts w:cs="Calibri"/>
        </w:rPr>
        <w:t>.</w:t>
      </w:r>
    </w:p>
    <w:p w14:paraId="464C82B2" w14:textId="06A3D6D1" w:rsidR="00B31AA4" w:rsidRPr="00A06DF7" w:rsidRDefault="00773F8A" w:rsidP="00A6651F">
      <w:pPr>
        <w:rPr>
          <w:rFonts w:cs="Calibri"/>
        </w:rPr>
      </w:pPr>
      <w:r w:rsidRPr="00A06DF7">
        <w:rPr>
          <w:rFonts w:cs="Calibri"/>
        </w:rPr>
        <w:t xml:space="preserve">As of 1 October 2016, the introduction of remote service rules </w:t>
      </w:r>
      <w:r w:rsidR="00CB5EC2" w:rsidRPr="00A06DF7">
        <w:rPr>
          <w:rFonts w:cs="Calibri"/>
        </w:rPr>
        <w:t>mandated</w:t>
      </w:r>
      <w:r w:rsidR="00074AC0" w:rsidRPr="00A06DF7">
        <w:rPr>
          <w:rFonts w:cs="Calibri"/>
        </w:rPr>
        <w:t xml:space="preserve"> GST payments</w:t>
      </w:r>
      <w:r w:rsidRPr="00A06DF7">
        <w:rPr>
          <w:rFonts w:cs="Calibri"/>
        </w:rPr>
        <w:t xml:space="preserve"> </w:t>
      </w:r>
      <w:r w:rsidR="00074AC0" w:rsidRPr="00A06DF7">
        <w:rPr>
          <w:rFonts w:cs="Calibri"/>
        </w:rPr>
        <w:t>from</w:t>
      </w:r>
      <w:r w:rsidR="00965466" w:rsidRPr="00A06DF7">
        <w:rPr>
          <w:rFonts w:cs="Calibri"/>
        </w:rPr>
        <w:t xml:space="preserve"> </w:t>
      </w:r>
      <w:r w:rsidRPr="00A06DF7">
        <w:rPr>
          <w:rFonts w:cs="Calibri"/>
        </w:rPr>
        <w:t xml:space="preserve">online gambling </w:t>
      </w:r>
      <w:r w:rsidR="00D85CA7" w:rsidRPr="00A06DF7">
        <w:rPr>
          <w:rFonts w:cs="Calibri"/>
        </w:rPr>
        <w:t>providers</w:t>
      </w:r>
      <w:r w:rsidRPr="00A06DF7">
        <w:rPr>
          <w:rFonts w:cs="Calibri"/>
        </w:rPr>
        <w:t xml:space="preserve"> </w:t>
      </w:r>
      <w:r w:rsidR="00965466" w:rsidRPr="00A06DF7">
        <w:rPr>
          <w:rFonts w:cs="Calibri"/>
        </w:rPr>
        <w:t>operating in</w:t>
      </w:r>
      <w:r w:rsidRPr="00A06DF7">
        <w:rPr>
          <w:rFonts w:cs="Calibri"/>
        </w:rPr>
        <w:t xml:space="preserve"> </w:t>
      </w:r>
      <w:r w:rsidR="00965466" w:rsidRPr="00A06DF7">
        <w:rPr>
          <w:rFonts w:cs="Calibri"/>
        </w:rPr>
        <w:t>New Zealan</w:t>
      </w:r>
      <w:r w:rsidR="00074AC0" w:rsidRPr="00A06DF7">
        <w:rPr>
          <w:rFonts w:cs="Calibri"/>
        </w:rPr>
        <w:t>d</w:t>
      </w:r>
      <w:r w:rsidRPr="00A06DF7">
        <w:rPr>
          <w:rFonts w:cs="Calibri"/>
        </w:rPr>
        <w:t>.</w:t>
      </w:r>
      <w:r w:rsidR="00227699" w:rsidRPr="00A06DF7">
        <w:rPr>
          <w:rFonts w:cs="Calibri"/>
        </w:rPr>
        <w:t xml:space="preserve"> </w:t>
      </w:r>
      <w:r w:rsidRPr="00A06DF7">
        <w:rPr>
          <w:rFonts w:cs="Calibri"/>
        </w:rPr>
        <w:t>$37.8 million of GST was collected from online casino gambling providers for the year ended 31 March 2023</w:t>
      </w:r>
      <w:r w:rsidR="001F2437" w:rsidRPr="00A06DF7">
        <w:rPr>
          <w:rFonts w:cs="Calibri"/>
        </w:rPr>
        <w:t>, and</w:t>
      </w:r>
      <w:r w:rsidRPr="00A06DF7">
        <w:rPr>
          <w:rFonts w:cs="Calibri"/>
        </w:rPr>
        <w:t xml:space="preserve"> $170.1 million </w:t>
      </w:r>
      <w:r w:rsidR="003463F6" w:rsidRPr="00A06DF7">
        <w:rPr>
          <w:rFonts w:cs="Calibri"/>
        </w:rPr>
        <w:t xml:space="preserve">has been collected </w:t>
      </w:r>
      <w:r w:rsidR="001F2437" w:rsidRPr="00A06DF7">
        <w:rPr>
          <w:rFonts w:cs="Calibri"/>
        </w:rPr>
        <w:t>in total since 2016</w:t>
      </w:r>
      <w:r w:rsidR="00CB5EC2" w:rsidRPr="00A06DF7">
        <w:rPr>
          <w:rFonts w:cs="Calibri"/>
        </w:rPr>
        <w:t xml:space="preserve"> (New Zealand Parliament, </w:t>
      </w:r>
      <w:r w:rsidR="00C9776D" w:rsidRPr="00A06DF7">
        <w:rPr>
          <w:rFonts w:cs="Calibri"/>
        </w:rPr>
        <w:t>2023)</w:t>
      </w:r>
      <w:r w:rsidR="00074AC0" w:rsidRPr="00A06DF7">
        <w:rPr>
          <w:rFonts w:cs="Calibri"/>
        </w:rPr>
        <w:t>.</w:t>
      </w:r>
      <w:r w:rsidR="00AE5FD5" w:rsidRPr="00A06DF7">
        <w:rPr>
          <w:rFonts w:cs="Calibri"/>
        </w:rPr>
        <w:t xml:space="preserve"> </w:t>
      </w:r>
      <w:r w:rsidR="0009342B" w:rsidRPr="00A06DF7">
        <w:rPr>
          <w:rFonts w:cs="Calibri"/>
        </w:rPr>
        <w:t xml:space="preserve">Prior to the 2023 election, the National Party </w:t>
      </w:r>
      <w:r w:rsidR="001538F6" w:rsidRPr="00A06DF7">
        <w:rPr>
          <w:rFonts w:cs="Calibri"/>
        </w:rPr>
        <w:t xml:space="preserve">announced that </w:t>
      </w:r>
      <w:r w:rsidR="000909B0" w:rsidRPr="00A06DF7">
        <w:rPr>
          <w:rFonts w:cs="Calibri"/>
        </w:rPr>
        <w:t xml:space="preserve">it </w:t>
      </w:r>
      <w:r w:rsidR="001538F6" w:rsidRPr="00A06DF7">
        <w:rPr>
          <w:rFonts w:cs="Calibri"/>
        </w:rPr>
        <w:t xml:space="preserve">would </w:t>
      </w:r>
      <w:r w:rsidR="005C6286" w:rsidRPr="00A06DF7">
        <w:rPr>
          <w:rFonts w:cs="Calibri"/>
        </w:rPr>
        <w:t xml:space="preserve">close </w:t>
      </w:r>
      <w:r w:rsidR="00FD3982" w:rsidRPr="00A06DF7">
        <w:rPr>
          <w:rFonts w:cs="Calibri"/>
        </w:rPr>
        <w:t xml:space="preserve">a tax loophole and ensure </w:t>
      </w:r>
      <w:r w:rsidR="005C447B" w:rsidRPr="00A06DF7">
        <w:rPr>
          <w:rFonts w:cs="Calibri"/>
        </w:rPr>
        <w:t xml:space="preserve">offshore-based </w:t>
      </w:r>
      <w:r w:rsidR="00FD3982" w:rsidRPr="00A06DF7">
        <w:rPr>
          <w:rFonts w:cs="Calibri"/>
        </w:rPr>
        <w:t xml:space="preserve">operators </w:t>
      </w:r>
      <w:r w:rsidR="006A29A3" w:rsidRPr="00A06DF7">
        <w:rPr>
          <w:rFonts w:cs="Calibri"/>
        </w:rPr>
        <w:t>pay tax in New Zealand</w:t>
      </w:r>
      <w:r w:rsidR="00B03741" w:rsidRPr="00A06DF7">
        <w:rPr>
          <w:rFonts w:cs="Calibri"/>
        </w:rPr>
        <w:t xml:space="preserve">. </w:t>
      </w:r>
      <w:r w:rsidR="004A35CD" w:rsidRPr="00A06DF7">
        <w:rPr>
          <w:rFonts w:cs="Calibri"/>
        </w:rPr>
        <w:t xml:space="preserve">This targeted initiative </w:t>
      </w:r>
      <w:r w:rsidR="001414F7" w:rsidRPr="00A06DF7">
        <w:rPr>
          <w:rFonts w:cs="Calibri"/>
        </w:rPr>
        <w:t>was</w:t>
      </w:r>
      <w:r w:rsidR="002D023C" w:rsidRPr="00A06DF7">
        <w:rPr>
          <w:rFonts w:cs="Calibri"/>
        </w:rPr>
        <w:t xml:space="preserve"> </w:t>
      </w:r>
      <w:r w:rsidR="0081733B" w:rsidRPr="00A06DF7">
        <w:rPr>
          <w:rFonts w:cs="Calibri"/>
        </w:rPr>
        <w:t>estimated</w:t>
      </w:r>
      <w:r w:rsidR="002D023C" w:rsidRPr="00A06DF7">
        <w:rPr>
          <w:rFonts w:cs="Calibri"/>
        </w:rPr>
        <w:t xml:space="preserve"> to</w:t>
      </w:r>
      <w:r w:rsidR="004A35CD" w:rsidRPr="00A06DF7">
        <w:rPr>
          <w:rFonts w:cs="Calibri"/>
        </w:rPr>
        <w:t xml:space="preserve"> </w:t>
      </w:r>
      <w:r w:rsidR="006A29A3" w:rsidRPr="00A06DF7">
        <w:rPr>
          <w:rFonts w:cs="Calibri"/>
        </w:rPr>
        <w:t>genera</w:t>
      </w:r>
      <w:r w:rsidR="002D023C" w:rsidRPr="00A06DF7">
        <w:rPr>
          <w:rFonts w:cs="Calibri"/>
        </w:rPr>
        <w:t>te</w:t>
      </w:r>
      <w:r w:rsidR="006A29A3" w:rsidRPr="00A06DF7">
        <w:rPr>
          <w:rFonts w:cs="Calibri"/>
        </w:rPr>
        <w:t xml:space="preserve"> </w:t>
      </w:r>
      <w:r w:rsidR="00BC0C3A" w:rsidRPr="00A06DF7">
        <w:rPr>
          <w:rFonts w:cs="Calibri"/>
        </w:rPr>
        <w:t>$</w:t>
      </w:r>
      <w:r w:rsidR="000909B0" w:rsidRPr="00A06DF7">
        <w:rPr>
          <w:rFonts w:cs="Calibri"/>
        </w:rPr>
        <w:t>179 </w:t>
      </w:r>
      <w:r w:rsidR="00BC0C3A" w:rsidRPr="00A06DF7">
        <w:rPr>
          <w:rFonts w:cs="Calibri"/>
        </w:rPr>
        <w:t xml:space="preserve">million </w:t>
      </w:r>
      <w:r w:rsidR="00E6384B" w:rsidRPr="00A06DF7">
        <w:rPr>
          <w:rFonts w:cs="Calibri"/>
        </w:rPr>
        <w:t>of annual tax revenue on average</w:t>
      </w:r>
      <w:r w:rsidR="00685DC7" w:rsidRPr="00A06DF7">
        <w:rPr>
          <w:rFonts w:cs="Calibri"/>
        </w:rPr>
        <w:t xml:space="preserve"> </w:t>
      </w:r>
      <w:r w:rsidR="000909B0" w:rsidRPr="00A06DF7">
        <w:rPr>
          <w:rFonts w:cs="Calibri"/>
        </w:rPr>
        <w:fldChar w:fldCharType="begin"/>
      </w:r>
      <w:r w:rsidR="00715B07" w:rsidRPr="00A06DF7">
        <w:rPr>
          <w:rFonts w:cs="Calibri"/>
        </w:rPr>
        <w:instrText xml:space="preserve"> ADDIN ZOTERO_ITEM CSL_CITATION {"citationID":"3j5vTlcO","properties":{"formattedCitation":"(Willis, 2023)","plainCitation":"(Willis, 2023)","noteIndex":0},"citationItems":[{"id":1500,"uris":["http://zotero.org/users/11111291/items/Z3J2P6IJ"],"itemData":{"id":1500,"type":"webpage","container-title":"New Zealand National Party","language":"en","title":"Boosting incomes for Kiwis the responsible way","URL":"https://www.national.org.nz/boosting_incomes_for_kiwis_the_responsible_way","author":[{"family":"Willis","given":"Nicola"}],"accessed":{"date-parts":[["2024",1,10]]},"issued":{"date-parts":[["2023"]]}}}],"schema":"https://github.com/citation-style-language/schema/raw/master/csl-citation.json"} </w:instrText>
      </w:r>
      <w:r w:rsidR="000909B0" w:rsidRPr="00A06DF7">
        <w:rPr>
          <w:rFonts w:cs="Calibri"/>
        </w:rPr>
        <w:fldChar w:fldCharType="separate"/>
      </w:r>
      <w:r w:rsidR="000909B0" w:rsidRPr="00A06DF7">
        <w:rPr>
          <w:rFonts w:cs="Calibri"/>
        </w:rPr>
        <w:t>(Willis, 2023)</w:t>
      </w:r>
      <w:r w:rsidR="000909B0" w:rsidRPr="00A06DF7">
        <w:rPr>
          <w:rFonts w:cs="Calibri"/>
        </w:rPr>
        <w:fldChar w:fldCharType="end"/>
      </w:r>
      <w:r w:rsidR="000909B0" w:rsidRPr="00A06DF7">
        <w:rPr>
          <w:rFonts w:cs="Calibri"/>
        </w:rPr>
        <w:t xml:space="preserve">. </w:t>
      </w:r>
      <w:r w:rsidR="003D2C49" w:rsidRPr="00A06DF7">
        <w:rPr>
          <w:rFonts w:cs="Calibri"/>
        </w:rPr>
        <w:t>As noted above, on</w:t>
      </w:r>
      <w:r w:rsidR="00C10C2A" w:rsidRPr="00A06DF7">
        <w:rPr>
          <w:rFonts w:cs="Calibri"/>
        </w:rPr>
        <w:t xml:space="preserve"> </w:t>
      </w:r>
      <w:r w:rsidR="0097609D" w:rsidRPr="00A06DF7">
        <w:rPr>
          <w:rFonts w:cs="Calibri"/>
        </w:rPr>
        <w:t xml:space="preserve">14 March 2024, the Government announced it will be regulating online gambling, requiring a gaming </w:t>
      </w:r>
      <w:r w:rsidR="00581749" w:rsidRPr="00A06DF7">
        <w:rPr>
          <w:rFonts w:cs="Calibri"/>
        </w:rPr>
        <w:t>duty of 12% on gross betting revenue.</w:t>
      </w:r>
    </w:p>
    <w:p w14:paraId="7C539012" w14:textId="089DDBAB" w:rsidR="007D7D39" w:rsidRDefault="007D7D39">
      <w:pPr>
        <w:pStyle w:val="Heading5"/>
      </w:pPr>
      <w:bookmarkStart w:id="117" w:name="_Toc157758588"/>
      <w:bookmarkStart w:id="118" w:name="_Toc157758655"/>
      <w:bookmarkStart w:id="119" w:name="_Toc157762702"/>
      <w:bookmarkStart w:id="120" w:name="_Toc157762759"/>
      <w:bookmarkStart w:id="121" w:name="_Toc157758589"/>
      <w:bookmarkStart w:id="122" w:name="_Toc157758656"/>
      <w:bookmarkStart w:id="123" w:name="_Toc157762703"/>
      <w:bookmarkStart w:id="124" w:name="_Toc157762760"/>
      <w:bookmarkStart w:id="125" w:name="_Toc157758590"/>
      <w:bookmarkStart w:id="126" w:name="_Toc157758657"/>
      <w:bookmarkStart w:id="127" w:name="_Toc157762704"/>
      <w:bookmarkStart w:id="128" w:name="_Toc157762761"/>
      <w:bookmarkStart w:id="129" w:name="_Toc157758591"/>
      <w:bookmarkStart w:id="130" w:name="_Toc157758658"/>
      <w:bookmarkStart w:id="131" w:name="_Toc157762705"/>
      <w:bookmarkStart w:id="132" w:name="_Toc157762762"/>
      <w:bookmarkStart w:id="133" w:name="_Toc157758592"/>
      <w:bookmarkStart w:id="134" w:name="_Toc157758659"/>
      <w:bookmarkStart w:id="135" w:name="_Toc157762706"/>
      <w:bookmarkStart w:id="136" w:name="_Toc157762763"/>
      <w:bookmarkStart w:id="137" w:name="_Toc157758593"/>
      <w:bookmarkStart w:id="138" w:name="_Toc157758660"/>
      <w:bookmarkStart w:id="139" w:name="_Toc157762707"/>
      <w:bookmarkStart w:id="140" w:name="_Toc157762764"/>
      <w:bookmarkStart w:id="141" w:name="_Toc157758594"/>
      <w:bookmarkStart w:id="142" w:name="_Toc157758661"/>
      <w:bookmarkStart w:id="143" w:name="_Toc157762708"/>
      <w:bookmarkStart w:id="144" w:name="_Toc157762765"/>
      <w:bookmarkStart w:id="145" w:name="_Toc16650737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lastRenderedPageBreak/>
        <w:t>Gambling expenditure</w:t>
      </w:r>
      <w:bookmarkEnd w:id="145"/>
    </w:p>
    <w:p w14:paraId="3D6CD95D" w14:textId="67505263" w:rsidR="008229B0" w:rsidRPr="008229B0" w:rsidRDefault="008229B0" w:rsidP="000271F5">
      <w:r>
        <w:t>We observe decreasing trends in</w:t>
      </w:r>
      <w:r w:rsidR="003E547E">
        <w:t xml:space="preserve"> </w:t>
      </w:r>
      <w:r w:rsidR="008A5E88">
        <w:t xml:space="preserve">total </w:t>
      </w:r>
      <w:r w:rsidR="003E547E">
        <w:t xml:space="preserve">gambling expenditure </w:t>
      </w:r>
      <w:r w:rsidR="001F730A">
        <w:t>and per capita spend. However, the increasing trends in gaming machine profits (GMPs)</w:t>
      </w:r>
      <w:r w:rsidR="004810D8">
        <w:t xml:space="preserve"> </w:t>
      </w:r>
      <w:r w:rsidR="00630CBC">
        <w:t xml:space="preserve">are met with </w:t>
      </w:r>
      <w:r w:rsidR="00781F10">
        <w:t>uncertain</w:t>
      </w:r>
      <w:r w:rsidR="00630CBC">
        <w:t xml:space="preserve"> conclusions on whether there are more players, higher</w:t>
      </w:r>
      <w:r w:rsidR="00781F10">
        <w:t xml:space="preserve"> average</w:t>
      </w:r>
      <w:r w:rsidR="00630CBC">
        <w:t xml:space="preserve"> bets</w:t>
      </w:r>
      <w:r w:rsidR="00483BB8">
        <w:t xml:space="preserve">, or </w:t>
      </w:r>
      <w:r w:rsidR="00781F10">
        <w:t>longer average playing times</w:t>
      </w:r>
      <w:r w:rsidR="00D254AE">
        <w:t xml:space="preserve"> across Class 4 EGMs.</w:t>
      </w:r>
    </w:p>
    <w:p w14:paraId="188D6F77" w14:textId="288BFC90" w:rsidR="007D7D39" w:rsidRDefault="007D7D39">
      <w:pPr>
        <w:pStyle w:val="Heading6"/>
        <w:rPr>
          <w:shd w:val="clear" w:color="auto" w:fill="FFFFFF"/>
        </w:rPr>
      </w:pPr>
      <w:bookmarkStart w:id="146" w:name="_Toc65250308"/>
      <w:bookmarkStart w:id="147" w:name="_Toc76469783"/>
      <w:bookmarkStart w:id="148" w:name="_Ref158736062"/>
      <w:bookmarkStart w:id="149" w:name="_Toc166507380"/>
      <w:r w:rsidRPr="002F108B">
        <w:rPr>
          <w:shd w:val="clear" w:color="auto" w:fill="FFFFFF"/>
        </w:rPr>
        <w:t xml:space="preserve">Gambling expenditure across all forms of gambling </w:t>
      </w:r>
      <w:bookmarkEnd w:id="146"/>
      <w:bookmarkEnd w:id="147"/>
      <w:r w:rsidR="000D2D82">
        <w:rPr>
          <w:shd w:val="clear" w:color="auto" w:fill="FFFFFF"/>
        </w:rPr>
        <w:t xml:space="preserve">has </w:t>
      </w:r>
      <w:r w:rsidR="00461977">
        <w:rPr>
          <w:shd w:val="clear" w:color="auto" w:fill="FFFFFF"/>
        </w:rPr>
        <w:t>in</w:t>
      </w:r>
      <w:r w:rsidR="000D2D82">
        <w:rPr>
          <w:shd w:val="clear" w:color="auto" w:fill="FFFFFF"/>
        </w:rPr>
        <w:t>creased</w:t>
      </w:r>
      <w:bookmarkEnd w:id="148"/>
      <w:bookmarkEnd w:id="149"/>
    </w:p>
    <w:p w14:paraId="5C91ED67" w14:textId="4CDFFEA1" w:rsidR="00E956E5" w:rsidRDefault="0006755D" w:rsidP="00E956E5">
      <w:r>
        <w:t xml:space="preserve">Total nominal gambling expenditure </w:t>
      </w:r>
      <w:r w:rsidR="00F85CF2">
        <w:t xml:space="preserve">increased from </w:t>
      </w:r>
      <w:r w:rsidR="00CC72ED">
        <w:t>$2,25</w:t>
      </w:r>
      <w:r w:rsidR="009C61EA">
        <w:t>4</w:t>
      </w:r>
      <w:r w:rsidR="00CC72ED">
        <w:t xml:space="preserve"> million in 20</w:t>
      </w:r>
      <w:r w:rsidR="002D5B89">
        <w:t>21</w:t>
      </w:r>
      <w:r w:rsidR="00CC72ED">
        <w:t>/2</w:t>
      </w:r>
      <w:r w:rsidR="002D5B89">
        <w:t>2</w:t>
      </w:r>
      <w:r w:rsidR="00CC72ED">
        <w:t xml:space="preserve"> to $2,</w:t>
      </w:r>
      <w:r w:rsidR="002D5B89">
        <w:t>385</w:t>
      </w:r>
      <w:r w:rsidR="00CC72ED">
        <w:t xml:space="preserve"> million in 202</w:t>
      </w:r>
      <w:r w:rsidR="002D5B89">
        <w:t>2</w:t>
      </w:r>
      <w:r w:rsidR="00CC72ED">
        <w:t>/2</w:t>
      </w:r>
      <w:r w:rsidR="002D5B89">
        <w:t>3</w:t>
      </w:r>
      <w:r w:rsidR="0073074B">
        <w:t>, despite TAB</w:t>
      </w:r>
      <w:r w:rsidR="00DF2021">
        <w:t xml:space="preserve"> expenditure</w:t>
      </w:r>
      <w:r w:rsidR="0073074B">
        <w:t xml:space="preserve"> data</w:t>
      </w:r>
      <w:r w:rsidR="00A47AB1">
        <w:t xml:space="preserve"> not being available at the time of this assessment</w:t>
      </w:r>
      <w:r w:rsidR="00BC76CC">
        <w:t>.</w:t>
      </w:r>
      <w:r w:rsidR="00BB2812">
        <w:t xml:space="preserve"> </w:t>
      </w:r>
      <w:bookmarkStart w:id="150" w:name="_Toc65250309"/>
      <w:bookmarkStart w:id="151" w:name="_Toc76469784"/>
      <w:r w:rsidR="00E956E5">
        <w:t>Expenditure on all gambling types decreased in the most recent recorded financial year:</w:t>
      </w:r>
    </w:p>
    <w:p w14:paraId="674EB229" w14:textId="4B783805" w:rsidR="00E956E5" w:rsidRDefault="00E956E5" w:rsidP="00A06DF7">
      <w:pPr>
        <w:pStyle w:val="Bulleted"/>
      </w:pPr>
      <w:r>
        <w:t>NZ Lotteries: $</w:t>
      </w:r>
      <w:r w:rsidR="00C22D1E" w:rsidRPr="002A3F81">
        <w:t>654</w:t>
      </w:r>
      <w:r>
        <w:t xml:space="preserve"> million to $</w:t>
      </w:r>
      <w:r w:rsidR="00C22D1E" w:rsidRPr="002A3F81">
        <w:t>710</w:t>
      </w:r>
      <w:r>
        <w:t xml:space="preserve"> million</w:t>
      </w:r>
    </w:p>
    <w:p w14:paraId="5115BBC4" w14:textId="40B352BE" w:rsidR="00E956E5" w:rsidRDefault="00E956E5" w:rsidP="00A06DF7">
      <w:pPr>
        <w:pStyle w:val="Bulleted"/>
      </w:pPr>
      <w:r>
        <w:t>Gaming machines (outside casinos): $</w:t>
      </w:r>
      <w:r w:rsidR="00C22D1E" w:rsidRPr="002A3F81">
        <w:t>833</w:t>
      </w:r>
      <w:r>
        <w:t xml:space="preserve"> million to $</w:t>
      </w:r>
      <w:r w:rsidR="00C22D1E" w:rsidRPr="002A3F81">
        <w:t>1,070</w:t>
      </w:r>
      <w:r>
        <w:t xml:space="preserve"> million</w:t>
      </w:r>
    </w:p>
    <w:p w14:paraId="49D1251F" w14:textId="7B2AAB03" w:rsidR="00E956E5" w:rsidRDefault="00E956E5" w:rsidP="00A06DF7">
      <w:pPr>
        <w:pStyle w:val="Bulleted"/>
      </w:pPr>
      <w:r>
        <w:t>Casinos: $</w:t>
      </w:r>
      <w:r w:rsidR="00C22D1E" w:rsidRPr="002A3F81">
        <w:t>387</w:t>
      </w:r>
      <w:r>
        <w:t xml:space="preserve"> million to $</w:t>
      </w:r>
      <w:r w:rsidR="00C22D1E" w:rsidRPr="002A3F81">
        <w:t>604</w:t>
      </w:r>
      <w:r>
        <w:t xml:space="preserve"> million</w:t>
      </w:r>
      <w:r w:rsidR="000404C0">
        <w:t>.</w:t>
      </w:r>
    </w:p>
    <w:p w14:paraId="130F0E0F" w14:textId="3264AFEA" w:rsidR="00EF175A" w:rsidRDefault="00B721BA" w:rsidP="00EF175A">
      <w:r>
        <w:t>T</w:t>
      </w:r>
      <w:r w:rsidR="003E54C8" w:rsidRPr="00A06DF7">
        <w:t>otal gambling expenditure</w:t>
      </w:r>
      <w:r w:rsidR="00D17151" w:rsidRPr="00A06DF7">
        <w:t xml:space="preserve"> per capita</w:t>
      </w:r>
      <w:r w:rsidR="003E54C8" w:rsidRPr="00A06DF7">
        <w:t xml:space="preserve"> </w:t>
      </w:r>
      <w:r w:rsidR="00417A77">
        <w:t xml:space="preserve">increased in 2022/23 even when </w:t>
      </w:r>
      <w:r w:rsidR="003E54C8" w:rsidRPr="00A06DF7">
        <w:t>adjust</w:t>
      </w:r>
      <w:r w:rsidR="002A2F2C">
        <w:t>ing</w:t>
      </w:r>
      <w:r w:rsidR="003E54C8" w:rsidRPr="00A06DF7">
        <w:t xml:space="preserve"> for inflation and population changes.</w:t>
      </w:r>
      <w:r w:rsidR="00BF4683" w:rsidRPr="00A06DF7">
        <w:t xml:space="preserve"> </w:t>
      </w:r>
      <w:r w:rsidR="002A2F2C">
        <w:t>T</w:t>
      </w:r>
      <w:r w:rsidR="00D17151" w:rsidRPr="00A06DF7">
        <w:t xml:space="preserve">he average gambling spend per person </w:t>
      </w:r>
      <w:r w:rsidR="008F3B9F">
        <w:t>is currently recorded as</w:t>
      </w:r>
      <w:r w:rsidR="002A2F2C">
        <w:t xml:space="preserve"> $462 in 2021/22</w:t>
      </w:r>
      <w:r w:rsidR="00B40E7F">
        <w:t xml:space="preserve"> and $450 in 2022/23</w:t>
      </w:r>
      <w:r w:rsidR="001608BD" w:rsidRPr="00A06DF7">
        <w:t xml:space="preserve">, </w:t>
      </w:r>
      <w:r w:rsidR="00E84E16">
        <w:t xml:space="preserve">however </w:t>
      </w:r>
      <w:r w:rsidR="008F3B9F">
        <w:t xml:space="preserve">TAB is excluded </w:t>
      </w:r>
      <w:r w:rsidR="00A90043">
        <w:t>and</w:t>
      </w:r>
      <w:r w:rsidR="0059709F">
        <w:t xml:space="preserve"> based on</w:t>
      </w:r>
      <w:r w:rsidR="008F3B9F">
        <w:t xml:space="preserve"> the data of</w:t>
      </w:r>
      <w:r w:rsidR="0059709F">
        <w:t xml:space="preserve"> previous years</w:t>
      </w:r>
      <w:r w:rsidR="00A90043">
        <w:t xml:space="preserve"> </w:t>
      </w:r>
      <w:r w:rsidR="001467D2">
        <w:t>it is highly probable that total expenditure</w:t>
      </w:r>
      <w:r w:rsidR="008F3B9F">
        <w:t xml:space="preserve"> in 2022/23</w:t>
      </w:r>
      <w:r w:rsidR="001467D2">
        <w:t xml:space="preserve"> </w:t>
      </w:r>
      <w:r w:rsidR="008F3B9F">
        <w:t>will</w:t>
      </w:r>
      <w:r w:rsidR="0059709F">
        <w:t xml:space="preserve"> exceed 2021/22 once the data is released</w:t>
      </w:r>
      <w:r w:rsidR="001467D2">
        <w:t xml:space="preserve"> </w:t>
      </w:r>
      <w:r w:rsidR="008D16D1" w:rsidRPr="00A06DF7">
        <w:fldChar w:fldCharType="begin"/>
      </w:r>
      <w:r w:rsidR="00715B07" w:rsidRPr="00A06DF7">
        <w:instrText xml:space="preserve"> ADDIN ZOTERO_ITEM CSL_CITATION {"citationID":"2Nnr6uXC","properties":{"formattedCitation":"(Department of Internal Affairs, 2023a)","plainCitation":"(Department of Internal Affairs, 2023a)","noteIndex":0},"citationItems":[{"id":1427,"uris":["http://zotero.org/users/11111291/items/S4F3RHNR"],"itemData":{"id":1427,"type":"dataset","title":"Annual Gambling Expenditure Statistics","URL":"https://catalogue.data.govt.nz/dataset/gambling-expenditure-statistics","author":[{"literal":"Department of Internal Affairs"}],"issued":{"date-parts":[["2023"]]}}}],"schema":"https://github.com/citation-style-language/schema/raw/master/csl-citation.json"} </w:instrText>
      </w:r>
      <w:r w:rsidR="008D16D1" w:rsidRPr="00A06DF7">
        <w:fldChar w:fldCharType="separate"/>
      </w:r>
      <w:r w:rsidR="008D16D1" w:rsidRPr="00A06DF7">
        <w:t>(Department of Internal Affairs, 2023a)</w:t>
      </w:r>
      <w:r w:rsidR="008D16D1" w:rsidRPr="00A06DF7">
        <w:fldChar w:fldCharType="end"/>
      </w:r>
      <w:r w:rsidR="008D16D1" w:rsidRPr="00A06DF7">
        <w:t>.</w:t>
      </w:r>
      <w:r w:rsidR="00011146">
        <w:t xml:space="preserve"> </w:t>
      </w:r>
      <w:r w:rsidR="0040621A" w:rsidRPr="00011146">
        <w:t xml:space="preserve">Average </w:t>
      </w:r>
      <w:r w:rsidR="00874645" w:rsidRPr="00011146">
        <w:t xml:space="preserve">per capita expenditure on </w:t>
      </w:r>
      <w:r w:rsidR="00E46C42" w:rsidRPr="00011146">
        <w:t xml:space="preserve">the remaining </w:t>
      </w:r>
      <w:r w:rsidR="0040621A" w:rsidRPr="00011146">
        <w:t xml:space="preserve">gambling types </w:t>
      </w:r>
      <w:r w:rsidR="00E46C42" w:rsidRPr="00011146">
        <w:t xml:space="preserve">either </w:t>
      </w:r>
      <w:r w:rsidR="008D3F95" w:rsidRPr="00011146">
        <w:t>increased</w:t>
      </w:r>
      <w:r w:rsidR="00E46C42" w:rsidRPr="00011146">
        <w:t xml:space="preserve"> or remained constant</w:t>
      </w:r>
      <w:r w:rsidR="008D3F95" w:rsidRPr="00011146">
        <w:t xml:space="preserve"> </w:t>
      </w:r>
      <w:r w:rsidR="00E46C42" w:rsidRPr="00011146">
        <w:t>in 2022/23</w:t>
      </w:r>
      <w:r w:rsidR="002D43C1" w:rsidRPr="00011146">
        <w:t>:</w:t>
      </w:r>
    </w:p>
    <w:p w14:paraId="4B541D3B" w14:textId="6EEEE88B" w:rsidR="002D43C1" w:rsidRPr="00A06DF7" w:rsidRDefault="002D43C1" w:rsidP="00A06DF7">
      <w:pPr>
        <w:pStyle w:val="Bulleted"/>
      </w:pPr>
      <w:r w:rsidRPr="00A06DF7">
        <w:t>NZ Lotteries: $</w:t>
      </w:r>
      <w:r w:rsidR="00763EEF" w:rsidRPr="00A06DF7">
        <w:t>1</w:t>
      </w:r>
      <w:r w:rsidR="00E46C42">
        <w:t>34</w:t>
      </w:r>
      <w:r w:rsidR="00763EEF" w:rsidRPr="00A06DF7">
        <w:t xml:space="preserve"> to $1</w:t>
      </w:r>
      <w:r w:rsidR="00E46C42">
        <w:t>3</w:t>
      </w:r>
      <w:r w:rsidR="00763EEF" w:rsidRPr="00A06DF7">
        <w:t>4</w:t>
      </w:r>
    </w:p>
    <w:p w14:paraId="74F23925" w14:textId="0E94F30D" w:rsidR="002D43C1" w:rsidRPr="00A06DF7" w:rsidRDefault="002D43C1" w:rsidP="00A06DF7">
      <w:pPr>
        <w:pStyle w:val="Bulleted"/>
      </w:pPr>
      <w:r w:rsidRPr="00A06DF7">
        <w:t>Gaming machines (outside casinos): $</w:t>
      </w:r>
      <w:r w:rsidR="00E46C42">
        <w:t>171</w:t>
      </w:r>
      <w:r w:rsidR="007F1E36" w:rsidRPr="00A06DF7">
        <w:t xml:space="preserve"> to $</w:t>
      </w:r>
      <w:r w:rsidR="00E46C42">
        <w:t>202</w:t>
      </w:r>
    </w:p>
    <w:p w14:paraId="5F0E7BAB" w14:textId="546A236E" w:rsidR="002D43C1" w:rsidRPr="00A06DF7" w:rsidRDefault="002D43C1" w:rsidP="00A06DF7">
      <w:pPr>
        <w:pStyle w:val="Bulleted"/>
      </w:pPr>
      <w:r w:rsidRPr="00A06DF7">
        <w:t>Casinos: $</w:t>
      </w:r>
      <w:r w:rsidR="00E46C42">
        <w:t>79</w:t>
      </w:r>
      <w:r w:rsidR="007F1E36" w:rsidRPr="00A06DF7">
        <w:t xml:space="preserve"> to $</w:t>
      </w:r>
      <w:r w:rsidR="00E46C42">
        <w:t>114</w:t>
      </w:r>
      <w:r w:rsidR="004A6CDF" w:rsidRPr="00A06DF7">
        <w:t>.</w:t>
      </w:r>
    </w:p>
    <w:p w14:paraId="15F2247C" w14:textId="532DE6E9" w:rsidR="007D7D39" w:rsidRDefault="00183C6F">
      <w:pPr>
        <w:pStyle w:val="Heading6"/>
      </w:pPr>
      <w:bookmarkStart w:id="152" w:name="_Ref156901589"/>
      <w:bookmarkStart w:id="153" w:name="_Toc166507381"/>
      <w:bookmarkEnd w:id="150"/>
      <w:bookmarkEnd w:id="151"/>
      <w:r>
        <w:t>Gaming machine profits continue to increase</w:t>
      </w:r>
      <w:bookmarkEnd w:id="152"/>
      <w:bookmarkEnd w:id="153"/>
    </w:p>
    <w:p w14:paraId="76713B75" w14:textId="5E762F93" w:rsidR="00183C6F" w:rsidRPr="00A06DF7" w:rsidRDefault="008B0462" w:rsidP="00183C6F">
      <w:pPr>
        <w:rPr>
          <w:rFonts w:cs="Calibri"/>
        </w:rPr>
      </w:pPr>
      <w:r w:rsidRPr="00A06DF7">
        <w:rPr>
          <w:rFonts w:cs="Calibri"/>
        </w:rPr>
        <w:t xml:space="preserve">Quarterly gaming machine profit (GMP) data shows </w:t>
      </w:r>
      <w:r w:rsidR="002F7783" w:rsidRPr="00A06DF7">
        <w:rPr>
          <w:rFonts w:cs="Calibri"/>
        </w:rPr>
        <w:t>a seasonal trend</w:t>
      </w:r>
      <w:r w:rsidR="00BC0AAA" w:rsidRPr="00A06DF7">
        <w:rPr>
          <w:rFonts w:cs="Calibri"/>
        </w:rPr>
        <w:t xml:space="preserve">, with higher spend </w:t>
      </w:r>
      <w:r w:rsidR="00076A12" w:rsidRPr="00A06DF7">
        <w:rPr>
          <w:rFonts w:cs="Calibri"/>
        </w:rPr>
        <w:t>in later quarters</w:t>
      </w:r>
      <w:r w:rsidR="009615E5" w:rsidRPr="00A06DF7">
        <w:rPr>
          <w:rFonts w:cs="Calibri"/>
        </w:rPr>
        <w:t xml:space="preserve">. </w:t>
      </w:r>
      <w:r w:rsidR="00076A12" w:rsidRPr="00A06DF7">
        <w:rPr>
          <w:rFonts w:cs="Calibri"/>
        </w:rPr>
        <w:t xml:space="preserve">Overall GMP </w:t>
      </w:r>
      <w:r w:rsidR="0067119D" w:rsidRPr="00A06DF7">
        <w:rPr>
          <w:rFonts w:cs="Calibri"/>
        </w:rPr>
        <w:t>has tended to increase each year</w:t>
      </w:r>
      <w:r w:rsidR="005D2F42" w:rsidRPr="00A06DF7">
        <w:rPr>
          <w:rFonts w:cs="Calibri"/>
        </w:rPr>
        <w:t xml:space="preserve">, </w:t>
      </w:r>
      <w:r w:rsidR="00532FF8" w:rsidRPr="00A06DF7">
        <w:rPr>
          <w:rFonts w:cs="Calibri"/>
        </w:rPr>
        <w:t xml:space="preserve">with approximately </w:t>
      </w:r>
      <w:r w:rsidR="00FE0DA1" w:rsidRPr="00A06DF7">
        <w:rPr>
          <w:rFonts w:cs="Calibri"/>
        </w:rPr>
        <w:t xml:space="preserve">$272 million recorded in the most recent </w:t>
      </w:r>
      <w:r w:rsidR="00D213E6" w:rsidRPr="00A06DF7">
        <w:rPr>
          <w:rFonts w:cs="Calibri"/>
        </w:rPr>
        <w:t>September 2023 quarter</w:t>
      </w:r>
      <w:r w:rsidR="009C1CC1" w:rsidRPr="00A06DF7">
        <w:rPr>
          <w:rFonts w:cs="Calibri"/>
        </w:rPr>
        <w:t xml:space="preserve"> (</w:t>
      </w:r>
      <w:r w:rsidR="009C1CC1" w:rsidRPr="00A06DF7">
        <w:rPr>
          <w:rFonts w:cs="Calibri"/>
        </w:rPr>
        <w:fldChar w:fldCharType="begin"/>
      </w:r>
      <w:r w:rsidR="009C1CC1" w:rsidRPr="00A06DF7">
        <w:rPr>
          <w:rFonts w:cs="Calibri"/>
        </w:rPr>
        <w:instrText xml:space="preserve"> REF _Ref152658524 \h </w:instrText>
      </w:r>
      <w:r w:rsidR="00A06DF7">
        <w:rPr>
          <w:rFonts w:cs="Calibri"/>
        </w:rPr>
        <w:instrText xml:space="preserve"> \* MERGEFORMAT </w:instrText>
      </w:r>
      <w:r w:rsidR="009C1CC1" w:rsidRPr="00A06DF7">
        <w:rPr>
          <w:rFonts w:cs="Calibri"/>
        </w:rPr>
      </w:r>
      <w:r w:rsidR="009C1CC1" w:rsidRPr="00A06DF7">
        <w:rPr>
          <w:rFonts w:cs="Calibri"/>
        </w:rPr>
        <w:fldChar w:fldCharType="separate"/>
      </w:r>
      <w:r w:rsidR="004F4DA7" w:rsidRPr="004F4DA7">
        <w:rPr>
          <w:rFonts w:cs="Calibri"/>
        </w:rPr>
        <w:t xml:space="preserve">Figure </w:t>
      </w:r>
      <w:r w:rsidR="004F4DA7" w:rsidRPr="004F4DA7">
        <w:rPr>
          <w:rFonts w:cs="Calibri"/>
          <w:noProof/>
        </w:rPr>
        <w:t>8</w:t>
      </w:r>
      <w:r w:rsidR="009C1CC1" w:rsidRPr="00A06DF7">
        <w:rPr>
          <w:rFonts w:cs="Calibri"/>
        </w:rPr>
        <w:fldChar w:fldCharType="end"/>
      </w:r>
      <w:r w:rsidR="009C1CC1" w:rsidRPr="00A06DF7">
        <w:rPr>
          <w:rFonts w:cs="Calibri"/>
        </w:rPr>
        <w:t xml:space="preserve">) </w:t>
      </w:r>
      <w:r w:rsidR="009C1CC1" w:rsidRPr="00A06DF7">
        <w:rPr>
          <w:rFonts w:cs="Calibri"/>
        </w:rPr>
        <w:fldChar w:fldCharType="begin"/>
      </w:r>
      <w:r w:rsidR="00715B07" w:rsidRPr="00A06DF7">
        <w:rPr>
          <w:rFonts w:cs="Calibri"/>
        </w:rPr>
        <w:instrText xml:space="preserve"> ADDIN ZOTERO_ITEM CSL_CITATION {"citationID":"4rl31QoJ","properties":{"formattedCitation":"(Department of Internal Affairs, 2023c)","plainCitation":"(Department of Internal Affairs, 2023c)","noteIndex":0},"citationItems":[{"id":1340,"uris":["http://zotero.org/users/11111291/items/6IGEKFY8"],"itemData":{"id":1340,"type":"dataset","title":"GMP Dashboard","URL":"https://www.dia.govt.nz/gambling-statistics-gmp-dashboard","author":[{"literal":"Department of Internal Affairs"}],"issued":{"date-parts":[["2023"]]}}}],"schema":"https://github.com/citation-style-language/schema/raw/master/csl-citation.json"} </w:instrText>
      </w:r>
      <w:r w:rsidR="009C1CC1" w:rsidRPr="00A06DF7">
        <w:rPr>
          <w:rFonts w:cs="Calibri"/>
        </w:rPr>
        <w:fldChar w:fldCharType="separate"/>
      </w:r>
      <w:r w:rsidR="00252AA4" w:rsidRPr="00A06DF7">
        <w:rPr>
          <w:rFonts w:cs="Calibri"/>
        </w:rPr>
        <w:t>(Department of Internal Affairs, 2023c)</w:t>
      </w:r>
      <w:r w:rsidR="009C1CC1" w:rsidRPr="00A06DF7">
        <w:rPr>
          <w:rFonts w:cs="Calibri"/>
        </w:rPr>
        <w:fldChar w:fldCharType="end"/>
      </w:r>
      <w:r w:rsidR="00D213E6" w:rsidRPr="00A06DF7">
        <w:rPr>
          <w:rFonts w:cs="Calibri"/>
        </w:rPr>
        <w:t>.</w:t>
      </w:r>
    </w:p>
    <w:p w14:paraId="18FFB6D9" w14:textId="4119BB73" w:rsidR="00183C6F" w:rsidRDefault="00183C6F" w:rsidP="00183C6F">
      <w:pPr>
        <w:pStyle w:val="Caption"/>
      </w:pPr>
      <w:bookmarkStart w:id="154" w:name="_Ref152658524"/>
      <w:bookmarkStart w:id="155" w:name="_Toc166580303"/>
      <w:r>
        <w:lastRenderedPageBreak/>
        <w:t xml:space="preserve">Figure </w:t>
      </w:r>
      <w:r>
        <w:fldChar w:fldCharType="begin"/>
      </w:r>
      <w:r>
        <w:instrText>SEQ Figure \* ARABIC</w:instrText>
      </w:r>
      <w:r>
        <w:fldChar w:fldCharType="separate"/>
      </w:r>
      <w:r w:rsidR="004F4DA7">
        <w:rPr>
          <w:noProof/>
        </w:rPr>
        <w:t>8</w:t>
      </w:r>
      <w:r>
        <w:fldChar w:fldCharType="end"/>
      </w:r>
      <w:bookmarkEnd w:id="154"/>
      <w:r w:rsidR="004A6CDF">
        <w:t xml:space="preserve">: </w:t>
      </w:r>
      <w:r w:rsidR="007102DF">
        <w:t xml:space="preserve">Gaming machine profit per quarter </w:t>
      </w:r>
      <w:r w:rsidR="00201729">
        <w:fldChar w:fldCharType="begin"/>
      </w:r>
      <w:r w:rsidR="00201729">
        <w:instrText xml:space="preserve"> ADDIN ZOTERO_ITEM CSL_CITATION {"citationID":"Ug2SWszw","properties":{"formattedCitation":"(Department of Internal Affairs, 2023c)","plainCitation":"(Department of Internal Affairs, 2023c)","noteIndex":0},"citationItems":[{"id":1340,"uris":["http://zotero.org/users/11111291/items/6IGEKFY8"],"itemData":{"id":1340,"type":"dataset","title":"GMP Dashboard","URL":"https://www.dia.govt.nz/gambling-statistics-gmp-dashboard","author":[{"literal":"Department of Internal Affairs"}],"issued":{"date-parts":[["2023"]]}}}],"schema":"https://github.com/citation-style-language/schema/raw/master/csl-citation.json"} </w:instrText>
      </w:r>
      <w:r w:rsidR="00201729">
        <w:fldChar w:fldCharType="separate"/>
      </w:r>
      <w:r w:rsidR="00201729" w:rsidRPr="00201729">
        <w:rPr>
          <w:rFonts w:cs="Calibri"/>
        </w:rPr>
        <w:t>(Department of Internal Affairs, 2023c)</w:t>
      </w:r>
      <w:bookmarkEnd w:id="155"/>
      <w:r w:rsidR="00201729">
        <w:fldChar w:fldCharType="end"/>
      </w:r>
    </w:p>
    <w:p w14:paraId="59ED5796" w14:textId="67ECD932" w:rsidR="00183C6F" w:rsidRDefault="00183C6F" w:rsidP="00183C6F">
      <w:pPr>
        <w:rPr>
          <w:noProof/>
        </w:rPr>
      </w:pPr>
      <w:r>
        <w:rPr>
          <w:noProof/>
        </w:rPr>
        <w:drawing>
          <wp:inline distT="0" distB="0" distL="0" distR="0" wp14:anchorId="04554775" wp14:editId="083EDFF1">
            <wp:extent cx="5731510" cy="2512695"/>
            <wp:effectExtent l="0" t="0" r="2540" b="1905"/>
            <wp:docPr id="3" name="Graphic 3" descr="A line chart showing gaming machine profit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 line chart showing gaming machine profit per quarter"/>
                    <pic:cNvPicPr/>
                  </pic:nvPicPr>
                  <pic:blipFill>
                    <a:blip r:embed="rId30">
                      <a:extLst>
                        <a:ext uri="{96DAC541-7B7A-43D3-8B79-37D633B846F1}">
                          <asvg:svgBlip xmlns:asvg="http://schemas.microsoft.com/office/drawing/2016/SVG/main" r:embed="rId31"/>
                        </a:ext>
                      </a:extLst>
                    </a:blip>
                    <a:stretch>
                      <a:fillRect/>
                    </a:stretch>
                  </pic:blipFill>
                  <pic:spPr>
                    <a:xfrm>
                      <a:off x="0" y="0"/>
                      <a:ext cx="5731510" cy="2512695"/>
                    </a:xfrm>
                    <a:prstGeom prst="rect">
                      <a:avLst/>
                    </a:prstGeom>
                  </pic:spPr>
                </pic:pic>
              </a:graphicData>
            </a:graphic>
          </wp:inline>
        </w:drawing>
      </w:r>
    </w:p>
    <w:p w14:paraId="197A5CFA" w14:textId="20CB3585" w:rsidR="001305DF" w:rsidRPr="00A06DF7" w:rsidRDefault="0010023E" w:rsidP="001305DF">
      <w:pPr>
        <w:rPr>
          <w:rFonts w:cs="Calibri"/>
        </w:rPr>
      </w:pPr>
      <w:r w:rsidRPr="00A06DF7">
        <w:rPr>
          <w:rFonts w:cs="Calibri"/>
        </w:rPr>
        <w:t xml:space="preserve">GMP per EGM has been increasing, </w:t>
      </w:r>
      <w:r w:rsidR="00FA281B" w:rsidRPr="00A06DF7">
        <w:rPr>
          <w:rFonts w:cs="Calibri"/>
        </w:rPr>
        <w:t>d</w:t>
      </w:r>
      <w:r w:rsidR="005D2F42" w:rsidRPr="00A06DF7">
        <w:rPr>
          <w:rFonts w:cs="Calibri"/>
        </w:rPr>
        <w:t xml:space="preserve">espite the downwards trend in the number of Class 4 EGMs and venues outlined in </w:t>
      </w:r>
      <w:r w:rsidR="004A6CDF" w:rsidRPr="00A06DF7">
        <w:rPr>
          <w:rFonts w:cs="Calibri"/>
        </w:rPr>
        <w:t xml:space="preserve">section </w:t>
      </w:r>
      <w:r w:rsidR="005D2F42" w:rsidRPr="00A06DF7">
        <w:rPr>
          <w:rFonts w:cs="Calibri"/>
        </w:rPr>
        <w:fldChar w:fldCharType="begin"/>
      </w:r>
      <w:r w:rsidR="005D2F42" w:rsidRPr="00A06DF7">
        <w:rPr>
          <w:rFonts w:cs="Calibri"/>
        </w:rPr>
        <w:instrText xml:space="preserve"> REF _Ref152658387 \r \h </w:instrText>
      </w:r>
      <w:r w:rsidR="00A06DF7">
        <w:rPr>
          <w:rFonts w:cs="Calibri"/>
        </w:rPr>
        <w:instrText xml:space="preserve"> \* MERGEFORMAT </w:instrText>
      </w:r>
      <w:r w:rsidR="005D2F42" w:rsidRPr="00A06DF7">
        <w:rPr>
          <w:rFonts w:cs="Calibri"/>
        </w:rPr>
      </w:r>
      <w:r w:rsidR="005D2F42" w:rsidRPr="00A06DF7">
        <w:rPr>
          <w:rFonts w:cs="Calibri"/>
        </w:rPr>
        <w:fldChar w:fldCharType="separate"/>
      </w:r>
      <w:r w:rsidR="004F4DA7">
        <w:rPr>
          <w:rFonts w:cs="Calibri"/>
        </w:rPr>
        <w:t>3.1</w:t>
      </w:r>
      <w:r w:rsidR="005D2F42" w:rsidRPr="00A06DF7">
        <w:rPr>
          <w:rFonts w:cs="Calibri"/>
        </w:rPr>
        <w:fldChar w:fldCharType="end"/>
      </w:r>
      <w:r w:rsidRPr="00A06DF7">
        <w:rPr>
          <w:rFonts w:cs="Calibri"/>
        </w:rPr>
        <w:t>.</w:t>
      </w:r>
      <w:r w:rsidR="00FA281B" w:rsidRPr="00A06DF7">
        <w:rPr>
          <w:rFonts w:cs="Calibri"/>
        </w:rPr>
        <w:t xml:space="preserve"> The Department of Internal Affairs</w:t>
      </w:r>
      <w:r w:rsidR="0031028C" w:rsidRPr="00A06DF7">
        <w:rPr>
          <w:rFonts w:cs="Calibri"/>
        </w:rPr>
        <w:t xml:space="preserve"> </w:t>
      </w:r>
      <w:r w:rsidR="00F63D0D" w:rsidRPr="00A06DF7">
        <w:rPr>
          <w:rFonts w:cs="Calibri"/>
        </w:rPr>
        <w:t>(</w:t>
      </w:r>
      <w:r w:rsidR="0031028C" w:rsidRPr="00A06DF7">
        <w:rPr>
          <w:rFonts w:cs="Calibri"/>
        </w:rPr>
        <w:fldChar w:fldCharType="begin"/>
      </w:r>
      <w:r w:rsidR="00715B07" w:rsidRPr="00A06DF7">
        <w:rPr>
          <w:rFonts w:cs="Calibri"/>
        </w:rPr>
        <w:instrText xml:space="preserve"> ADDIN ZOTERO_ITEM CSL_CITATION {"citationID":"PkBFWkSm","properties":{"formattedCitation":"(Department of Internal Affairs, 2023d)","plainCitation":"(Department of Internal Affairs, 2023d)","dontUpdate":true,"noteIndex":0},"citationItems":[{"id":1428,"uris":["http://zotero.org/users/11111291/items/XNMFK8WE"],"itemData":{"id":1428,"type":"webpage","title":"GMP Dashboard - Trends","URL":"https://www.dia.govt.nz/gambling-statistics-gmp-dashboard","author":[{"literal":"Department of Internal Affairs"}],"accessed":{"date-parts":[["2023",12,5]]},"issued":{"date-parts":[["2023"]]}}}],"schema":"https://github.com/citation-style-language/schema/raw/master/csl-citation.json"} </w:instrText>
      </w:r>
      <w:r w:rsidR="0031028C" w:rsidRPr="00A06DF7">
        <w:rPr>
          <w:rFonts w:cs="Calibri"/>
        </w:rPr>
        <w:fldChar w:fldCharType="separate"/>
      </w:r>
      <w:r w:rsidR="00252AA4" w:rsidRPr="00A06DF7">
        <w:rPr>
          <w:rFonts w:cs="Calibri"/>
        </w:rPr>
        <w:t>2023d)</w:t>
      </w:r>
      <w:r w:rsidR="0031028C" w:rsidRPr="00A06DF7">
        <w:rPr>
          <w:rFonts w:cs="Calibri"/>
        </w:rPr>
        <w:fldChar w:fldCharType="end"/>
      </w:r>
      <w:r w:rsidR="00FA281B" w:rsidRPr="00A06DF7">
        <w:rPr>
          <w:rFonts w:cs="Calibri"/>
        </w:rPr>
        <w:t xml:space="preserve"> </w:t>
      </w:r>
      <w:r w:rsidR="001A4C03" w:rsidRPr="00A06DF7">
        <w:rPr>
          <w:rFonts w:cs="Calibri"/>
        </w:rPr>
        <w:t>state</w:t>
      </w:r>
      <w:r w:rsidR="00994364" w:rsidRPr="00A06DF7">
        <w:rPr>
          <w:rFonts w:cs="Calibri"/>
        </w:rPr>
        <w:t>s</w:t>
      </w:r>
      <w:r w:rsidR="001A4C03" w:rsidRPr="00A06DF7">
        <w:rPr>
          <w:rFonts w:cs="Calibri"/>
        </w:rPr>
        <w:t xml:space="preserve"> that </w:t>
      </w:r>
      <w:r w:rsidR="004A6CDF" w:rsidRPr="00A06DF7">
        <w:rPr>
          <w:rFonts w:cs="Calibri"/>
        </w:rPr>
        <w:t>it cannot</w:t>
      </w:r>
      <w:r w:rsidR="001A4C03" w:rsidRPr="00A06DF7">
        <w:rPr>
          <w:rFonts w:cs="Calibri"/>
        </w:rPr>
        <w:t xml:space="preserve"> definitively say why this is, and from the data held, </w:t>
      </w:r>
      <w:r w:rsidR="00BB4041" w:rsidRPr="00A06DF7">
        <w:rPr>
          <w:rFonts w:cs="Calibri"/>
        </w:rPr>
        <w:t xml:space="preserve">it </w:t>
      </w:r>
      <w:r w:rsidR="001A4C03" w:rsidRPr="00A06DF7">
        <w:rPr>
          <w:rFonts w:cs="Calibri"/>
        </w:rPr>
        <w:t xml:space="preserve">cannot determine whether: </w:t>
      </w:r>
    </w:p>
    <w:p w14:paraId="7817B916" w14:textId="108F7FC2" w:rsidR="00E441F9" w:rsidRDefault="00D3443B" w:rsidP="00BD2D7B">
      <w:pPr>
        <w:pStyle w:val="Bulleted"/>
      </w:pPr>
      <w:r>
        <w:t>T</w:t>
      </w:r>
      <w:r w:rsidR="0072516D">
        <w:t>here are more players playing EGMs</w:t>
      </w:r>
    </w:p>
    <w:p w14:paraId="404FF9C3" w14:textId="5EBE6F2A" w:rsidR="0072516D" w:rsidRDefault="00D3443B" w:rsidP="00BD2D7B">
      <w:pPr>
        <w:pStyle w:val="Bulleted"/>
      </w:pPr>
      <w:r>
        <w:t>T</w:t>
      </w:r>
      <w:r w:rsidR="0072516D">
        <w:t>here are a similar number of players betting more per game</w:t>
      </w:r>
      <w:r w:rsidR="00664C0E">
        <w:t>; or</w:t>
      </w:r>
    </w:p>
    <w:p w14:paraId="68404E13" w14:textId="191CF92A" w:rsidR="0072516D" w:rsidRDefault="00D3443B" w:rsidP="00BD2D7B">
      <w:pPr>
        <w:pStyle w:val="Bulleted"/>
      </w:pPr>
      <w:r>
        <w:t>T</w:t>
      </w:r>
      <w:r w:rsidR="0072516D">
        <w:t>here are a similar number of players betting similar amounts per game but playing for longer hours</w:t>
      </w:r>
      <w:r w:rsidR="00BB4041">
        <w:t>.</w:t>
      </w:r>
    </w:p>
    <w:p w14:paraId="25953A04" w14:textId="20AA3FA0" w:rsidR="00B85AC6" w:rsidRDefault="00170B34" w:rsidP="00BD2D7B">
      <w:pPr>
        <w:pStyle w:val="ListBullet"/>
        <w:ind w:left="0" w:firstLine="0"/>
      </w:pPr>
      <w:r>
        <w:t xml:space="preserve">However, as outlined in Section </w:t>
      </w:r>
      <w:r>
        <w:fldChar w:fldCharType="begin"/>
      </w:r>
      <w:r>
        <w:instrText xml:space="preserve"> REF _Ref65074882 \r \h </w:instrText>
      </w:r>
      <w:r>
        <w:fldChar w:fldCharType="separate"/>
      </w:r>
      <w:r w:rsidR="004F4DA7">
        <w:t>2.1</w:t>
      </w:r>
      <w:r>
        <w:fldChar w:fldCharType="end"/>
      </w:r>
      <w:r>
        <w:t>, we have been observing a declining trend in gambling participation on pokies at pubs, clubs and casinos</w:t>
      </w:r>
      <w:r w:rsidR="00447DBF">
        <w:t>. There have been statistically significant declines in participation between 2014 and 2020 yet GMP has increased, which suggests that less people are betting more frequently and losing more money each year. It is likely that the overall harm has increased but is concentrated among a smaller number of people.</w:t>
      </w:r>
    </w:p>
    <w:p w14:paraId="70AA3776" w14:textId="50238FD9" w:rsidR="00E112D5" w:rsidRDefault="000F74E1" w:rsidP="00756B20">
      <w:pPr>
        <w:pStyle w:val="Heading5"/>
      </w:pPr>
      <w:bookmarkStart w:id="156" w:name="_Ref157499776"/>
      <w:bookmarkStart w:id="157" w:name="_Toc166507382"/>
      <w:r>
        <w:lastRenderedPageBreak/>
        <w:t>Community reinvestment of gambling profits</w:t>
      </w:r>
      <w:bookmarkEnd w:id="156"/>
      <w:bookmarkEnd w:id="157"/>
    </w:p>
    <w:p w14:paraId="3053FCD1" w14:textId="3EA1CC42" w:rsidR="0072516D" w:rsidRDefault="00A44790" w:rsidP="0072516D">
      <w:r>
        <w:t>New Zealand has</w:t>
      </w:r>
      <w:r w:rsidR="002B7583">
        <w:t xml:space="preserve"> a community-</w:t>
      </w:r>
      <w:r w:rsidR="00F9129A">
        <w:t>focused</w:t>
      </w:r>
      <w:r w:rsidR="002B7583">
        <w:t xml:space="preserve"> </w:t>
      </w:r>
      <w:r w:rsidR="00F9129A">
        <w:t xml:space="preserve">gambling model, where net profits are </w:t>
      </w:r>
      <w:r w:rsidR="00EE4D0B">
        <w:t xml:space="preserve">required to be </w:t>
      </w:r>
      <w:r w:rsidR="00F9129A">
        <w:t>reinvested into communities rather than</w:t>
      </w:r>
      <w:r w:rsidR="00BB4041">
        <w:t xml:space="preserve"> into</w:t>
      </w:r>
      <w:r w:rsidR="00F9129A">
        <w:t xml:space="preserve"> the private sector. </w:t>
      </w:r>
      <w:r w:rsidR="00C03198">
        <w:t xml:space="preserve">Regulated gambling bodies are required by law </w:t>
      </w:r>
      <w:r w:rsidR="00DF7582">
        <w:t xml:space="preserve">to </w:t>
      </w:r>
      <w:r w:rsidR="000F4713">
        <w:t xml:space="preserve">return </w:t>
      </w:r>
      <w:r w:rsidR="005E7D2B">
        <w:t xml:space="preserve">a portion of their </w:t>
      </w:r>
      <w:r w:rsidR="000F4713">
        <w:t>profits to communities through grants and lev</w:t>
      </w:r>
      <w:r w:rsidR="005E7D2B">
        <w:t>ies</w:t>
      </w:r>
      <w:r w:rsidR="00625D06">
        <w:t xml:space="preserve">, which differs from </w:t>
      </w:r>
      <w:r w:rsidR="00EE4D0B">
        <w:t xml:space="preserve">some </w:t>
      </w:r>
      <w:r w:rsidR="00625D06">
        <w:t>international models where net proceeds are purely for commercial gain</w:t>
      </w:r>
      <w:r w:rsidR="00EE4D0B">
        <w:t>.</w:t>
      </w:r>
      <w:r w:rsidR="00324DE6">
        <w:t xml:space="preserve"> </w:t>
      </w:r>
    </w:p>
    <w:p w14:paraId="47FA61C8" w14:textId="74BD2572" w:rsidR="006711A8" w:rsidRDefault="00D87781" w:rsidP="00756B20">
      <w:pPr>
        <w:pStyle w:val="Heading6"/>
      </w:pPr>
      <w:bookmarkStart w:id="158" w:name="_Toc166507383"/>
      <w:r>
        <w:t>Class 4 EGMs</w:t>
      </w:r>
      <w:bookmarkEnd w:id="158"/>
    </w:p>
    <w:p w14:paraId="53BE3040" w14:textId="1CFC4C0D" w:rsidR="00D87781" w:rsidRPr="00A06DF7" w:rsidRDefault="004D6109" w:rsidP="00D87781">
      <w:pPr>
        <w:rPr>
          <w:rFonts w:cs="Calibri"/>
        </w:rPr>
      </w:pPr>
      <w:r>
        <w:t xml:space="preserve">The Act requires </w:t>
      </w:r>
      <w:r w:rsidR="00CD5C7B">
        <w:t>that a minimum of 40</w:t>
      </w:r>
      <w:r w:rsidR="00D9625C">
        <w:t xml:space="preserve"> per cent</w:t>
      </w:r>
      <w:r w:rsidR="00CD5C7B">
        <w:t xml:space="preserve"> of </w:t>
      </w:r>
      <w:r w:rsidR="00927403">
        <w:t>gaming machine profit (GMP)</w:t>
      </w:r>
      <w:r w:rsidR="00CD5C7B">
        <w:t xml:space="preserve"> generated </w:t>
      </w:r>
      <w:r w:rsidR="00B6410A">
        <w:t>by</w:t>
      </w:r>
      <w:r w:rsidR="00CD5C7B">
        <w:t xml:space="preserve"> authorised </w:t>
      </w:r>
      <w:r w:rsidR="00927403">
        <w:t>gambling societies</w:t>
      </w:r>
      <w:r w:rsidR="00AF29C5">
        <w:rPr>
          <w:rStyle w:val="FootnoteReference"/>
        </w:rPr>
        <w:footnoteReference w:id="22"/>
      </w:r>
      <w:r w:rsidR="00927403">
        <w:t xml:space="preserve"> </w:t>
      </w:r>
      <w:r w:rsidR="00B81F3C">
        <w:t>must be reinve</w:t>
      </w:r>
      <w:r w:rsidR="00E114EF">
        <w:t xml:space="preserve">sted into the community. </w:t>
      </w:r>
      <w:r w:rsidR="00087744">
        <w:t xml:space="preserve">Gaming machine societies and trusts exclusively </w:t>
      </w:r>
      <w:r w:rsidR="00A73C8B">
        <w:t>conduct Class 4 gambling, and this form of gambling is permitted solely for the purpose of fundraising for a</w:t>
      </w:r>
      <w:r w:rsidR="00AF109C">
        <w:t xml:space="preserve"> community-based cause. </w:t>
      </w:r>
      <w:r w:rsidR="003B6C81">
        <w:t xml:space="preserve">Although there is no legal obligation for grants to be directed back into communities that </w:t>
      </w:r>
      <w:r w:rsidR="00E8431B">
        <w:t xml:space="preserve">generated the profits, many societies endeavour to </w:t>
      </w:r>
      <w:r w:rsidR="000C0CC8">
        <w:t xml:space="preserve">reinvest a significant proportion of their proceeds </w:t>
      </w:r>
      <w:r w:rsidR="00874722">
        <w:t xml:space="preserve">with </w:t>
      </w:r>
      <w:r w:rsidR="000C0CC8">
        <w:t xml:space="preserve">the communities </w:t>
      </w:r>
      <w:r w:rsidR="00DC1E24">
        <w:t xml:space="preserve">where the funds originated </w:t>
      </w:r>
      <w:r w:rsidR="000F6192" w:rsidRPr="00A06DF7">
        <w:rPr>
          <w:rFonts w:cs="Calibri"/>
        </w:rPr>
        <w:fldChar w:fldCharType="begin"/>
      </w:r>
      <w:r w:rsidR="00BA456D">
        <w:rPr>
          <w:rFonts w:cs="Calibri"/>
        </w:rPr>
        <w:instrText xml:space="preserve"> ADDIN ZOTERO_ITEM CSL_CITATION {"citationID":"yVBnFPJA","properties":{"formattedCitation":"(Department of Internal Affairs, 2021d)","plainCitation":"(Department of Internal Affairs, 2021d)","noteIndex":0},"citationItems":[{"id":1511,"uris":["http://zotero.org/users/11111291/items/GIABAVAZ"],"itemData":{"id":1511,"type":"webpage","title":"Understanding gambling in the community","URL":"https://www.dia.govt.nz/Gambling-territorial-authorities-policy-review-process-understanding-gambling-community","author":[{"literal":"Department of Internal Affairs"}],"accessed":{"date-parts":[["2024",1,23]]},"issued":{"date-parts":[["2021"]]}}}],"schema":"https://github.com/citation-style-language/schema/raw/master/csl-citation.json"} </w:instrText>
      </w:r>
      <w:r w:rsidR="000F6192" w:rsidRPr="00A06DF7">
        <w:rPr>
          <w:rFonts w:cs="Calibri"/>
        </w:rPr>
        <w:fldChar w:fldCharType="separate"/>
      </w:r>
      <w:r w:rsidR="00BA456D" w:rsidRPr="00BA456D">
        <w:rPr>
          <w:rFonts w:cs="Calibri"/>
        </w:rPr>
        <w:t>(Department of Internal Affairs, 2021d)</w:t>
      </w:r>
      <w:r w:rsidR="000F6192" w:rsidRPr="00A06DF7">
        <w:rPr>
          <w:rFonts w:cs="Calibri"/>
        </w:rPr>
        <w:fldChar w:fldCharType="end"/>
      </w:r>
      <w:r w:rsidR="00B20FA6" w:rsidRPr="00A06DF7">
        <w:rPr>
          <w:rFonts w:cs="Calibri"/>
        </w:rPr>
        <w:t>.</w:t>
      </w:r>
      <w:r w:rsidR="00A73C8B" w:rsidRPr="00A06DF7">
        <w:rPr>
          <w:rFonts w:cs="Calibri"/>
        </w:rPr>
        <w:t xml:space="preserve"> </w:t>
      </w:r>
      <w:r w:rsidR="00FB3CD1" w:rsidRPr="00A06DF7">
        <w:rPr>
          <w:rFonts w:cs="Calibri"/>
        </w:rPr>
        <w:fldChar w:fldCharType="begin"/>
      </w:r>
      <w:r w:rsidR="00FB3CD1" w:rsidRPr="00A06DF7">
        <w:rPr>
          <w:rFonts w:cs="Calibri"/>
        </w:rPr>
        <w:instrText xml:space="preserve"> REF _Ref156900888 \h </w:instrText>
      </w:r>
      <w:r w:rsidR="00A06DF7">
        <w:rPr>
          <w:rFonts w:cs="Calibri"/>
        </w:rPr>
        <w:instrText xml:space="preserve"> \* MERGEFORMAT </w:instrText>
      </w:r>
      <w:r w:rsidR="00FB3CD1" w:rsidRPr="00A06DF7">
        <w:rPr>
          <w:rFonts w:cs="Calibri"/>
        </w:rPr>
      </w:r>
      <w:r w:rsidR="00FB3CD1" w:rsidRPr="00A06DF7">
        <w:rPr>
          <w:rFonts w:cs="Calibri"/>
        </w:rPr>
        <w:fldChar w:fldCharType="separate"/>
      </w:r>
      <w:r w:rsidR="004F4DA7" w:rsidRPr="004F4DA7">
        <w:rPr>
          <w:rFonts w:cs="Calibri"/>
        </w:rPr>
        <w:t xml:space="preserve">Figure </w:t>
      </w:r>
      <w:r w:rsidR="004F4DA7" w:rsidRPr="004F4DA7">
        <w:rPr>
          <w:rFonts w:cs="Calibri"/>
          <w:noProof/>
        </w:rPr>
        <w:t>9</w:t>
      </w:r>
      <w:r w:rsidR="00FB3CD1" w:rsidRPr="00A06DF7">
        <w:rPr>
          <w:rFonts w:cs="Calibri"/>
        </w:rPr>
        <w:fldChar w:fldCharType="end"/>
      </w:r>
      <w:r w:rsidR="00FB3CD1" w:rsidRPr="00A06DF7">
        <w:rPr>
          <w:rFonts w:cs="Calibri"/>
        </w:rPr>
        <w:t xml:space="preserve"> shows the </w:t>
      </w:r>
      <w:r w:rsidR="000B2617" w:rsidRPr="00A06DF7">
        <w:rPr>
          <w:rFonts w:cs="Calibri"/>
        </w:rPr>
        <w:t>total returns to communit</w:t>
      </w:r>
      <w:r w:rsidR="008C0A5C" w:rsidRPr="00A06DF7">
        <w:rPr>
          <w:rFonts w:cs="Calibri"/>
        </w:rPr>
        <w:t>ies</w:t>
      </w:r>
      <w:r w:rsidR="000B2617" w:rsidRPr="00A06DF7">
        <w:rPr>
          <w:rFonts w:cs="Calibri"/>
        </w:rPr>
        <w:t xml:space="preserve"> </w:t>
      </w:r>
      <w:r w:rsidR="008C0A5C" w:rsidRPr="00A06DF7">
        <w:rPr>
          <w:rFonts w:cs="Calibri"/>
        </w:rPr>
        <w:t xml:space="preserve">by societies, trusts and clubs through </w:t>
      </w:r>
      <w:r w:rsidR="0029223A" w:rsidRPr="00A06DF7">
        <w:rPr>
          <w:rFonts w:cs="Calibri"/>
        </w:rPr>
        <w:t xml:space="preserve">GMPs </w:t>
      </w:r>
      <w:r w:rsidR="0029223A" w:rsidRPr="00A06DF7">
        <w:rPr>
          <w:rFonts w:cs="Calibri"/>
        </w:rPr>
        <w:fldChar w:fldCharType="begin"/>
      </w:r>
      <w:r w:rsidR="00715B07" w:rsidRPr="00A06DF7">
        <w:rPr>
          <w:rFonts w:cs="Calibri"/>
        </w:rPr>
        <w:instrText xml:space="preserve"> ADDIN ZOTERO_ITEM CSL_CITATION {"citationID":"VGgmoEQW","properties":{"formattedCitation":"(Department of Internal Affairs, 2023b)","plainCitation":"(Department of Internal Affairs, 2023b)","noteIndex":0},"citationItems":[{"id":1512,"uris":["http://zotero.org/users/11111291/items/YLIWFLJD"],"itemData":{"id":1512,"type":"dataset","title":"Class 4 Gambing Key Performance Indicators","URL":"https://catalogue.data.govt.nz/dataset/class-4-gambling-key-performance-indicators","author":[{"literal":"Department of Internal Affairs"}],"issued":{"date-parts":[["2023"]]}}}],"schema":"https://github.com/citation-style-language/schema/raw/master/csl-citation.json"} </w:instrText>
      </w:r>
      <w:r w:rsidR="0029223A" w:rsidRPr="00A06DF7">
        <w:rPr>
          <w:rFonts w:cs="Calibri"/>
        </w:rPr>
        <w:fldChar w:fldCharType="separate"/>
      </w:r>
      <w:r w:rsidR="0029223A" w:rsidRPr="00A06DF7">
        <w:rPr>
          <w:rFonts w:cs="Calibri"/>
        </w:rPr>
        <w:t>(Department of Internal Affairs, 2023b)</w:t>
      </w:r>
      <w:r w:rsidR="0029223A" w:rsidRPr="00A06DF7">
        <w:rPr>
          <w:rFonts w:cs="Calibri"/>
        </w:rPr>
        <w:fldChar w:fldCharType="end"/>
      </w:r>
      <w:r w:rsidR="0029223A" w:rsidRPr="00A06DF7">
        <w:rPr>
          <w:rFonts w:cs="Calibri"/>
        </w:rPr>
        <w:t>.</w:t>
      </w:r>
    </w:p>
    <w:p w14:paraId="1BE4C4FC" w14:textId="55C515B9" w:rsidR="00FF6E58" w:rsidRDefault="00F72611" w:rsidP="00F72611">
      <w:pPr>
        <w:pStyle w:val="Caption"/>
        <w:rPr>
          <w:noProof/>
        </w:rPr>
      </w:pPr>
      <w:bookmarkStart w:id="159" w:name="_Ref156900888"/>
      <w:bookmarkStart w:id="160" w:name="_Toc166580304"/>
      <w:r>
        <w:lastRenderedPageBreak/>
        <w:t xml:space="preserve">Figure </w:t>
      </w:r>
      <w:r>
        <w:fldChar w:fldCharType="begin"/>
      </w:r>
      <w:r>
        <w:instrText>SEQ Figure \* ARABIC</w:instrText>
      </w:r>
      <w:r>
        <w:fldChar w:fldCharType="separate"/>
      </w:r>
      <w:r w:rsidR="004F4DA7">
        <w:rPr>
          <w:noProof/>
        </w:rPr>
        <w:t>9</w:t>
      </w:r>
      <w:r>
        <w:fldChar w:fldCharType="end"/>
      </w:r>
      <w:bookmarkEnd w:id="159"/>
      <w:r w:rsidR="00BB4041">
        <w:t xml:space="preserve">: </w:t>
      </w:r>
      <w:r>
        <w:t xml:space="preserve">Total return to communities </w:t>
      </w:r>
      <w:r w:rsidR="00A51C31">
        <w:t xml:space="preserve">through </w:t>
      </w:r>
      <w:r w:rsidR="00252AA4">
        <w:t>gaming machine profits</w:t>
      </w:r>
      <w:r w:rsidR="004B58A8">
        <w:t xml:space="preserve"> of Non-Club Societies &amp; Trusts and Clubs</w:t>
      </w:r>
      <w:r w:rsidR="00252AA4">
        <w:t xml:space="preserve"> </w:t>
      </w:r>
      <w:r w:rsidR="00252AA4">
        <w:fldChar w:fldCharType="begin"/>
      </w:r>
      <w:r w:rsidR="00715B07">
        <w:instrText xml:space="preserve"> ADDIN ZOTERO_ITEM CSL_CITATION {"citationID":"ypT7voEl","properties":{"formattedCitation":"(Department of Internal Affairs, 2023b)","plainCitation":"(Department of Internal Affairs, 2023b)","noteIndex":0},"citationItems":[{"id":1512,"uris":["http://zotero.org/users/11111291/items/YLIWFLJD"],"itemData":{"id":1512,"type":"dataset","title":"Class 4 Gambing Key Performance Indicators","URL":"https://catalogue.data.govt.nz/dataset/class-4-gambling-key-performance-indicators","author":[{"literal":"Department of Internal Affairs"}],"issued":{"date-parts":[["2023"]]}}}],"schema":"https://github.com/citation-style-language/schema/raw/master/csl-citation.json"} </w:instrText>
      </w:r>
      <w:r w:rsidR="00252AA4">
        <w:fldChar w:fldCharType="separate"/>
      </w:r>
      <w:r w:rsidR="00252AA4" w:rsidRPr="00252AA4">
        <w:rPr>
          <w:rFonts w:ascii="Segoe UI" w:hAnsi="Segoe UI" w:cs="Segoe UI"/>
        </w:rPr>
        <w:t>(Department of Internal Affairs, 2023b)</w:t>
      </w:r>
      <w:bookmarkEnd w:id="160"/>
      <w:r w:rsidR="00252AA4">
        <w:fldChar w:fldCharType="end"/>
      </w:r>
    </w:p>
    <w:p w14:paraId="536D9575" w14:textId="45060AC4" w:rsidR="00D138B4" w:rsidRDefault="00770785" w:rsidP="00D87781">
      <w:pPr>
        <w:rPr>
          <w:noProof/>
        </w:rPr>
      </w:pPr>
      <w:r>
        <w:rPr>
          <w:noProof/>
        </w:rPr>
        <w:drawing>
          <wp:inline distT="0" distB="0" distL="0" distR="0" wp14:anchorId="13D7DBF2" wp14:editId="303989C1">
            <wp:extent cx="5731510" cy="3439160"/>
            <wp:effectExtent l="0" t="0" r="2540" b="8890"/>
            <wp:docPr id="16" name="Graphic 16" descr="A bar chart showing the total return to communities through gaming machine profits of Non-Club Societies and Trusts and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A bar chart showing the total return to communities through gaming machine profits of Non-Club Societies and Trusts and Clubs"/>
                    <pic:cNvPicPr/>
                  </pic:nvPicPr>
                  <pic:blipFill>
                    <a:blip r:embed="rId32">
                      <a:extLst>
                        <a:ext uri="{96DAC541-7B7A-43D3-8B79-37D633B846F1}">
                          <asvg:svgBlip xmlns:asvg="http://schemas.microsoft.com/office/drawing/2016/SVG/main" r:embed="rId33"/>
                        </a:ext>
                      </a:extLst>
                    </a:blip>
                    <a:stretch>
                      <a:fillRect/>
                    </a:stretch>
                  </pic:blipFill>
                  <pic:spPr>
                    <a:xfrm>
                      <a:off x="0" y="0"/>
                      <a:ext cx="5731510" cy="3439160"/>
                    </a:xfrm>
                    <a:prstGeom prst="rect">
                      <a:avLst/>
                    </a:prstGeom>
                  </pic:spPr>
                </pic:pic>
              </a:graphicData>
            </a:graphic>
          </wp:inline>
        </w:drawing>
      </w:r>
    </w:p>
    <w:p w14:paraId="178F6652" w14:textId="58831613" w:rsidR="009A3213" w:rsidRDefault="009A3213" w:rsidP="009A3213">
      <w:r>
        <w:t xml:space="preserve">Total </w:t>
      </w:r>
      <w:r w:rsidR="00026A79">
        <w:t xml:space="preserve">returns to the community have been increasing in line with </w:t>
      </w:r>
      <w:r w:rsidR="00022777">
        <w:t xml:space="preserve">an increase in total GMP (see </w:t>
      </w:r>
      <w:r w:rsidR="00BB4041">
        <w:t xml:space="preserve">section </w:t>
      </w:r>
      <w:r w:rsidR="00022777">
        <w:fldChar w:fldCharType="begin"/>
      </w:r>
      <w:r w:rsidR="00022777">
        <w:instrText xml:space="preserve"> REF _Ref156901589 \r \h </w:instrText>
      </w:r>
      <w:r w:rsidR="00022777">
        <w:fldChar w:fldCharType="separate"/>
      </w:r>
      <w:r w:rsidR="004F4DA7">
        <w:t>4.2</w:t>
      </w:r>
      <w:r w:rsidR="00022777">
        <w:fldChar w:fldCharType="end"/>
      </w:r>
      <w:r w:rsidR="00022777">
        <w:t xml:space="preserve">). </w:t>
      </w:r>
      <w:r w:rsidR="001523C8">
        <w:t>The</w:t>
      </w:r>
      <w:r w:rsidR="00C56A60">
        <w:t xml:space="preserve"> overall</w:t>
      </w:r>
      <w:r w:rsidR="001523C8">
        <w:t xml:space="preserve"> rate of return has remained slightly above the 40</w:t>
      </w:r>
      <w:r w:rsidR="00D9625C">
        <w:t xml:space="preserve"> per cent</w:t>
      </w:r>
      <w:r w:rsidR="001523C8">
        <w:t xml:space="preserve"> minimum threshold</w:t>
      </w:r>
      <w:r w:rsidR="00C56A60">
        <w:t>, with the exception for 2020 and 2021 where the grants obligation was rel</w:t>
      </w:r>
      <w:r w:rsidR="003B04DB">
        <w:t xml:space="preserve">axed due to COVID-19 </w:t>
      </w:r>
      <w:r w:rsidR="003B04DB">
        <w:fldChar w:fldCharType="begin"/>
      </w:r>
      <w:r w:rsidR="00715B07">
        <w:instrText xml:space="preserve"> ADDIN ZOTERO_ITEM CSL_CITATION {"citationID":"Yn8N8xYy","properties":{"formattedCitation":"(Department of Internal Affairs, 2023b)","plainCitation":"(Department of Internal Affairs, 2023b)","noteIndex":0},"citationItems":[{"id":1512,"uris":["http://zotero.org/users/11111291/items/YLIWFLJD"],"itemData":{"id":1512,"type":"dataset","title":"Class 4 Gambing Key Performance Indicators","URL":"https://catalogue.data.govt.nz/dataset/class-4-gambling-key-performance-indicators","author":[{"literal":"Department of Internal Affairs"}],"issued":{"date-parts":[["2023"]]}}}],"schema":"https://github.com/citation-style-language/schema/raw/master/csl-citation.json"} </w:instrText>
      </w:r>
      <w:r w:rsidR="003B04DB">
        <w:fldChar w:fldCharType="separate"/>
      </w:r>
      <w:r w:rsidR="003B04DB" w:rsidRPr="0029223A">
        <w:rPr>
          <w:rFonts w:ascii="Segoe UI" w:hAnsi="Segoe UI" w:cs="Segoe UI"/>
        </w:rPr>
        <w:t>(Department of Internal Affairs, 2023b)</w:t>
      </w:r>
      <w:r w:rsidR="003B04DB">
        <w:fldChar w:fldCharType="end"/>
      </w:r>
      <w:r w:rsidR="003B04DB">
        <w:t>.</w:t>
      </w:r>
      <w:r w:rsidR="00A0376B">
        <w:t xml:space="preserve"> </w:t>
      </w:r>
    </w:p>
    <w:p w14:paraId="0FAA8D44" w14:textId="436067F7" w:rsidR="00F1640E" w:rsidRDefault="00F1640E" w:rsidP="009A3213">
      <w:r>
        <w:t xml:space="preserve">In 2022, approximately $328 million </w:t>
      </w:r>
      <w:r w:rsidR="00E6701A">
        <w:t xml:space="preserve">of grants and applied funds were approved to 9,784 </w:t>
      </w:r>
      <w:r w:rsidR="00D61917">
        <w:t>organisations</w:t>
      </w:r>
      <w:r w:rsidR="00526619">
        <w:t xml:space="preserve"> (</w:t>
      </w:r>
      <w:r w:rsidR="009A6C96">
        <w:fldChar w:fldCharType="begin"/>
      </w:r>
      <w:r w:rsidR="009A6C96">
        <w:instrText xml:space="preserve"> REF _Ref158628326 \h </w:instrText>
      </w:r>
      <w:r w:rsidR="009A6C96">
        <w:fldChar w:fldCharType="separate"/>
      </w:r>
      <w:r w:rsidR="004F4DA7">
        <w:t xml:space="preserve">Figure </w:t>
      </w:r>
      <w:r w:rsidR="004F4DA7">
        <w:rPr>
          <w:noProof/>
        </w:rPr>
        <w:t>10</w:t>
      </w:r>
      <w:r w:rsidR="009A6C96">
        <w:fldChar w:fldCharType="end"/>
      </w:r>
      <w:r w:rsidR="009A6C96">
        <w:t>)</w:t>
      </w:r>
      <w:r w:rsidR="00D61917">
        <w:t xml:space="preserve">. </w:t>
      </w:r>
      <w:r w:rsidR="00A26330">
        <w:t>Total</w:t>
      </w:r>
      <w:r w:rsidR="00606DA4">
        <w:t xml:space="preserve"> funding was </w:t>
      </w:r>
      <w:r w:rsidR="004820F7">
        <w:t>allocated</w:t>
      </w:r>
      <w:r w:rsidR="00606DA4">
        <w:t xml:space="preserve"> into </w:t>
      </w:r>
      <w:r w:rsidR="005408ED">
        <w:t>sports (50.5</w:t>
      </w:r>
      <w:r w:rsidR="00E36C48">
        <w:t>%</w:t>
      </w:r>
      <w:r w:rsidR="005408ED">
        <w:t>), community (20.2</w:t>
      </w:r>
      <w:r w:rsidR="00E36C48">
        <w:t>%</w:t>
      </w:r>
      <w:r w:rsidR="005408ED">
        <w:t>), health/welfare/rescue services (12.5</w:t>
      </w:r>
      <w:r w:rsidR="00E36C48">
        <w:t>%</w:t>
      </w:r>
      <w:r w:rsidR="005408ED">
        <w:t>), research and education (9.2</w:t>
      </w:r>
      <w:r w:rsidR="00E36C48">
        <w:t>%</w:t>
      </w:r>
      <w:r w:rsidR="005408ED">
        <w:t>), arts and culture (5.9</w:t>
      </w:r>
      <w:r w:rsidR="00E36C48">
        <w:t>%</w:t>
      </w:r>
      <w:r w:rsidR="005408ED">
        <w:t>), environment and animals (1.1</w:t>
      </w:r>
      <w:r w:rsidR="00E36C48">
        <w:t>%</w:t>
      </w:r>
      <w:r w:rsidR="005408ED">
        <w:t xml:space="preserve">) and unspecified </w:t>
      </w:r>
      <w:r w:rsidR="00A26330">
        <w:t>(0.6</w:t>
      </w:r>
      <w:r w:rsidR="00E36C48">
        <w:t>%</w:t>
      </w:r>
      <w:r w:rsidR="00A26330">
        <w:t>)</w:t>
      </w:r>
      <w:r w:rsidR="00C82195">
        <w:t xml:space="preserve"> </w:t>
      </w:r>
      <w:r w:rsidR="00C82195">
        <w:fldChar w:fldCharType="begin"/>
      </w:r>
      <w:r w:rsidR="00715B07">
        <w:instrText xml:space="preserve"> ADDIN ZOTERO_ITEM CSL_CITATION {"citationID":"bCsX37Mz","properties":{"formattedCitation":"(Department of Internal Affairs, 2022)","plainCitation":"(Department of Internal Affairs, 2022)","noteIndex":0},"citationItems":[{"id":1513,"uris":["http://zotero.org/users/11111291/items/LACFH4X4"],"itemData":{"id":1513,"type":"webpage","title":"Class 4 Grants Data Analytical Review","URL":"https://www.dia.govt.nz/gambling-statistics-class-4-grants-data-analytical-review","author":[{"literal":"Department of Internal Affairs"}],"accessed":{"date-parts":[["2024",1,23]]},"issued":{"date-parts":[["2022"]]}}}],"schema":"https://github.com/citation-style-language/schema/raw/master/csl-citation.json"} </w:instrText>
      </w:r>
      <w:r w:rsidR="00C82195">
        <w:fldChar w:fldCharType="separate"/>
      </w:r>
      <w:r w:rsidR="00C82195" w:rsidRPr="00C82195">
        <w:rPr>
          <w:rFonts w:ascii="Segoe UI" w:hAnsi="Segoe UI" w:cs="Segoe UI"/>
        </w:rPr>
        <w:t>(Department of Internal Affairs, 2022)</w:t>
      </w:r>
      <w:r w:rsidR="00C82195">
        <w:fldChar w:fldCharType="end"/>
      </w:r>
      <w:r w:rsidR="004820F7">
        <w:t>.</w:t>
      </w:r>
    </w:p>
    <w:p w14:paraId="484FBC81" w14:textId="04B77D66" w:rsidR="006320E0" w:rsidRDefault="00526619" w:rsidP="00BD2D7B">
      <w:pPr>
        <w:pStyle w:val="Caption"/>
      </w:pPr>
      <w:bookmarkStart w:id="161" w:name="_Ref158628326"/>
      <w:bookmarkStart w:id="162" w:name="_Toc166580305"/>
      <w:r>
        <w:lastRenderedPageBreak/>
        <w:t xml:space="preserve">Figure </w:t>
      </w:r>
      <w:r>
        <w:fldChar w:fldCharType="begin"/>
      </w:r>
      <w:r>
        <w:instrText>SEQ Figure \* ARABIC</w:instrText>
      </w:r>
      <w:r>
        <w:fldChar w:fldCharType="separate"/>
      </w:r>
      <w:r w:rsidR="004F4DA7">
        <w:rPr>
          <w:noProof/>
        </w:rPr>
        <w:t>10</w:t>
      </w:r>
      <w:r>
        <w:fldChar w:fldCharType="end"/>
      </w:r>
      <w:bookmarkEnd w:id="161"/>
      <w:r>
        <w:t xml:space="preserve">. Approved pokie grants in 2022 by main category </w:t>
      </w:r>
      <w:r>
        <w:fldChar w:fldCharType="begin"/>
      </w:r>
      <w:r>
        <w:instrText xml:space="preserve"> ADDIN ZOTERO_ITEM CSL_CITATION {"citationID":"oyY7POsr","properties":{"formattedCitation":"(Department of Internal Affairs, 2022)","plainCitation":"(Department of Internal Affairs, 2022)","noteIndex":0},"citationItems":[{"id":1513,"uris":["http://zotero.org/users/11111291/items/LACFH4X4"],"itemData":{"id":1513,"type":"webpage","title":"Class 4 Grants Data Analytical Review","URL":"https://www.dia.govt.nz/gambling-statistics-class-4-grants-data-analytical-review","author":[{"literal":"Department of Internal Affairs"}],"accessed":{"date-parts":[["2024",1,23]]},"issued":{"date-parts":[["2022"]]}}}],"schema":"https://github.com/citation-style-language/schema/raw/master/csl-citation.json"} </w:instrText>
      </w:r>
      <w:r>
        <w:fldChar w:fldCharType="separate"/>
      </w:r>
      <w:r w:rsidRPr="00526619">
        <w:rPr>
          <w:rFonts w:ascii="Segoe UI" w:hAnsi="Segoe UI" w:cs="Segoe UI"/>
        </w:rPr>
        <w:t>(Department of Internal Affairs, 2022)</w:t>
      </w:r>
      <w:bookmarkEnd w:id="162"/>
      <w:r>
        <w:fldChar w:fldCharType="end"/>
      </w:r>
    </w:p>
    <w:p w14:paraId="6D782044" w14:textId="6D34B6FB" w:rsidR="00FB0D03" w:rsidRDefault="006320E0" w:rsidP="009A3213">
      <w:r w:rsidRPr="006320E0">
        <w:rPr>
          <w:noProof/>
        </w:rPr>
        <w:drawing>
          <wp:inline distT="0" distB="0" distL="0" distR="0" wp14:anchorId="1A5C9B52" wp14:editId="3213FEEC">
            <wp:extent cx="5731510" cy="3265170"/>
            <wp:effectExtent l="0" t="0" r="2540" b="0"/>
            <wp:docPr id="17" name="Picture 17" descr="A bar chart showing approved pokie grants in 2022 by main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r chart showing approved pokie grants in 2022 by main category"/>
                    <pic:cNvPicPr/>
                  </pic:nvPicPr>
                  <pic:blipFill>
                    <a:blip r:embed="rId34"/>
                    <a:stretch>
                      <a:fillRect/>
                    </a:stretch>
                  </pic:blipFill>
                  <pic:spPr>
                    <a:xfrm>
                      <a:off x="0" y="0"/>
                      <a:ext cx="5731510" cy="3265170"/>
                    </a:xfrm>
                    <a:prstGeom prst="rect">
                      <a:avLst/>
                    </a:prstGeom>
                  </pic:spPr>
                </pic:pic>
              </a:graphicData>
            </a:graphic>
          </wp:inline>
        </w:drawing>
      </w:r>
    </w:p>
    <w:p w14:paraId="5DB4FB32" w14:textId="22AA9263" w:rsidR="00D969B6" w:rsidRDefault="00D969B6" w:rsidP="00756B20">
      <w:pPr>
        <w:pStyle w:val="Heading6"/>
      </w:pPr>
      <w:bookmarkStart w:id="163" w:name="_Toc158892070"/>
      <w:bookmarkStart w:id="164" w:name="_Toc166507384"/>
      <w:bookmarkEnd w:id="163"/>
      <w:r>
        <w:t>Lotto NZ</w:t>
      </w:r>
      <w:bookmarkEnd w:id="164"/>
    </w:p>
    <w:p w14:paraId="31E8AD89" w14:textId="18FCD4F7" w:rsidR="00C71E9E" w:rsidRPr="00A06DF7" w:rsidRDefault="00BF1A94" w:rsidP="00D969B6">
      <w:pPr>
        <w:rPr>
          <w:rFonts w:cs="Calibri"/>
        </w:rPr>
      </w:pPr>
      <w:r w:rsidRPr="00A06DF7">
        <w:rPr>
          <w:rFonts w:cs="Calibri"/>
        </w:rPr>
        <w:t xml:space="preserve">The Department of Internal Affairs oversees the administration of </w:t>
      </w:r>
      <w:r w:rsidR="00BB3058" w:rsidRPr="00A06DF7">
        <w:rPr>
          <w:rFonts w:cs="Calibri"/>
        </w:rPr>
        <w:t xml:space="preserve">Lotto NZ grants on behalf of the Lotto NZ board. </w:t>
      </w:r>
      <w:r w:rsidR="00B46C3B" w:rsidRPr="00A06DF7">
        <w:rPr>
          <w:rFonts w:cs="Calibri"/>
        </w:rPr>
        <w:t>100</w:t>
      </w:r>
      <w:r w:rsidR="00D9625C" w:rsidRPr="00A06DF7">
        <w:rPr>
          <w:rFonts w:cs="Calibri"/>
        </w:rPr>
        <w:t xml:space="preserve"> per cent</w:t>
      </w:r>
      <w:r w:rsidR="00B46C3B" w:rsidRPr="00A06DF7">
        <w:rPr>
          <w:rFonts w:cs="Calibri"/>
        </w:rPr>
        <w:t xml:space="preserve"> of profits go towards communities, which equates </w:t>
      </w:r>
      <w:r w:rsidR="004478C1" w:rsidRPr="00A06DF7">
        <w:rPr>
          <w:rFonts w:cs="Calibri"/>
        </w:rPr>
        <w:t>to a</w:t>
      </w:r>
      <w:r w:rsidR="00BB3058" w:rsidRPr="00A06DF7">
        <w:rPr>
          <w:rFonts w:cs="Calibri"/>
        </w:rPr>
        <w:t>bout 2</w:t>
      </w:r>
      <w:r w:rsidR="00F7292E" w:rsidRPr="00A06DF7">
        <w:rPr>
          <w:rFonts w:cs="Calibri"/>
        </w:rPr>
        <w:t>5</w:t>
      </w:r>
      <w:r w:rsidR="00D9625C" w:rsidRPr="00A06DF7">
        <w:rPr>
          <w:rFonts w:cs="Calibri"/>
        </w:rPr>
        <w:t xml:space="preserve"> per cent</w:t>
      </w:r>
      <w:r w:rsidR="00BB3058" w:rsidRPr="00A06DF7">
        <w:rPr>
          <w:rFonts w:cs="Calibri"/>
        </w:rPr>
        <w:t xml:space="preserve"> of total spending on Lotto products </w:t>
      </w:r>
      <w:r w:rsidR="004478C1" w:rsidRPr="00A06DF7">
        <w:rPr>
          <w:rFonts w:cs="Calibri"/>
        </w:rPr>
        <w:t>being</w:t>
      </w:r>
      <w:r w:rsidR="00BB3058" w:rsidRPr="00A06DF7">
        <w:rPr>
          <w:rFonts w:cs="Calibri"/>
        </w:rPr>
        <w:t xml:space="preserve"> transferred to the NZ Lottery Grants Board </w:t>
      </w:r>
      <w:r w:rsidR="00B73333" w:rsidRPr="00A06DF7">
        <w:rPr>
          <w:rFonts w:cs="Calibri"/>
        </w:rPr>
        <w:fldChar w:fldCharType="begin"/>
      </w:r>
      <w:r w:rsidR="00715B07" w:rsidRPr="00A06DF7">
        <w:rPr>
          <w:rFonts w:cs="Calibri"/>
        </w:rPr>
        <w:instrText xml:space="preserve"> ADDIN ZOTERO_ITEM CSL_CITATION {"citationID":"R67LN3ml","properties":{"formattedCitation":"(Lotto New Zealand, 2024)","plainCitation":"(Lotto New Zealand, 2024)","noteIndex":0},"citationItems":[{"id":1514,"uris":["http://zotero.org/users/11111291/items/46ANBDHE"],"itemData":{"id":1514,"type":"webpage","title":"Local Grants","URL":"https://mylotto.co.nz/community-funding","author":[{"literal":"Lotto New Zealand"}],"accessed":{"date-parts":[["2024",1,23]]},"issued":{"date-parts":[["2024"]]}}}],"schema":"https://github.com/citation-style-language/schema/raw/master/csl-citation.json"} </w:instrText>
      </w:r>
      <w:r w:rsidR="00B73333" w:rsidRPr="00A06DF7">
        <w:rPr>
          <w:rFonts w:cs="Calibri"/>
        </w:rPr>
        <w:fldChar w:fldCharType="separate"/>
      </w:r>
      <w:r w:rsidR="00B73333" w:rsidRPr="00A06DF7">
        <w:rPr>
          <w:rFonts w:cs="Calibri"/>
        </w:rPr>
        <w:t>(Lotto New Zealand, 2024)</w:t>
      </w:r>
      <w:r w:rsidR="00B73333" w:rsidRPr="00A06DF7">
        <w:rPr>
          <w:rFonts w:cs="Calibri"/>
        </w:rPr>
        <w:fldChar w:fldCharType="end"/>
      </w:r>
      <w:r w:rsidR="00F97AA0" w:rsidRPr="00A06DF7">
        <w:rPr>
          <w:rFonts w:cs="Calibri"/>
        </w:rPr>
        <w:t>.</w:t>
      </w:r>
      <w:r w:rsidR="00A71A30" w:rsidRPr="00A06DF7">
        <w:rPr>
          <w:rFonts w:cs="Calibri"/>
        </w:rPr>
        <w:t xml:space="preserve"> </w:t>
      </w:r>
      <w:r w:rsidR="00803ABD" w:rsidRPr="00A06DF7">
        <w:rPr>
          <w:rFonts w:cs="Calibri"/>
        </w:rPr>
        <w:t>Grants totalled $376 million in 2022/23, and almost half (42</w:t>
      </w:r>
      <w:r w:rsidR="00E36C48" w:rsidRPr="00A06DF7">
        <w:rPr>
          <w:rFonts w:cs="Calibri"/>
        </w:rPr>
        <w:t>%</w:t>
      </w:r>
      <w:r w:rsidR="00803ABD" w:rsidRPr="00A06DF7">
        <w:rPr>
          <w:rFonts w:cs="Calibri"/>
        </w:rPr>
        <w:t xml:space="preserve">) </w:t>
      </w:r>
      <w:r w:rsidR="001222B0" w:rsidRPr="00A06DF7">
        <w:rPr>
          <w:rFonts w:cs="Calibri"/>
        </w:rPr>
        <w:t xml:space="preserve">is allocated to three organisations: Creative New Zealand, Sport New Zealand, the New Zealand Film Commission, and the charitable trust </w:t>
      </w:r>
      <w:r w:rsidR="008566D5" w:rsidRPr="00A06DF7">
        <w:rPr>
          <w:rFonts w:cs="Calibri"/>
        </w:rPr>
        <w:t>Ngā Taonga Sound &amp; Vision</w:t>
      </w:r>
      <w:r w:rsidR="004413F1" w:rsidRPr="00A06DF7">
        <w:rPr>
          <w:rFonts w:cs="Calibri"/>
        </w:rPr>
        <w:t xml:space="preserve"> </w:t>
      </w:r>
      <w:r w:rsidR="004413F1" w:rsidRPr="00A06DF7">
        <w:rPr>
          <w:rFonts w:cs="Calibri"/>
        </w:rPr>
        <w:fldChar w:fldCharType="begin"/>
      </w:r>
      <w:r w:rsidR="00715B07" w:rsidRPr="00A06DF7">
        <w:rPr>
          <w:rFonts w:cs="Calibri"/>
        </w:rPr>
        <w:instrText xml:space="preserve"> ADDIN ZOTERO_ITEM CSL_CITATION {"citationID":"QsO2k313","properties":{"formattedCitation":"(Lotto New Zealand, 2023)","plainCitation":"(Lotto New Zealand, 2023)","noteIndex":0},"citationItems":[{"id":1336,"uris":["http://zotero.org/users/11111291/items/84T8EE2S"],"itemData":{"id":1336,"type":"report","publisher":"New Zealand Lotteries Commission","title":"Annual Report 2022/23","URL":"https://assets.mylotto.co.nz/assets/uploads/97054b86-8738-11ee-878a-005056af723d.pdf","author":[{"literal":"Lotto New Zealand"}],"issued":{"date-parts":[["2023"]]}}}],"schema":"https://github.com/citation-style-language/schema/raw/master/csl-citation.json"} </w:instrText>
      </w:r>
      <w:r w:rsidR="004413F1" w:rsidRPr="00A06DF7">
        <w:rPr>
          <w:rFonts w:cs="Calibri"/>
        </w:rPr>
        <w:fldChar w:fldCharType="separate"/>
      </w:r>
      <w:r w:rsidR="004413F1" w:rsidRPr="00A06DF7">
        <w:rPr>
          <w:rFonts w:cs="Calibri"/>
        </w:rPr>
        <w:t>(Lotto New Zealand, 2023)</w:t>
      </w:r>
      <w:r w:rsidR="004413F1" w:rsidRPr="00A06DF7">
        <w:rPr>
          <w:rFonts w:cs="Calibri"/>
        </w:rPr>
        <w:fldChar w:fldCharType="end"/>
      </w:r>
      <w:r w:rsidR="004413F1" w:rsidRPr="00A06DF7">
        <w:rPr>
          <w:rFonts w:cs="Calibri"/>
        </w:rPr>
        <w:t>.</w:t>
      </w:r>
      <w:r w:rsidR="005F094E" w:rsidRPr="00A06DF7">
        <w:rPr>
          <w:rFonts w:cs="Calibri"/>
        </w:rPr>
        <w:t xml:space="preserve"> </w:t>
      </w:r>
      <w:r w:rsidR="007705B5" w:rsidRPr="00A06DF7">
        <w:rPr>
          <w:rFonts w:cs="Calibri"/>
        </w:rPr>
        <w:t>The remaining portion (58</w:t>
      </w:r>
      <w:r w:rsidR="00E36C48" w:rsidRPr="00A06DF7">
        <w:rPr>
          <w:rFonts w:cs="Calibri"/>
        </w:rPr>
        <w:t>%</w:t>
      </w:r>
      <w:r w:rsidR="007705B5" w:rsidRPr="00A06DF7">
        <w:rPr>
          <w:rFonts w:cs="Calibri"/>
        </w:rPr>
        <w:t>)</w:t>
      </w:r>
      <w:r w:rsidR="004B7DAF" w:rsidRPr="00A06DF7">
        <w:rPr>
          <w:rFonts w:cs="Calibri"/>
        </w:rPr>
        <w:t xml:space="preserve"> is distributed through 20 </w:t>
      </w:r>
      <w:r w:rsidR="0013208B" w:rsidRPr="00A06DF7">
        <w:rPr>
          <w:rFonts w:cs="Calibri"/>
        </w:rPr>
        <w:t>Lottery committees</w:t>
      </w:r>
      <w:r w:rsidR="00C71E9E" w:rsidRPr="00A06DF7">
        <w:rPr>
          <w:rFonts w:cs="Calibri"/>
        </w:rPr>
        <w:t xml:space="preserve"> </w:t>
      </w:r>
      <w:r w:rsidR="00191F08" w:rsidRPr="00A06DF7">
        <w:rPr>
          <w:rFonts w:cs="Calibri"/>
        </w:rPr>
        <w:t>and considers how well a grant request:</w:t>
      </w:r>
    </w:p>
    <w:p w14:paraId="36210499" w14:textId="419139F0" w:rsidR="00191F08" w:rsidRPr="00A06DF7" w:rsidRDefault="00D3443B" w:rsidP="007156C7">
      <w:pPr>
        <w:pStyle w:val="ListBullet"/>
        <w:numPr>
          <w:ilvl w:val="0"/>
          <w:numId w:val="32"/>
        </w:numPr>
        <w:rPr>
          <w:rFonts w:cs="Calibri"/>
        </w:rPr>
      </w:pPr>
      <w:r w:rsidRPr="00A06DF7">
        <w:rPr>
          <w:rFonts w:cs="Calibri"/>
        </w:rPr>
        <w:t>M</w:t>
      </w:r>
      <w:r w:rsidR="00191F08" w:rsidRPr="00A06DF7">
        <w:rPr>
          <w:rFonts w:cs="Calibri"/>
        </w:rPr>
        <w:t>eets its own outcomes and funding priorities</w:t>
      </w:r>
    </w:p>
    <w:p w14:paraId="47A51097" w14:textId="6B08BFCB" w:rsidR="00191F08" w:rsidRPr="00A06DF7" w:rsidRDefault="00D3443B" w:rsidP="007156C7">
      <w:pPr>
        <w:pStyle w:val="ListBullet"/>
        <w:numPr>
          <w:ilvl w:val="0"/>
          <w:numId w:val="32"/>
        </w:numPr>
        <w:rPr>
          <w:rFonts w:cs="Calibri"/>
        </w:rPr>
      </w:pPr>
      <w:r w:rsidRPr="00A06DF7">
        <w:rPr>
          <w:rFonts w:cs="Calibri"/>
        </w:rPr>
        <w:t>A</w:t>
      </w:r>
      <w:r w:rsidR="00191F08" w:rsidRPr="00A06DF7">
        <w:rPr>
          <w:rFonts w:cs="Calibri"/>
        </w:rPr>
        <w:t xml:space="preserve">ligns with the Lottery </w:t>
      </w:r>
      <w:r w:rsidR="00802090" w:rsidRPr="00A06DF7">
        <w:rPr>
          <w:rFonts w:cs="Calibri"/>
        </w:rPr>
        <w:t>G</w:t>
      </w:r>
      <w:r w:rsidR="00191F08" w:rsidRPr="00A06DF7">
        <w:rPr>
          <w:rFonts w:cs="Calibri"/>
        </w:rPr>
        <w:t>rants Board’s ke</w:t>
      </w:r>
      <w:r w:rsidR="00802090" w:rsidRPr="00A06DF7">
        <w:rPr>
          <w:rFonts w:cs="Calibri"/>
        </w:rPr>
        <w:t>y</w:t>
      </w:r>
      <w:r w:rsidR="00191F08" w:rsidRPr="00A06DF7">
        <w:rPr>
          <w:rFonts w:cs="Calibri"/>
        </w:rPr>
        <w:t xml:space="preserve"> request criteria and funding objectives</w:t>
      </w:r>
    </w:p>
    <w:p w14:paraId="0A1693A1" w14:textId="496F11E6" w:rsidR="00191F08" w:rsidRPr="00A06DF7" w:rsidRDefault="00D3443B" w:rsidP="007156C7">
      <w:pPr>
        <w:pStyle w:val="ListBullet"/>
        <w:numPr>
          <w:ilvl w:val="0"/>
          <w:numId w:val="32"/>
        </w:numPr>
        <w:rPr>
          <w:rFonts w:cs="Calibri"/>
        </w:rPr>
      </w:pPr>
      <w:r w:rsidRPr="00A06DF7">
        <w:rPr>
          <w:rFonts w:cs="Calibri"/>
        </w:rPr>
        <w:t>R</w:t>
      </w:r>
      <w:r w:rsidR="00191F08" w:rsidRPr="00A06DF7">
        <w:rPr>
          <w:rFonts w:cs="Calibri"/>
        </w:rPr>
        <w:t>esponds to the community needs.</w:t>
      </w:r>
    </w:p>
    <w:p w14:paraId="727E2216" w14:textId="599AE138" w:rsidR="00C71E9E" w:rsidRPr="00A06DF7" w:rsidRDefault="004161D8" w:rsidP="00D969B6">
      <w:pPr>
        <w:rPr>
          <w:rFonts w:cs="Calibri"/>
        </w:rPr>
      </w:pPr>
      <w:r w:rsidRPr="00A06DF7">
        <w:rPr>
          <w:rFonts w:cs="Calibri"/>
        </w:rPr>
        <w:t>The core factors influencing grant</w:t>
      </w:r>
      <w:r w:rsidR="00B90F12" w:rsidRPr="00A06DF7">
        <w:rPr>
          <w:rFonts w:cs="Calibri"/>
        </w:rPr>
        <w:t xml:space="preserve"> </w:t>
      </w:r>
      <w:r w:rsidRPr="00A06DF7">
        <w:rPr>
          <w:rFonts w:cs="Calibri"/>
        </w:rPr>
        <w:t xml:space="preserve">decisions are the </w:t>
      </w:r>
      <w:r w:rsidR="00C5201A" w:rsidRPr="00A06DF7">
        <w:rPr>
          <w:rFonts w:cs="Calibri"/>
        </w:rPr>
        <w:t xml:space="preserve">proposed outcomes and benefits to the community, the feasibility of the proposed project or service, and the </w:t>
      </w:r>
      <w:r w:rsidR="00B90F12" w:rsidRPr="00A06DF7">
        <w:rPr>
          <w:rFonts w:cs="Calibri"/>
        </w:rPr>
        <w:t xml:space="preserve">applicant’s capacity to effectively implement their proposal </w:t>
      </w:r>
      <w:r w:rsidR="00ED07AD" w:rsidRPr="00A06DF7">
        <w:rPr>
          <w:rFonts w:cs="Calibri"/>
        </w:rPr>
        <w:fldChar w:fldCharType="begin"/>
      </w:r>
      <w:r w:rsidR="00715B07" w:rsidRPr="00A06DF7">
        <w:rPr>
          <w:rFonts w:cs="Calibri"/>
        </w:rPr>
        <w:instrText xml:space="preserve"> ADDIN ZOTERO_ITEM CSL_CITATION {"citationID":"UTebmigz","properties":{"formattedCitation":"(Community Matters, n.d.)","plainCitation":"(Community Matters, n.d.)","noteIndex":0},"citationItems":[{"id":1515,"uris":["http://zotero.org/users/11111291/items/KGXSZGIB"],"itemData":{"id":1515,"type":"webpage","title":"Who makes lottery grant decisions?","URL":"https://www.communitymatters.govt.nz/ask-us/view/564","author":[{"literal":"Community Matters"}],"accessed":{"date-parts":[["2024",1,23]]}}}],"schema":"https://github.com/citation-style-language/schema/raw/master/csl-citation.json"} </w:instrText>
      </w:r>
      <w:r w:rsidR="00ED07AD" w:rsidRPr="00A06DF7">
        <w:rPr>
          <w:rFonts w:cs="Calibri"/>
        </w:rPr>
        <w:fldChar w:fldCharType="separate"/>
      </w:r>
      <w:r w:rsidR="00ED07AD" w:rsidRPr="00A06DF7">
        <w:rPr>
          <w:rFonts w:cs="Calibri"/>
        </w:rPr>
        <w:t>(Community Matters, n.d.)</w:t>
      </w:r>
      <w:r w:rsidR="00ED07AD" w:rsidRPr="00A06DF7">
        <w:rPr>
          <w:rFonts w:cs="Calibri"/>
        </w:rPr>
        <w:fldChar w:fldCharType="end"/>
      </w:r>
      <w:r w:rsidR="002E17A5" w:rsidRPr="00A06DF7">
        <w:rPr>
          <w:rFonts w:cs="Calibri"/>
        </w:rPr>
        <w:t>.</w:t>
      </w:r>
    </w:p>
    <w:p w14:paraId="0F6F6E68" w14:textId="7D66592D" w:rsidR="00507DC3" w:rsidRDefault="00507DC3" w:rsidP="00756B20">
      <w:pPr>
        <w:pStyle w:val="Heading6"/>
      </w:pPr>
      <w:bookmarkStart w:id="165" w:name="_Toc166507385"/>
      <w:r>
        <w:t>TAB NZ</w:t>
      </w:r>
      <w:bookmarkEnd w:id="165"/>
    </w:p>
    <w:p w14:paraId="4C171405" w14:textId="566DB1D3" w:rsidR="00507DC3" w:rsidRDefault="0090655C" w:rsidP="00507DC3">
      <w:r>
        <w:t xml:space="preserve">TAB NZ is </w:t>
      </w:r>
      <w:r w:rsidR="00D761F4">
        <w:t xml:space="preserve">obligated by the Racing Industry Act </w:t>
      </w:r>
      <w:r w:rsidR="00BB49ED">
        <w:t>(</w:t>
      </w:r>
      <w:r w:rsidR="00D761F4">
        <w:t>2020</w:t>
      </w:r>
      <w:r w:rsidR="00BB49ED">
        <w:t>)</w:t>
      </w:r>
      <w:r w:rsidR="00D761F4">
        <w:t xml:space="preserve"> to distribute </w:t>
      </w:r>
      <w:r w:rsidR="00E7705D">
        <w:t xml:space="preserve">its </w:t>
      </w:r>
      <w:r w:rsidR="00D761F4">
        <w:t>betting profits to the sports and racing sector</w:t>
      </w:r>
      <w:r w:rsidR="00E7705D">
        <w:t xml:space="preserve">. </w:t>
      </w:r>
      <w:r w:rsidR="003A6E64">
        <w:t>In 2021/22</w:t>
      </w:r>
      <w:r w:rsidR="006A1999">
        <w:t xml:space="preserve">, $140.2 million of total betting profits were distributed to the racing </w:t>
      </w:r>
      <w:r w:rsidR="006A1999">
        <w:lastRenderedPageBreak/>
        <w:t>community</w:t>
      </w:r>
      <w:r w:rsidR="00B527D2">
        <w:t>, up 13</w:t>
      </w:r>
      <w:r w:rsidR="00D9625C">
        <w:t xml:space="preserve"> per cent</w:t>
      </w:r>
      <w:r w:rsidR="00B527D2">
        <w:t xml:space="preserve"> from the previous year</w:t>
      </w:r>
      <w:r w:rsidR="006A1999">
        <w:t xml:space="preserve"> </w:t>
      </w:r>
      <w:r w:rsidR="006A1999">
        <w:fldChar w:fldCharType="begin"/>
      </w:r>
      <w:r w:rsidR="00715B07">
        <w:instrText xml:space="preserve"> ADDIN ZOTERO_ITEM CSL_CITATION {"citationID":"8dnta45t","properties":{"formattedCitation":"(TAB New Zealand, 2022)","plainCitation":"(TAB New Zealand, 2022)","noteIndex":0},"citationItems":[{"id":1342,"uris":["http://zotero.org/users/11111291/items/NLWJ4TWJ"],"itemData":{"id":1342,"type":"report","title":"TAB NZ Annual Report 2021-22","URL":"https://static.tab.co.nz/content/uploads/TAB%20NZ%202021-22%20annual%20report.pdf","author":[{"literal":"TAB New Zealand"}],"issued":{"date-parts":[["2022"]]}}}],"schema":"https://github.com/citation-style-language/schema/raw/master/csl-citation.json"} </w:instrText>
      </w:r>
      <w:r w:rsidR="006A1999">
        <w:fldChar w:fldCharType="separate"/>
      </w:r>
      <w:r w:rsidR="006A1999" w:rsidRPr="006A1999">
        <w:rPr>
          <w:rFonts w:ascii="Segoe UI" w:hAnsi="Segoe UI" w:cs="Segoe UI"/>
        </w:rPr>
        <w:t>(TAB New Zealand, 2022)</w:t>
      </w:r>
      <w:r w:rsidR="006A1999">
        <w:fldChar w:fldCharType="end"/>
      </w:r>
      <w:r w:rsidR="006A1999">
        <w:t>.</w:t>
      </w:r>
      <w:r w:rsidR="00B527D2">
        <w:t xml:space="preserve"> </w:t>
      </w:r>
      <w:r w:rsidR="00057642">
        <w:t>Additionally, $12.6 million</w:t>
      </w:r>
      <w:r w:rsidR="008B4134">
        <w:t xml:space="preserve"> and $1.6 million</w:t>
      </w:r>
      <w:r w:rsidR="00057642">
        <w:t xml:space="preserve"> w</w:t>
      </w:r>
      <w:r w:rsidR="008B4134">
        <w:t>ere</w:t>
      </w:r>
      <w:r w:rsidR="00057642">
        <w:t xml:space="preserve"> </w:t>
      </w:r>
      <w:r w:rsidR="008B4134">
        <w:t>paid to National Sporting Organisations (NSO</w:t>
      </w:r>
      <w:r w:rsidR="009A0C95">
        <w:t>s</w:t>
      </w:r>
      <w:r w:rsidR="008B4134">
        <w:t xml:space="preserve">) </w:t>
      </w:r>
      <w:r w:rsidR="00BB53AB">
        <w:t xml:space="preserve">and amateur sporting organisations respectively. </w:t>
      </w:r>
    </w:p>
    <w:p w14:paraId="6081925E" w14:textId="0ADF2795" w:rsidR="00637DF7" w:rsidRDefault="00637DF7" w:rsidP="00756B20">
      <w:pPr>
        <w:pStyle w:val="Heading6"/>
      </w:pPr>
      <w:bookmarkStart w:id="166" w:name="_Toc166507386"/>
      <w:r>
        <w:t>Casinos</w:t>
      </w:r>
      <w:bookmarkEnd w:id="166"/>
    </w:p>
    <w:p w14:paraId="0CBCEC6A" w14:textId="48AFA957" w:rsidR="00637DF7" w:rsidRPr="00A06DF7" w:rsidRDefault="00146372" w:rsidP="00637DF7">
      <w:pPr>
        <w:rPr>
          <w:rFonts w:cs="Calibri"/>
        </w:rPr>
      </w:pPr>
      <w:r w:rsidRPr="00A06DF7">
        <w:rPr>
          <w:rFonts w:cs="Calibri"/>
        </w:rPr>
        <w:t>The si</w:t>
      </w:r>
      <w:r w:rsidR="00BA1758" w:rsidRPr="00A06DF7">
        <w:rPr>
          <w:rFonts w:cs="Calibri"/>
        </w:rPr>
        <w:t xml:space="preserve">x casinos </w:t>
      </w:r>
      <w:r w:rsidR="00E74A02" w:rsidRPr="00A06DF7">
        <w:rPr>
          <w:rFonts w:cs="Calibri"/>
        </w:rPr>
        <w:t>that</w:t>
      </w:r>
      <w:r w:rsidR="001A6B75" w:rsidRPr="00A06DF7">
        <w:rPr>
          <w:rFonts w:cs="Calibri"/>
        </w:rPr>
        <w:t xml:space="preserve"> operate in New Zealand are subject to charitable trust conditions </w:t>
      </w:r>
      <w:r w:rsidR="00E74A02" w:rsidRPr="00A06DF7">
        <w:rPr>
          <w:rFonts w:cs="Calibri"/>
        </w:rPr>
        <w:t xml:space="preserve">that are attached to their casino venue </w:t>
      </w:r>
      <w:r w:rsidR="009B55D6" w:rsidRPr="00A06DF7">
        <w:rPr>
          <w:rFonts w:cs="Calibri"/>
        </w:rPr>
        <w:t xml:space="preserve">licences </w:t>
      </w:r>
      <w:r w:rsidR="00A0539D" w:rsidRPr="00A06DF7">
        <w:rPr>
          <w:rFonts w:cs="Calibri"/>
        </w:rPr>
        <w:fldChar w:fldCharType="begin"/>
      </w:r>
      <w:r w:rsidR="00715B07" w:rsidRPr="00A06DF7">
        <w:rPr>
          <w:rFonts w:cs="Calibri"/>
        </w:rPr>
        <w:instrText xml:space="preserve"> ADDIN ZOTERO_ITEM CSL_CITATION {"citationID":"ouT9dAz7","properties":{"formattedCitation":"(Gambling Commission, n.d.)","plainCitation":"(Gambling Commission, n.d.)","noteIndex":0},"citationItems":[{"id":1516,"uris":["http://zotero.org/users/11111291/items/VEITCGYM"],"itemData":{"id":1516,"type":"webpage","abstract":"Licence conditions for New Zealand casinos issued by the Gambling Commission of New Zealand.","language":"en","note":"publisher: Gambling Commission","title":"Casino Licence Conditions","URL":"https://www.gamblingcommission.govt.nz/GCwebsite.nsf/wpg_URL/Casino-Licence-Conditions-Index!OpenDocument","author":[{"literal":"Gambling Commission"}],"accessed":{"date-parts":[["2024",1,23]]}}}],"schema":"https://github.com/citation-style-language/schema/raw/master/csl-citation.json"} </w:instrText>
      </w:r>
      <w:r w:rsidR="00A0539D" w:rsidRPr="00A06DF7">
        <w:rPr>
          <w:rFonts w:cs="Calibri"/>
        </w:rPr>
        <w:fldChar w:fldCharType="separate"/>
      </w:r>
      <w:r w:rsidR="00A0539D" w:rsidRPr="00A06DF7">
        <w:rPr>
          <w:rFonts w:cs="Calibri"/>
        </w:rPr>
        <w:t>(Gambling Commission, n.d.)</w:t>
      </w:r>
      <w:r w:rsidR="00A0539D" w:rsidRPr="00A06DF7">
        <w:rPr>
          <w:rFonts w:cs="Calibri"/>
        </w:rPr>
        <w:fldChar w:fldCharType="end"/>
      </w:r>
      <w:r w:rsidR="00E74A02" w:rsidRPr="00A06DF7">
        <w:rPr>
          <w:rFonts w:cs="Calibri"/>
        </w:rPr>
        <w:t xml:space="preserve">. </w:t>
      </w:r>
      <w:r w:rsidR="00394AFA" w:rsidRPr="00A06DF7">
        <w:rPr>
          <w:rFonts w:cs="Calibri"/>
        </w:rPr>
        <w:t>In 2022/23</w:t>
      </w:r>
      <w:r w:rsidR="004930BC" w:rsidRPr="00A06DF7">
        <w:rPr>
          <w:rFonts w:cs="Calibri"/>
        </w:rPr>
        <w:t xml:space="preserve">, SkyCity distributed $5.3 million in grants </w:t>
      </w:r>
      <w:r w:rsidR="00F73A74" w:rsidRPr="00A06DF7">
        <w:rPr>
          <w:rFonts w:cs="Calibri"/>
        </w:rPr>
        <w:t>to 122 community organisations from revenue generated in its Auckland, Hamilton and Queenstown casino</w:t>
      </w:r>
      <w:r w:rsidR="00AB35A2" w:rsidRPr="00A06DF7">
        <w:rPr>
          <w:rFonts w:cs="Calibri"/>
        </w:rPr>
        <w:t>s</w:t>
      </w:r>
      <w:r w:rsidR="00C65D7E" w:rsidRPr="00A06DF7">
        <w:rPr>
          <w:rFonts w:cs="Calibri"/>
        </w:rPr>
        <w:t xml:space="preserve"> </w:t>
      </w:r>
      <w:r w:rsidR="00AB35A2" w:rsidRPr="00A06DF7">
        <w:rPr>
          <w:rFonts w:cs="Calibri"/>
        </w:rPr>
        <w:fldChar w:fldCharType="begin"/>
      </w:r>
      <w:r w:rsidR="00715B07" w:rsidRPr="00A06DF7">
        <w:rPr>
          <w:rFonts w:cs="Calibri"/>
        </w:rPr>
        <w:instrText xml:space="preserve"> ADDIN ZOTERO_ITEM CSL_CITATION {"citationID":"UO3ARyLc","properties":{"formattedCitation":"(SkyCity, 2023)","plainCitation":"(SkyCity, 2023)","noteIndex":0},"citationItems":[{"id":1517,"uris":["http://zotero.org/users/11111291/items/9AXVGWQG"],"itemData":{"id":1517,"type":"report","title":"SkyCity Annual Report 2022/23","URL":"https://www.skycityentertainmentgroup.com/media/3590/20230823-annual-report.pdf","author":[{"literal":"SkyCity"}],"accessed":{"date-parts":[["2024",1,23]]},"issued":{"date-parts":[["2023"]]}}}],"schema":"https://github.com/citation-style-language/schema/raw/master/csl-citation.json"} </w:instrText>
      </w:r>
      <w:r w:rsidR="00AB35A2" w:rsidRPr="00A06DF7">
        <w:rPr>
          <w:rFonts w:cs="Calibri"/>
        </w:rPr>
        <w:fldChar w:fldCharType="separate"/>
      </w:r>
      <w:r w:rsidR="00AB35A2" w:rsidRPr="00A06DF7">
        <w:rPr>
          <w:rFonts w:cs="Calibri"/>
        </w:rPr>
        <w:t>(SkyCity, 2023)</w:t>
      </w:r>
      <w:r w:rsidR="00AB35A2" w:rsidRPr="00A06DF7">
        <w:rPr>
          <w:rFonts w:cs="Calibri"/>
        </w:rPr>
        <w:fldChar w:fldCharType="end"/>
      </w:r>
      <w:r w:rsidR="00AB35A2" w:rsidRPr="00A06DF7">
        <w:rPr>
          <w:rFonts w:cs="Calibri"/>
        </w:rPr>
        <w:t>.</w:t>
      </w:r>
      <w:r w:rsidR="00FD510F" w:rsidRPr="00A06DF7">
        <w:rPr>
          <w:rFonts w:cs="Calibri"/>
        </w:rPr>
        <w:t xml:space="preserve"> </w:t>
      </w:r>
      <w:r w:rsidR="004F4D35" w:rsidRPr="00A06DF7">
        <w:rPr>
          <w:rFonts w:cs="Calibri"/>
        </w:rPr>
        <w:t xml:space="preserve">In 2023, </w:t>
      </w:r>
      <w:r w:rsidR="00FD510F" w:rsidRPr="00A06DF7">
        <w:rPr>
          <w:rFonts w:cs="Calibri"/>
        </w:rPr>
        <w:t>Christchurch Casino</w:t>
      </w:r>
      <w:r w:rsidR="00D17CFD" w:rsidRPr="00A06DF7">
        <w:rPr>
          <w:rFonts w:cs="Calibri"/>
        </w:rPr>
        <w:t xml:space="preserve"> </w:t>
      </w:r>
      <w:r w:rsidR="00D17CFD" w:rsidRPr="00A06DF7">
        <w:rPr>
          <w:rFonts w:cs="Calibri"/>
        </w:rPr>
        <w:fldChar w:fldCharType="begin"/>
      </w:r>
      <w:r w:rsidR="00715B07" w:rsidRPr="00A06DF7">
        <w:rPr>
          <w:rFonts w:cs="Calibri"/>
        </w:rPr>
        <w:instrText xml:space="preserve"> ADDIN ZOTERO_ITEM CSL_CITATION {"citationID":"ypSQhE24","properties":{"formattedCitation":"(Christchurch Casino, 2023)","plainCitation":"(Christchurch Casino, 2023)","dontUpdate":true,"noteIndex":0},"citationItems":[{"id":1518,"uris":["http://zotero.org/users/11111291/items/BXYT8ILX"],"itemData":{"id":1518,"type":"post-weblog","abstract":"This year Christchurch Casinos Charitable Community Trust is distributing $451,578 to community organisations.","container-title":"Christchurch Casino","language":"en-NZ","title":"Community Grants","URL":"https://christchurchcasino.co.nz/community-grants/","author":[{"literal":"Christchurch Casino"}],"accessed":{"date-parts":[["2024",1,23]]},"issued":{"date-parts":[["2023"]]}}}],"schema":"https://github.com/citation-style-language/schema/raw/master/csl-citation.json"} </w:instrText>
      </w:r>
      <w:r w:rsidR="00D17CFD" w:rsidRPr="00A06DF7">
        <w:rPr>
          <w:rFonts w:cs="Calibri"/>
        </w:rPr>
        <w:fldChar w:fldCharType="separate"/>
      </w:r>
      <w:r w:rsidR="00D17CFD" w:rsidRPr="00A06DF7">
        <w:rPr>
          <w:rFonts w:cs="Calibri"/>
        </w:rPr>
        <w:t>(2023)</w:t>
      </w:r>
      <w:r w:rsidR="00D17CFD" w:rsidRPr="00A06DF7">
        <w:rPr>
          <w:rFonts w:cs="Calibri"/>
        </w:rPr>
        <w:fldChar w:fldCharType="end"/>
      </w:r>
      <w:r w:rsidR="00D839BE" w:rsidRPr="00A06DF7">
        <w:rPr>
          <w:rFonts w:cs="Calibri"/>
        </w:rPr>
        <w:t xml:space="preserve"> and Dunedin Casino </w:t>
      </w:r>
      <w:r w:rsidR="00D17CFD" w:rsidRPr="00A06DF7">
        <w:rPr>
          <w:rFonts w:cs="Calibri"/>
        </w:rPr>
        <w:fldChar w:fldCharType="begin"/>
      </w:r>
      <w:r w:rsidR="00715B07" w:rsidRPr="00A06DF7">
        <w:rPr>
          <w:rFonts w:cs="Calibri"/>
        </w:rPr>
        <w:instrText xml:space="preserve"> ADDIN ZOTERO_ITEM CSL_CITATION {"citationID":"GbvMIw3Z","properties":{"formattedCitation":"(Dunedin Casino, 2023a, 2023b)","plainCitation":"(Dunedin Casino, 2023a, 2023b)","dontUpdate":true,"noteIndex":0},"citationItems":[{"id":1519,"uris":["http://zotero.org/users/11111291/items/7AV5JD7P"],"itemData":{"id":1519,"type":"webpage","language":"en","title":"Dunedin Casino Charitable Trust Grant Recipients May 2023","URL":"https://grandcasino.co.nz/assets/Dunedin-Casino-Charitable-Trust-Grant-Recipients-May-2023.pdf","author":[{"literal":"Dunedin Casino"}],"accessed":{"date-parts":[["2024",1,16]]},"issued":{"date-parts":[["2023"]]}}},{"id":1520,"uris":["http://zotero.org/users/11111291/items/WJMEQRMW"],"itemData":{"id":1520,"type":"webpage","language":"en","title":"Dunedin Casino Charitable Trust Grant Recipients November 2023","URL":"https://grandcasino.co.nz/assets/Dunedin-Casinos-Charitable-Trust_Grant-Recipients_November_2023.pdf","author":[{"literal":"Dunedin Casino"}],"accessed":{"date-parts":[["2024",1,16]]},"issued":{"date-parts":[["2023"]]}}}],"schema":"https://github.com/citation-style-language/schema/raw/master/csl-citation.json"} </w:instrText>
      </w:r>
      <w:r w:rsidR="00D17CFD" w:rsidRPr="00A06DF7">
        <w:rPr>
          <w:rFonts w:cs="Calibri"/>
        </w:rPr>
        <w:fldChar w:fldCharType="separate"/>
      </w:r>
      <w:r w:rsidR="00D17CFD" w:rsidRPr="00A06DF7">
        <w:rPr>
          <w:rFonts w:cs="Calibri"/>
        </w:rPr>
        <w:t>(2023a, 2023b)</w:t>
      </w:r>
      <w:r w:rsidR="00D17CFD" w:rsidRPr="00A06DF7">
        <w:rPr>
          <w:rFonts w:cs="Calibri"/>
        </w:rPr>
        <w:fldChar w:fldCharType="end"/>
      </w:r>
      <w:r w:rsidR="00D17CFD" w:rsidRPr="00A06DF7">
        <w:rPr>
          <w:rFonts w:cs="Calibri"/>
        </w:rPr>
        <w:t xml:space="preserve"> </w:t>
      </w:r>
      <w:r w:rsidR="00D839BE" w:rsidRPr="00A06DF7">
        <w:rPr>
          <w:rFonts w:cs="Calibri"/>
        </w:rPr>
        <w:t xml:space="preserve">distributed </w:t>
      </w:r>
      <w:r w:rsidR="00A37784" w:rsidRPr="00A06DF7">
        <w:rPr>
          <w:rFonts w:cs="Calibri"/>
        </w:rPr>
        <w:t xml:space="preserve">approximately </w:t>
      </w:r>
      <w:r w:rsidR="00D839BE" w:rsidRPr="00A06DF7">
        <w:rPr>
          <w:rFonts w:cs="Calibri"/>
        </w:rPr>
        <w:t>$45</w:t>
      </w:r>
      <w:r w:rsidR="00A37784" w:rsidRPr="00A06DF7">
        <w:rPr>
          <w:rFonts w:cs="Calibri"/>
        </w:rPr>
        <w:t>0,000</w:t>
      </w:r>
      <w:r w:rsidR="00496CD7" w:rsidRPr="00A06DF7">
        <w:rPr>
          <w:rFonts w:cs="Calibri"/>
        </w:rPr>
        <w:t xml:space="preserve"> </w:t>
      </w:r>
      <w:r w:rsidR="00D839BE" w:rsidRPr="00A06DF7">
        <w:rPr>
          <w:rFonts w:cs="Calibri"/>
        </w:rPr>
        <w:t>and</w:t>
      </w:r>
      <w:r w:rsidR="00490AC6" w:rsidRPr="00A06DF7">
        <w:rPr>
          <w:rFonts w:cs="Calibri"/>
        </w:rPr>
        <w:t xml:space="preserve"> $15</w:t>
      </w:r>
      <w:r w:rsidR="00A37784" w:rsidRPr="00A06DF7">
        <w:rPr>
          <w:rFonts w:cs="Calibri"/>
        </w:rPr>
        <w:t>0,00</w:t>
      </w:r>
      <w:r w:rsidR="00D17CFD" w:rsidRPr="00A06DF7">
        <w:rPr>
          <w:rFonts w:cs="Calibri"/>
        </w:rPr>
        <w:t xml:space="preserve">0 </w:t>
      </w:r>
      <w:r w:rsidR="00A37784" w:rsidRPr="00A06DF7">
        <w:rPr>
          <w:rFonts w:cs="Calibri"/>
        </w:rPr>
        <w:t>respectively</w:t>
      </w:r>
      <w:r w:rsidR="00D17CFD" w:rsidRPr="00A06DF7">
        <w:rPr>
          <w:rFonts w:cs="Calibri"/>
        </w:rPr>
        <w:t>.</w:t>
      </w:r>
    </w:p>
    <w:p w14:paraId="7100AB0B" w14:textId="0F24AFBF" w:rsidR="007D7D39" w:rsidRDefault="007D7D39">
      <w:pPr>
        <w:pStyle w:val="Heading5"/>
      </w:pPr>
      <w:bookmarkStart w:id="167" w:name="_Toc166507387"/>
      <w:r>
        <w:lastRenderedPageBreak/>
        <w:t>The prevalence of harmful gambling</w:t>
      </w:r>
      <w:bookmarkEnd w:id="167"/>
    </w:p>
    <w:p w14:paraId="5F90230D" w14:textId="1D9C9137" w:rsidR="002C1410" w:rsidRPr="00A06DF7" w:rsidRDefault="00497B4F" w:rsidP="00A06DF7">
      <w:pPr>
        <w:rPr>
          <w:rFonts w:cs="Calibri"/>
        </w:rPr>
      </w:pPr>
      <w:r w:rsidRPr="00A06DF7">
        <w:rPr>
          <w:rFonts w:cs="Calibri"/>
        </w:rPr>
        <w:t>Although the</w:t>
      </w:r>
      <w:r w:rsidR="00C4689E" w:rsidRPr="00A06DF7">
        <w:rPr>
          <w:rFonts w:cs="Calibri"/>
        </w:rPr>
        <w:t xml:space="preserve"> prevalence of </w:t>
      </w:r>
      <w:r w:rsidR="00816E62" w:rsidRPr="00A06DF7">
        <w:rPr>
          <w:rFonts w:cs="Calibri"/>
        </w:rPr>
        <w:t>low-risk, moderate-risk and non-problem gambling</w:t>
      </w:r>
      <w:r w:rsidR="00A61FEC" w:rsidRPr="00A06DF7">
        <w:rPr>
          <w:rFonts w:cs="Calibri"/>
        </w:rPr>
        <w:t xml:space="preserve"> has decreased</w:t>
      </w:r>
      <w:r w:rsidRPr="00A06DF7">
        <w:rPr>
          <w:rFonts w:cs="Calibri"/>
        </w:rPr>
        <w:t xml:space="preserve">, we continue to observe inequities in harmful gambling between ethnicities. </w:t>
      </w:r>
      <w:r w:rsidR="00B05F75" w:rsidRPr="00A06DF7">
        <w:rPr>
          <w:rFonts w:cs="Calibri"/>
        </w:rPr>
        <w:t xml:space="preserve">Researchers are also concerned about youth gambling </w:t>
      </w:r>
      <w:r w:rsidR="00B05F75" w:rsidRPr="00A06DF7">
        <w:rPr>
          <w:rFonts w:cs="Calibri"/>
        </w:rPr>
        <w:fldChar w:fldCharType="begin"/>
      </w:r>
      <w:r w:rsidR="00715B07" w:rsidRPr="00A06DF7">
        <w:rPr>
          <w:rFonts w:cs="Calibri"/>
        </w:rPr>
        <w:instrText xml:space="preserve"> ADDIN ZOTERO_ITEM CSL_CITATION {"citationID":"F69MMsCp","properties":{"formattedCitation":"(Problem Gambling Foundation, 2023b)","plainCitation":"(Problem Gambling Foundation, 2023b)","noteIndex":0},"citationItems":[{"id":1429,"uris":["http://zotero.org/users/11111291/items/GK8QXRL3"],"itemData":{"id":1429,"type":"webpage","abstract":"Problem Gambling Foundation","language":"en","title":"PR: Concern over young people gambling prompts awareness campaign","URL":"https://www.pgf.nz/blog/pr-concern-over-young-people-gambling-prompts-awareness-campaign","author":[{"literal":"Problem Gambling Foundation"}],"accessed":{"date-parts":[["2023",12,6]]},"issued":{"date-parts":[["2023"]]}}}],"schema":"https://github.com/citation-style-language/schema/raw/master/csl-citation.json"} </w:instrText>
      </w:r>
      <w:r w:rsidR="00B05F75" w:rsidRPr="00A06DF7">
        <w:rPr>
          <w:rFonts w:cs="Calibri"/>
        </w:rPr>
        <w:fldChar w:fldCharType="separate"/>
      </w:r>
      <w:r w:rsidR="00B05F75" w:rsidRPr="00A06DF7">
        <w:rPr>
          <w:rFonts w:cs="Calibri"/>
        </w:rPr>
        <w:t>(Problem Gambling Foundation, 2023b)</w:t>
      </w:r>
      <w:r w:rsidR="00B05F75" w:rsidRPr="00A06DF7">
        <w:rPr>
          <w:rFonts w:cs="Calibri"/>
        </w:rPr>
        <w:fldChar w:fldCharType="end"/>
      </w:r>
      <w:r w:rsidR="00B05F75" w:rsidRPr="00A06DF7">
        <w:rPr>
          <w:rFonts w:cs="Calibri"/>
        </w:rPr>
        <w:t>, and</w:t>
      </w:r>
      <w:r w:rsidR="000873E7" w:rsidRPr="00A06DF7">
        <w:rPr>
          <w:rFonts w:cs="Calibri"/>
        </w:rPr>
        <w:t xml:space="preserve"> evidence shows that there are increased gambling harm risks for women</w:t>
      </w:r>
      <w:r w:rsidR="005E64D4" w:rsidRPr="00A06DF7">
        <w:rPr>
          <w:rFonts w:cs="Calibri"/>
          <w:szCs w:val="20"/>
        </w:rPr>
        <w:t xml:space="preserve"> </w:t>
      </w:r>
      <w:r w:rsidR="005E64D4" w:rsidRPr="00A06DF7">
        <w:rPr>
          <w:rFonts w:cs="Calibri"/>
          <w:szCs w:val="20"/>
        </w:rPr>
        <w:fldChar w:fldCharType="begin"/>
      </w:r>
      <w:r w:rsidR="00715B07" w:rsidRPr="00A06DF7">
        <w:rPr>
          <w:rFonts w:cs="Calibri"/>
          <w:szCs w:val="20"/>
        </w:rPr>
        <w:instrText xml:space="preserve"> ADDIN ZOTERO_ITEM CSL_CITATION {"citationID":"00gMOJ7Y","properties":{"formattedCitation":"(Palmer du Preez et al., 2021; Te Whatu Ora, 2020)","plainCitation":"(Palmer du Preez et al., 2021; Te Whatu Ora, 2020)","noteIndex":0},"citationItems":[{"id":1440,"uris":["http://zotero.org/users/11111291/items/NVPTYAZU"],"itemData":{"id":1440,"type":"article-journal","abstract":"BACKGROUND: Gambling harm affects men and women relatively equally, and gender influences the social determinants of gambling harm. Responses to preventing and minimising women's gambling harm have been shaped and constrained by population research identifying male gender as a key risk factor for gambling problems. Gender analysis in gambling studies is rare and has lacked theoretical underpinning and coherence, limiting possibilities for gender-responsive and gender-aware harm prevention and reduction activities.\nMETHODS: Two influential qualitative studies of gambling harm in New Zealand (involving total n = 165 people who gambled, affected others, community leaders, gambling and community support service providers, policy makers and academics) neglected to explore the role of gender. This study revisited data collected in these studies, using thematic analysis informed by feminist social constructionist theory. The overarching research questions were: How do gender-related issues, notions and practices influence women's gambling related harm? What are the implications for women's gambling harm reduction?\nRESULTS: Women's socio-cultural positioning as primary caregivers for families and children constrained their ability to access a range of recreational and support options and increased the attractiveness of local gambling opportunities as accessible and 'safe' outlets for stress reduction. Patriarchal practices of power and control within family contexts operated to maintain gambling behaviour, shut down alternative recreational opportunities, and limit women's autonomy. Consideration of these themes in relation to current health promotion practice in New Zealand revealed that national programmes and strategies appear to be operating without cognisance of these gender dynamics and therefore have the potential to exacerbate or cause some women harm.\nCONCLUSIONS: This study demonstrates the value of theoretically informed gender analysis for gambling harm reduction research, policy and practice. International guidelines for gender-aware and gender-responsive health research and practice should be engaged as a foundation for strategic and effective gambling harm reduction programmes, projects, research and policy, and as an essential part of developing and implementing interventions for gambling harm.","container-title":"Harm Reduction Journal","DOI":"10.1186/s12954-021-00558-5","ISSN":"1477-7517","issue":"1","journalAbbreviation":"Harm Reduct J","language":"eng","note":"number: 1\nPMID: 34749741\nPMCID: PMC8574034","page":"111","source":"PubMed","title":"Theoretically informed gender analysis for gambling harm reduction: a New Zealand study","title-short":"Theoretically informed gender analysis for gambling harm reduction","volume":"18","author":[{"family":"Palmer du Preez","given":"Katie"},{"family":"Paavonen","given":"Anna-Marie"},{"family":"Bellringer","given":"Maria E."}],"issued":{"date-parts":[["2021",11,8]]}}},{"id":1332,"uris":["http://zotero.org/users/11111291/items/7BATMKQU"],"itemData":{"id":1332,"type":"dataset","title":"Health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005E64D4" w:rsidRPr="00A06DF7">
        <w:rPr>
          <w:rFonts w:cs="Calibri"/>
          <w:szCs w:val="20"/>
        </w:rPr>
        <w:fldChar w:fldCharType="separate"/>
      </w:r>
      <w:r w:rsidR="005E64D4" w:rsidRPr="00A06DF7">
        <w:rPr>
          <w:rFonts w:cs="Calibri"/>
        </w:rPr>
        <w:t>(Palmer du Preez et al., 2021; Te Whatu Ora, 2020)</w:t>
      </w:r>
      <w:r w:rsidR="005E64D4" w:rsidRPr="00A06DF7">
        <w:rPr>
          <w:rFonts w:cs="Calibri"/>
          <w:szCs w:val="20"/>
        </w:rPr>
        <w:fldChar w:fldCharType="end"/>
      </w:r>
      <w:r w:rsidR="00BC78B3" w:rsidRPr="00A06DF7">
        <w:rPr>
          <w:rFonts w:cs="Calibri"/>
          <w:szCs w:val="20"/>
        </w:rPr>
        <w:t>.</w:t>
      </w:r>
    </w:p>
    <w:p w14:paraId="27F24337" w14:textId="5DB5D592" w:rsidR="007D7D39" w:rsidRDefault="007D7D39">
      <w:pPr>
        <w:pStyle w:val="Heading6"/>
      </w:pPr>
      <w:bookmarkStart w:id="168" w:name="_Toc65250312"/>
      <w:bookmarkStart w:id="169" w:name="_Toc76469787"/>
      <w:bookmarkStart w:id="170" w:name="_Toc166507388"/>
      <w:r w:rsidRPr="002F108B">
        <w:t xml:space="preserve">The prevalence of harmful gambling in Aotearoa New Zealand </w:t>
      </w:r>
      <w:bookmarkEnd w:id="168"/>
      <w:bookmarkEnd w:id="169"/>
      <w:r w:rsidR="00DB5F94">
        <w:t>has</w:t>
      </w:r>
      <w:r w:rsidR="00447DBF">
        <w:t xml:space="preserve"> remained unchanged since 2018</w:t>
      </w:r>
      <w:bookmarkEnd w:id="170"/>
    </w:p>
    <w:p w14:paraId="2ACDC70E" w14:textId="74384D53" w:rsidR="007D7D39" w:rsidRPr="00A06DF7" w:rsidRDefault="00A428F1" w:rsidP="007D7D39">
      <w:pPr>
        <w:rPr>
          <w:rFonts w:cs="Calibri"/>
        </w:rPr>
      </w:pPr>
      <w:r w:rsidRPr="00A06DF7">
        <w:rPr>
          <w:rFonts w:cs="Calibri"/>
        </w:rPr>
        <w:t xml:space="preserve">The most recent </w:t>
      </w:r>
      <w:r w:rsidR="00266436" w:rsidRPr="00A06DF7">
        <w:rPr>
          <w:rFonts w:cs="Calibri"/>
        </w:rPr>
        <w:t>gambling harm data captured in the HLS</w:t>
      </w:r>
      <w:r w:rsidR="003F3539" w:rsidRPr="00A06DF7">
        <w:rPr>
          <w:rFonts w:cs="Calibri"/>
        </w:rPr>
        <w:t xml:space="preserve"> shows </w:t>
      </w:r>
      <w:r w:rsidR="00447DBF" w:rsidRPr="00A06DF7">
        <w:rPr>
          <w:rFonts w:cs="Calibri"/>
        </w:rPr>
        <w:t>no statistically significant changes in</w:t>
      </w:r>
      <w:r w:rsidR="00384105" w:rsidRPr="00A06DF7">
        <w:rPr>
          <w:rFonts w:cs="Calibri"/>
        </w:rPr>
        <w:t xml:space="preserve"> harmful gambling</w:t>
      </w:r>
      <w:r w:rsidR="00C93BA5" w:rsidRPr="00A06DF7">
        <w:rPr>
          <w:rFonts w:cs="Calibri"/>
        </w:rPr>
        <w:t xml:space="preserve"> between 2018 and 2020 </w:t>
      </w:r>
      <w:r w:rsidR="00C93BA5" w:rsidRPr="00A06DF7">
        <w:rPr>
          <w:rFonts w:cs="Calibri"/>
        </w:rPr>
        <w:fldChar w:fldCharType="begin"/>
      </w:r>
      <w:r w:rsidR="00715B07" w:rsidRPr="00A06DF7">
        <w:rPr>
          <w:rFonts w:cs="Calibri"/>
        </w:rPr>
        <w:instrText xml:space="preserve"> ADDIN ZOTERO_ITEM CSL_CITATION {"citationID":"JoU2wALA","properties":{"formattedCitation":"(Te Whatu Ora, 2020)","plainCitation":"(Te Whatu Ora, 2020)","noteIndex":0},"citationItems":[{"id":1332,"uris":["http://zotero.org/users/11111291/items/7BATMKQU"],"itemData":{"id":1332,"type":"dataset","title":"Health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00C93BA5" w:rsidRPr="00A06DF7">
        <w:rPr>
          <w:rFonts w:cs="Calibri"/>
        </w:rPr>
        <w:fldChar w:fldCharType="separate"/>
      </w:r>
      <w:r w:rsidR="00C93BA5" w:rsidRPr="00A06DF7">
        <w:rPr>
          <w:rFonts w:cs="Calibri"/>
        </w:rPr>
        <w:t>(Te Whatu Ora, 2020)</w:t>
      </w:r>
      <w:r w:rsidR="00C93BA5" w:rsidRPr="00A06DF7">
        <w:rPr>
          <w:rFonts w:cs="Calibri"/>
        </w:rPr>
        <w:fldChar w:fldCharType="end"/>
      </w:r>
      <w:r w:rsidR="001A4E6F" w:rsidRPr="00A06DF7">
        <w:rPr>
          <w:rFonts w:cs="Calibri"/>
        </w:rPr>
        <w:t>.</w:t>
      </w:r>
      <w:r w:rsidR="00FF3BF4" w:rsidRPr="00A06DF7">
        <w:rPr>
          <w:rStyle w:val="FootnoteReference"/>
          <w:rFonts w:cs="Calibri"/>
        </w:rPr>
        <w:footnoteReference w:id="23"/>
      </w:r>
      <w:r w:rsidR="002549C2" w:rsidRPr="00A06DF7">
        <w:rPr>
          <w:rFonts w:cs="Calibri"/>
        </w:rPr>
        <w:t xml:space="preserve"> The results show that:</w:t>
      </w:r>
    </w:p>
    <w:p w14:paraId="358AA0F3" w14:textId="176C7AF1" w:rsidR="00B742B6" w:rsidRPr="00B742B6" w:rsidRDefault="00B742B6" w:rsidP="00B742B6">
      <w:pPr>
        <w:pStyle w:val="Bulleted"/>
        <w:rPr>
          <w:rFonts w:cs="Calibri"/>
        </w:rPr>
      </w:pPr>
      <w:r w:rsidRPr="5192E535">
        <w:rPr>
          <w:rFonts w:cs="Calibri"/>
        </w:rPr>
        <w:t>The prevalence of non-problem gambling is 64.8 per cent (or 2,653,000 adults)</w:t>
      </w:r>
      <w:r w:rsidRPr="00B742B6">
        <w:rPr>
          <w:rFonts w:cs="Calibri"/>
        </w:rPr>
        <w:t xml:space="preserve"> </w:t>
      </w:r>
    </w:p>
    <w:p w14:paraId="0BE2EB6A" w14:textId="7BBA4F8C" w:rsidR="00DB7995" w:rsidRPr="00A06DF7" w:rsidRDefault="00D3443B" w:rsidP="00BD2D7B">
      <w:pPr>
        <w:pStyle w:val="Bulleted"/>
        <w:rPr>
          <w:rFonts w:cs="Calibri"/>
        </w:rPr>
      </w:pPr>
      <w:r w:rsidRPr="5192E535">
        <w:rPr>
          <w:rFonts w:cs="Calibri"/>
        </w:rPr>
        <w:t>T</w:t>
      </w:r>
      <w:r w:rsidR="00C55C94" w:rsidRPr="5192E535">
        <w:rPr>
          <w:rFonts w:cs="Calibri"/>
        </w:rPr>
        <w:t xml:space="preserve">he prevalence of low-risk gambling among adults </w:t>
      </w:r>
      <w:r w:rsidR="00447DBF" w:rsidRPr="5192E535">
        <w:rPr>
          <w:rFonts w:cs="Calibri"/>
        </w:rPr>
        <w:t>is</w:t>
      </w:r>
      <w:r w:rsidR="00F86D58" w:rsidRPr="5192E535">
        <w:rPr>
          <w:rFonts w:cs="Calibri"/>
        </w:rPr>
        <w:t xml:space="preserve"> 2.9</w:t>
      </w:r>
      <w:r w:rsidR="00D9625C" w:rsidRPr="5192E535">
        <w:rPr>
          <w:rFonts w:cs="Calibri"/>
        </w:rPr>
        <w:t xml:space="preserve"> per cent</w:t>
      </w:r>
      <w:r w:rsidR="00674775" w:rsidRPr="5192E535">
        <w:rPr>
          <w:rFonts w:cs="Calibri"/>
        </w:rPr>
        <w:t xml:space="preserve"> (or 119,000 adults)</w:t>
      </w:r>
    </w:p>
    <w:p w14:paraId="788D129F" w14:textId="01FB7571" w:rsidR="00F86D58" w:rsidRPr="00A06DF7" w:rsidRDefault="00D3443B" w:rsidP="00BD2D7B">
      <w:pPr>
        <w:pStyle w:val="Bulleted"/>
        <w:rPr>
          <w:rFonts w:cs="Calibri"/>
        </w:rPr>
      </w:pPr>
      <w:r w:rsidRPr="00A06DF7">
        <w:rPr>
          <w:rFonts w:cs="Calibri"/>
        </w:rPr>
        <w:t>T</w:t>
      </w:r>
      <w:r w:rsidR="00F86D58" w:rsidRPr="00A06DF7">
        <w:rPr>
          <w:rFonts w:cs="Calibri"/>
        </w:rPr>
        <w:t>he prevalence of moderate</w:t>
      </w:r>
      <w:r w:rsidR="009145CA" w:rsidRPr="00A06DF7">
        <w:rPr>
          <w:rFonts w:cs="Calibri"/>
        </w:rPr>
        <w:t>-</w:t>
      </w:r>
      <w:r w:rsidR="00F86D58" w:rsidRPr="00A06DF7">
        <w:rPr>
          <w:rFonts w:cs="Calibri"/>
        </w:rPr>
        <w:t xml:space="preserve">risk </w:t>
      </w:r>
      <w:r w:rsidR="000F0DEE">
        <w:rPr>
          <w:rFonts w:cs="Calibri"/>
        </w:rPr>
        <w:t>and problem gamblers</w:t>
      </w:r>
      <w:r w:rsidR="00F86D58" w:rsidRPr="00A06DF7">
        <w:rPr>
          <w:rFonts w:cs="Calibri"/>
        </w:rPr>
        <w:t xml:space="preserve"> </w:t>
      </w:r>
      <w:r w:rsidR="00447DBF" w:rsidRPr="00A06DF7">
        <w:rPr>
          <w:rFonts w:cs="Calibri"/>
        </w:rPr>
        <w:t>is</w:t>
      </w:r>
      <w:r w:rsidR="00F86D58" w:rsidRPr="00A06DF7">
        <w:rPr>
          <w:rFonts w:cs="Calibri"/>
        </w:rPr>
        <w:t xml:space="preserve"> 1.6</w:t>
      </w:r>
      <w:r w:rsidR="00D9625C" w:rsidRPr="00A06DF7">
        <w:rPr>
          <w:rFonts w:cs="Calibri"/>
        </w:rPr>
        <w:t xml:space="preserve"> per cent</w:t>
      </w:r>
      <w:r w:rsidR="00674775" w:rsidRPr="00A06DF7">
        <w:rPr>
          <w:rFonts w:cs="Calibri"/>
        </w:rPr>
        <w:t xml:space="preserve"> (or 65,000 adults)</w:t>
      </w:r>
      <w:r w:rsidR="00B742B6">
        <w:rPr>
          <w:rFonts w:cs="Calibri"/>
        </w:rPr>
        <w:t>.</w:t>
      </w:r>
    </w:p>
    <w:p w14:paraId="77DB7476" w14:textId="32C2EF39" w:rsidR="00DE778A" w:rsidRPr="00A06DF7" w:rsidRDefault="001D223D" w:rsidP="00EB0A80">
      <w:pPr>
        <w:rPr>
          <w:rFonts w:cs="Calibri"/>
        </w:rPr>
      </w:pPr>
      <w:r w:rsidRPr="00A06DF7">
        <w:rPr>
          <w:rFonts w:cs="Calibri"/>
        </w:rPr>
        <w:t>It</w:t>
      </w:r>
      <w:r w:rsidR="00447DBF" w:rsidRPr="00A06DF7">
        <w:rPr>
          <w:rFonts w:cs="Calibri"/>
        </w:rPr>
        <w:t xml:space="preserve"> is</w:t>
      </w:r>
      <w:r w:rsidRPr="00A06DF7">
        <w:rPr>
          <w:rFonts w:cs="Calibri"/>
        </w:rPr>
        <w:t xml:space="preserve"> important to </w:t>
      </w:r>
      <w:r w:rsidR="00043193" w:rsidRPr="00A06DF7">
        <w:rPr>
          <w:rFonts w:cs="Calibri"/>
        </w:rPr>
        <w:t xml:space="preserve">recognise </w:t>
      </w:r>
      <w:r w:rsidRPr="00A06DF7">
        <w:rPr>
          <w:rFonts w:cs="Calibri"/>
        </w:rPr>
        <w:t xml:space="preserve">that </w:t>
      </w:r>
      <w:r w:rsidR="00082A1C" w:rsidRPr="00A06DF7">
        <w:rPr>
          <w:rFonts w:cs="Calibri"/>
        </w:rPr>
        <w:t>the pr</w:t>
      </w:r>
      <w:r w:rsidR="00DA0AE6" w:rsidRPr="00A06DF7">
        <w:rPr>
          <w:rFonts w:cs="Calibri"/>
        </w:rPr>
        <w:t xml:space="preserve">evalence rates alone may not capture the full picture. </w:t>
      </w:r>
      <w:r w:rsidR="00043193" w:rsidRPr="00A06DF7">
        <w:rPr>
          <w:rFonts w:cs="Calibri"/>
        </w:rPr>
        <w:t xml:space="preserve">Abbott et al. </w:t>
      </w:r>
      <w:r w:rsidR="00692DDA" w:rsidRPr="00A06DF7">
        <w:rPr>
          <w:rFonts w:cs="Calibri"/>
        </w:rPr>
        <w:fldChar w:fldCharType="begin"/>
      </w:r>
      <w:r w:rsidR="00715B07" w:rsidRPr="00A06DF7">
        <w:rPr>
          <w:rFonts w:cs="Calibri"/>
        </w:rPr>
        <w:instrText xml:space="preserve"> ADDIN ZOTERO_ITEM CSL_CITATION {"citationID":"VRnhgvGW","properties":{"formattedCitation":"(2018)","plainCitation":"(2018)","noteIndex":0},"citationItems":[{"id":1334,"uris":["http://zotero.org/users/11111291/items/GL97WQ8K"],"itemData":{"id":1334,"type":"report","abstract":"The New Zealand National Gambling Study (NGS) is a nationally representative longitudinal cohort survey. This type of survey re-interviews the same participants over time. Participants were interviewed in 2012, 2013, 2014 and 2015. This report presents the results from the 2015 survey.","language":"en","publisher":"Auckland University of Technology, Gambling and Addictions Research Centre","title":"New Zealand National Gambling Study: Wave 4 (2015)","URL":"https://www.health.govt.nz/system/files/documents/publications/national-gambling-study-report-6-aug18.pdf","author":[{"family":"Abbot","given":"Max"},{"family":"Bellringer","given":"Maria"},{"family":"Garrett","given":"Nick"}],"accessed":{"date-parts":[["2023",11,29]]},"issued":{"date-parts":[["2018"]]}},"label":"page","suppress-author":true}],"schema":"https://github.com/citation-style-language/schema/raw/master/csl-citation.json"} </w:instrText>
      </w:r>
      <w:r w:rsidR="00692DDA" w:rsidRPr="00A06DF7">
        <w:rPr>
          <w:rFonts w:cs="Calibri"/>
        </w:rPr>
        <w:fldChar w:fldCharType="separate"/>
      </w:r>
      <w:r w:rsidR="004E24DE" w:rsidRPr="00A06DF7">
        <w:rPr>
          <w:rFonts w:cs="Calibri"/>
        </w:rPr>
        <w:t>(2018)</w:t>
      </w:r>
      <w:r w:rsidR="00692DDA" w:rsidRPr="00A06DF7">
        <w:rPr>
          <w:rFonts w:cs="Calibri"/>
        </w:rPr>
        <w:fldChar w:fldCharType="end"/>
      </w:r>
      <w:r w:rsidR="00152452" w:rsidRPr="00A06DF7">
        <w:rPr>
          <w:rFonts w:cs="Calibri"/>
        </w:rPr>
        <w:t xml:space="preserve"> </w:t>
      </w:r>
      <w:r w:rsidR="00DD1CA5" w:rsidRPr="00A06DF7">
        <w:rPr>
          <w:rFonts w:cs="Calibri"/>
        </w:rPr>
        <w:t>note</w:t>
      </w:r>
      <w:r w:rsidR="00152452" w:rsidRPr="00A06DF7">
        <w:rPr>
          <w:rFonts w:cs="Calibri"/>
        </w:rPr>
        <w:t xml:space="preserve"> that despite stable rates of </w:t>
      </w:r>
      <w:r w:rsidR="003A519F" w:rsidRPr="00A06DF7">
        <w:rPr>
          <w:rFonts w:cs="Calibri"/>
        </w:rPr>
        <w:t>harmful</w:t>
      </w:r>
      <w:r w:rsidR="00152452" w:rsidRPr="00A06DF7">
        <w:rPr>
          <w:rFonts w:cs="Calibri"/>
        </w:rPr>
        <w:t xml:space="preserve"> gambling</w:t>
      </w:r>
      <w:r w:rsidR="00B15866" w:rsidRPr="00A06DF7">
        <w:rPr>
          <w:rFonts w:cs="Calibri"/>
        </w:rPr>
        <w:t xml:space="preserve"> since the initial 1990 study</w:t>
      </w:r>
      <w:r w:rsidR="00152452" w:rsidRPr="00A06DF7">
        <w:rPr>
          <w:rFonts w:cs="Calibri"/>
        </w:rPr>
        <w:t xml:space="preserve">, New Zealand’s population growth and changing demographics </w:t>
      </w:r>
      <w:r w:rsidR="003A519F" w:rsidRPr="00A06DF7">
        <w:rPr>
          <w:rFonts w:cs="Calibri"/>
        </w:rPr>
        <w:t xml:space="preserve">may have increased the total number of individuals affected. For a more accurate </w:t>
      </w:r>
      <w:r w:rsidR="00510463" w:rsidRPr="00A06DF7">
        <w:rPr>
          <w:rFonts w:cs="Calibri"/>
        </w:rPr>
        <w:t>picture</w:t>
      </w:r>
      <w:r w:rsidR="003A519F" w:rsidRPr="00A06DF7">
        <w:rPr>
          <w:rFonts w:cs="Calibri"/>
        </w:rPr>
        <w:t>, they recommend reporting both gambling harm rates and absolute numbers</w:t>
      </w:r>
      <w:r w:rsidR="00674775" w:rsidRPr="00A06DF7">
        <w:rPr>
          <w:rFonts w:cs="Calibri"/>
        </w:rPr>
        <w:t>, which are noted above alongside the prevalence rates.</w:t>
      </w:r>
      <w:r w:rsidR="00CF018E" w:rsidRPr="00A06DF7">
        <w:rPr>
          <w:rFonts w:cs="Calibri"/>
        </w:rPr>
        <w:t xml:space="preserve"> </w:t>
      </w:r>
    </w:p>
    <w:p w14:paraId="46BC3FCD" w14:textId="09CD08E5" w:rsidR="007D7D39" w:rsidRPr="00A06DF7" w:rsidRDefault="007D7D39">
      <w:pPr>
        <w:pStyle w:val="Heading6"/>
        <w:rPr>
          <w:rFonts w:cs="Calibri"/>
        </w:rPr>
      </w:pPr>
      <w:bookmarkStart w:id="171" w:name="_Toc65250313"/>
      <w:bookmarkStart w:id="172" w:name="_Toc76469788"/>
      <w:bookmarkStart w:id="173" w:name="_Ref157415082"/>
      <w:bookmarkStart w:id="174" w:name="_Toc166507389"/>
      <w:r w:rsidRPr="00A06DF7">
        <w:rPr>
          <w:rFonts w:cs="Calibri"/>
        </w:rPr>
        <w:t>The prevalence of harmful gambling among Māori and Pacific peoples remains higher than other ethnic groups</w:t>
      </w:r>
      <w:bookmarkEnd w:id="171"/>
      <w:bookmarkEnd w:id="172"/>
      <w:bookmarkEnd w:id="173"/>
      <w:bookmarkEnd w:id="174"/>
    </w:p>
    <w:p w14:paraId="1198BA1E" w14:textId="2C62FE77" w:rsidR="00CB5C6E" w:rsidRPr="00A06DF7" w:rsidRDefault="00963C95" w:rsidP="00071623">
      <w:pPr>
        <w:rPr>
          <w:rFonts w:cs="Calibri"/>
        </w:rPr>
      </w:pPr>
      <w:r w:rsidRPr="00A06DF7">
        <w:rPr>
          <w:rFonts w:cs="Calibri"/>
        </w:rPr>
        <w:t xml:space="preserve">In New Zealand’s </w:t>
      </w:r>
      <w:r w:rsidR="00F23073" w:rsidRPr="00A06DF7">
        <w:rPr>
          <w:rFonts w:cs="Calibri"/>
        </w:rPr>
        <w:t>national prevalence surveys</w:t>
      </w:r>
      <w:r w:rsidR="006B21B7" w:rsidRPr="00A06DF7">
        <w:rPr>
          <w:rFonts w:cs="Calibri"/>
        </w:rPr>
        <w:t>,</w:t>
      </w:r>
      <w:r w:rsidRPr="00A06DF7">
        <w:rPr>
          <w:rFonts w:cs="Calibri"/>
        </w:rPr>
        <w:t xml:space="preserve"> </w:t>
      </w:r>
      <w:r w:rsidR="00973DB5" w:rsidRPr="00A06DF7">
        <w:rPr>
          <w:rFonts w:cs="Calibri"/>
        </w:rPr>
        <w:t xml:space="preserve">Māori and Pacific have </w:t>
      </w:r>
      <w:r w:rsidR="00F915F6" w:rsidRPr="00A06DF7">
        <w:rPr>
          <w:rFonts w:cs="Calibri"/>
        </w:rPr>
        <w:t xml:space="preserve">consistently exhibited the highest prevalence of harmful gambling behaviour </w:t>
      </w:r>
      <w:r w:rsidRPr="00A06DF7">
        <w:rPr>
          <w:rFonts w:cs="Calibri"/>
        </w:rPr>
        <w:t>compared to</w:t>
      </w:r>
      <w:r w:rsidR="00F915F6" w:rsidRPr="00A06DF7">
        <w:rPr>
          <w:rFonts w:cs="Calibri"/>
        </w:rPr>
        <w:t xml:space="preserve"> other ethnic groups</w:t>
      </w:r>
      <w:r w:rsidRPr="00A06DF7">
        <w:rPr>
          <w:rFonts w:cs="Calibri"/>
        </w:rPr>
        <w:t xml:space="preserve"> </w:t>
      </w:r>
      <w:r w:rsidR="005C0F26" w:rsidRPr="00A06DF7">
        <w:rPr>
          <w:rFonts w:cs="Calibri"/>
        </w:rPr>
        <w:fldChar w:fldCharType="begin"/>
      </w:r>
      <w:r w:rsidR="00715B07" w:rsidRPr="00A06DF7">
        <w:rPr>
          <w:rFonts w:cs="Calibri"/>
        </w:rPr>
        <w:instrText xml:space="preserve"> ADDIN ZOTERO_ITEM CSL_CITATION {"citationID":"bx0OOLcM","properties":{"formattedCitation":"(Abbott et al., 2014; Abbott &amp; Volberg, 1991, 2000)","plainCitation":"(Abbott et al., 2014; Abbott &amp; Volberg, 1991, 2000)","noteIndex":0},"citationItems":[{"id":1434,"uris":["http://zotero.org/users/11111291/items/V3ZJ587X"],"itemData":{"id":1434,"type":"report","abstract":"Summary of project/aims Background The last national studies focused on gambling in New Zealand were conducted in 1991 and 1999. Since then, there has been substantial growth in gambling availability and expenditure and it is timely to collect national-level information on gambling participation and problem gambling to inform policy and strategic planning. Aim A major purpose of the 2012 National Gambling Study was to assess changes since the previous national gambling and problem gambling surveys were conducted. Five reports were produced from the study. This report focuses on provide national-level epidemiological information on problem gambling in New Zealand. This includes information on risk and protective factors, and information on groups such as Māori and Pacific peoples who historically have had high rates of problem gambling. Method A randomly selected national sample of 6,251 people aged 18 years and older living in private households was interviewed face-to-face from March to October 2012. The survey questionnaire included questions on: leisure activities and gambling participation, past gambling and recent gambling behaviour change, problem gambling, life events, attitudes towards gambling, mental health, substance use/misuse, health conditions, social connectedness, level of deprivation, gambling expenditure, and demographics.","language":"en","note":"publisher: Ministry of Health – Manatū Hauora, New Zealand Government","source":"openrepository.aut.ac.nz","title":"New Zealand 2012 National Gambling Study: Gambling Harm and Problem Gambling. Report Number 2","title-short":"New Zealand 2012 National Gambling Study","URL":"https://hdl.handle.net/10292/12853","author":[{"family":"Abbott","given":"M."},{"family":"Bellringer","given":"M."},{"family":"Garrett","given":"N."},{"family":"Mundy-McPherson","given":"S."}],"accessed":{"date-parts":[["2023",12,11]]},"issued":{"date-parts":[["2014",7,3]]}}},{"id":1531,"uris":["http://zotero.org/users/11111291/items/TWZUXVD4"],"itemData":{"id":1531,"type":"report","collection-title":"Research series No. 12","event-place":"Wellington","publisher":"Department of Internal Affairs","publisher-place":"Wellington","title":"Gambling and problem gambling in New Zealand","author":[{"family":"Abbott","given":"M."},{"family":"Volberg","given":"Rachel"}],"issued":{"date-parts":[["1991"]]}}},{"id":1532,"uris":["http://zotero.org/users/11111291/items/VQT8WFKN"],"itemData":{"id":1532,"type":"report","publisher":"Department of Internal Affairs","title":"Taking the pulse on gambling and problem gambling in New Zealand: A report on Phase One of the 1999 National Prevalence Survey.","URL":"https://www.dia.govt.nz/diawebsite.nsf/wpg_URL/Resource-material-Our-Research-and-Reports-New-Zealand-Gaming-Survey?OpenDocument#ph1","author":[{"family":"Abbott","given":"M."},{"family":"Volberg","given":"Rachel"}],"issued":{"date-parts":[["2000"]]}}}],"schema":"https://github.com/citation-style-language/schema/raw/master/csl-citation.json"} </w:instrText>
      </w:r>
      <w:r w:rsidR="005C0F26" w:rsidRPr="00A06DF7">
        <w:rPr>
          <w:rFonts w:cs="Calibri"/>
        </w:rPr>
        <w:fldChar w:fldCharType="separate"/>
      </w:r>
      <w:r w:rsidR="002E19E4" w:rsidRPr="00A06DF7">
        <w:rPr>
          <w:rFonts w:cs="Calibri"/>
        </w:rPr>
        <w:t>(Abbott et al., 2014; Abbott &amp; Volberg, 1991, 2000)</w:t>
      </w:r>
      <w:r w:rsidR="005C0F26" w:rsidRPr="00A06DF7">
        <w:rPr>
          <w:rFonts w:cs="Calibri"/>
        </w:rPr>
        <w:fldChar w:fldCharType="end"/>
      </w:r>
      <w:r w:rsidRPr="00A06DF7">
        <w:rPr>
          <w:rFonts w:cs="Calibri"/>
        </w:rPr>
        <w:t>.</w:t>
      </w:r>
    </w:p>
    <w:p w14:paraId="75DD9349" w14:textId="259A1EC5" w:rsidR="000E575D" w:rsidRPr="00A06DF7" w:rsidRDefault="00071623" w:rsidP="00071623">
      <w:pPr>
        <w:rPr>
          <w:rFonts w:cs="Calibri"/>
        </w:rPr>
      </w:pPr>
      <w:r w:rsidRPr="00A06DF7">
        <w:rPr>
          <w:rFonts w:cs="Calibri"/>
        </w:rPr>
        <w:fldChar w:fldCharType="begin"/>
      </w:r>
      <w:r w:rsidRPr="00A06DF7">
        <w:rPr>
          <w:rFonts w:cs="Calibri"/>
        </w:rPr>
        <w:instrText xml:space="preserve"> REF _Ref152661636 \h </w:instrText>
      </w:r>
      <w:r w:rsidR="00A06DF7">
        <w:rPr>
          <w:rFonts w:cs="Calibri"/>
        </w:rPr>
        <w:instrText xml:space="preserve"> \* MERGEFORMAT </w:instrText>
      </w:r>
      <w:r w:rsidRPr="00A06DF7">
        <w:rPr>
          <w:rFonts w:cs="Calibri"/>
        </w:rPr>
      </w:r>
      <w:r w:rsidRPr="00A06DF7">
        <w:rPr>
          <w:rFonts w:cs="Calibri"/>
        </w:rPr>
        <w:fldChar w:fldCharType="separate"/>
      </w:r>
      <w:r w:rsidR="004F4DA7" w:rsidRPr="5192E535">
        <w:rPr>
          <w:rFonts w:cs="Calibri"/>
        </w:rPr>
        <w:t xml:space="preserve">Figure </w:t>
      </w:r>
      <w:r w:rsidR="004F4DA7">
        <w:rPr>
          <w:rFonts w:cs="Calibri"/>
          <w:noProof/>
        </w:rPr>
        <w:t>11</w:t>
      </w:r>
      <w:r w:rsidRPr="00A06DF7">
        <w:rPr>
          <w:rFonts w:cs="Calibri"/>
        </w:rPr>
        <w:fldChar w:fldCharType="end"/>
      </w:r>
      <w:r w:rsidRPr="00A06DF7">
        <w:rPr>
          <w:rFonts w:cs="Calibri"/>
        </w:rPr>
        <w:t xml:space="preserve"> shows the prevalence of moderate-risk and problem gambling </w:t>
      </w:r>
      <w:r w:rsidR="005F3B48" w:rsidRPr="00A06DF7">
        <w:rPr>
          <w:rFonts w:cs="Calibri"/>
        </w:rPr>
        <w:t>by ethnicity between 2016 and 2020</w:t>
      </w:r>
      <w:r w:rsidR="00F46D62" w:rsidRPr="00A06DF7">
        <w:rPr>
          <w:rFonts w:cs="Calibri"/>
        </w:rPr>
        <w:t xml:space="preserve"> </w:t>
      </w:r>
      <w:r w:rsidR="005B6B37" w:rsidRPr="00A06DF7">
        <w:rPr>
          <w:rFonts w:cs="Calibri"/>
        </w:rPr>
        <w:t xml:space="preserve">measured by the HLS </w:t>
      </w:r>
      <w:r w:rsidR="00F46D62" w:rsidRPr="00A06DF7">
        <w:rPr>
          <w:rFonts w:cs="Calibri"/>
        </w:rPr>
        <w:fldChar w:fldCharType="begin"/>
      </w:r>
      <w:r w:rsidR="00715B07" w:rsidRPr="00A06DF7">
        <w:rPr>
          <w:rFonts w:cs="Calibri"/>
        </w:rPr>
        <w:instrText xml:space="preserve"> ADDIN ZOTERO_ITEM CSL_CITATION {"citationID":"K6jekoiM","properties":{"formattedCitation":"(Te Whatu Ora, 2020)","plainCitation":"(Te Whatu Ora, 2020)","noteIndex":0},"citationItems":[{"id":1332,"uris":["http://zotero.org/users/11111291/items/7BATMKQU"],"itemData":{"id":1332,"type":"dataset","title":"Health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00F46D62" w:rsidRPr="00A06DF7">
        <w:rPr>
          <w:rFonts w:cs="Calibri"/>
        </w:rPr>
        <w:fldChar w:fldCharType="separate"/>
      </w:r>
      <w:r w:rsidR="00F46D62" w:rsidRPr="00A06DF7">
        <w:rPr>
          <w:rFonts w:cs="Calibri"/>
        </w:rPr>
        <w:t>(Te Whatu Ora, 2020)</w:t>
      </w:r>
      <w:r w:rsidR="00F46D62" w:rsidRPr="00A06DF7">
        <w:rPr>
          <w:rFonts w:cs="Calibri"/>
        </w:rPr>
        <w:fldChar w:fldCharType="end"/>
      </w:r>
      <w:r w:rsidR="005F3B48" w:rsidRPr="00A06DF7">
        <w:rPr>
          <w:rFonts w:cs="Calibri"/>
        </w:rPr>
        <w:t xml:space="preserve">. </w:t>
      </w:r>
      <w:r w:rsidR="00B82DBF" w:rsidRPr="00A06DF7">
        <w:rPr>
          <w:rFonts w:cs="Calibri"/>
        </w:rPr>
        <w:t xml:space="preserve">Prevalence </w:t>
      </w:r>
      <w:r w:rsidR="001D5223" w:rsidRPr="00A06DF7">
        <w:rPr>
          <w:rFonts w:cs="Calibri"/>
        </w:rPr>
        <w:t>of</w:t>
      </w:r>
      <w:r w:rsidR="00B82DBF" w:rsidRPr="00A06DF7">
        <w:rPr>
          <w:rFonts w:cs="Calibri"/>
        </w:rPr>
        <w:t xml:space="preserve"> h</w:t>
      </w:r>
      <w:r w:rsidR="009A7200" w:rsidRPr="00A06DF7">
        <w:rPr>
          <w:rFonts w:cs="Calibri"/>
        </w:rPr>
        <w:t xml:space="preserve">armful </w:t>
      </w:r>
      <w:r w:rsidR="00CE17F9" w:rsidRPr="00A06DF7">
        <w:rPr>
          <w:rFonts w:cs="Calibri"/>
        </w:rPr>
        <w:t>g</w:t>
      </w:r>
      <w:r w:rsidR="009A7200" w:rsidRPr="00A06DF7">
        <w:rPr>
          <w:rFonts w:cs="Calibri"/>
        </w:rPr>
        <w:t>ambling among Māori</w:t>
      </w:r>
      <w:r w:rsidR="00CF018E" w:rsidRPr="00A06DF7">
        <w:rPr>
          <w:rFonts w:cs="Calibri"/>
        </w:rPr>
        <w:t xml:space="preserve"> and </w:t>
      </w:r>
      <w:r w:rsidR="009A7200" w:rsidRPr="00A06DF7">
        <w:rPr>
          <w:rFonts w:cs="Calibri"/>
        </w:rPr>
        <w:t xml:space="preserve">Pacific </w:t>
      </w:r>
      <w:r w:rsidR="00CF018E" w:rsidRPr="00A06DF7">
        <w:rPr>
          <w:rFonts w:cs="Calibri"/>
        </w:rPr>
        <w:t>remains higher than</w:t>
      </w:r>
      <w:r w:rsidR="009A7200" w:rsidRPr="00A06DF7">
        <w:rPr>
          <w:rFonts w:cs="Calibri"/>
        </w:rPr>
        <w:t xml:space="preserve"> NZ European/Other </w:t>
      </w:r>
      <w:r w:rsidR="009A7AED" w:rsidRPr="00A06DF7">
        <w:rPr>
          <w:rFonts w:cs="Calibri"/>
        </w:rPr>
        <w:t>and</w:t>
      </w:r>
      <w:r w:rsidR="00187948" w:rsidRPr="00A06DF7">
        <w:rPr>
          <w:rFonts w:cs="Calibri"/>
        </w:rPr>
        <w:t xml:space="preserve"> Asian individuals. </w:t>
      </w:r>
      <w:r w:rsidR="00CF018E" w:rsidRPr="00A06DF7">
        <w:rPr>
          <w:rFonts w:cs="Calibri"/>
        </w:rPr>
        <w:t>There were no statistically significant changes in harmful gambling rates by ethnicity between 2018 and 2020</w:t>
      </w:r>
      <w:r w:rsidR="009A7AED" w:rsidRPr="00A06DF7">
        <w:rPr>
          <w:rFonts w:cs="Calibri"/>
        </w:rPr>
        <w:t xml:space="preserve">. </w:t>
      </w:r>
    </w:p>
    <w:p w14:paraId="545F67BC" w14:textId="46EF1BB4" w:rsidR="007D7D39" w:rsidRPr="00A06DF7" w:rsidRDefault="00690A6D" w:rsidP="00690A6D">
      <w:pPr>
        <w:pStyle w:val="Caption"/>
        <w:rPr>
          <w:rFonts w:cs="Calibri"/>
          <w:sz w:val="22"/>
          <w:szCs w:val="22"/>
        </w:rPr>
      </w:pPr>
      <w:bookmarkStart w:id="175" w:name="_Ref152661636"/>
      <w:bookmarkStart w:id="176" w:name="_Toc166580306"/>
      <w:r w:rsidRPr="5192E535">
        <w:rPr>
          <w:rFonts w:cs="Calibri"/>
          <w:sz w:val="22"/>
          <w:szCs w:val="22"/>
        </w:rPr>
        <w:lastRenderedPageBreak/>
        <w:t xml:space="preserve">Figure </w:t>
      </w:r>
      <w:r w:rsidRPr="5192E535">
        <w:rPr>
          <w:rFonts w:cs="Calibri"/>
          <w:sz w:val="22"/>
          <w:szCs w:val="22"/>
        </w:rPr>
        <w:fldChar w:fldCharType="begin"/>
      </w:r>
      <w:r w:rsidRPr="5192E535">
        <w:rPr>
          <w:rFonts w:cs="Calibri"/>
          <w:sz w:val="22"/>
          <w:szCs w:val="22"/>
        </w:rPr>
        <w:instrText xml:space="preserve"> SEQ Figure \* ARABIC </w:instrText>
      </w:r>
      <w:r w:rsidRPr="5192E535">
        <w:rPr>
          <w:rFonts w:cs="Calibri"/>
          <w:sz w:val="22"/>
          <w:szCs w:val="22"/>
        </w:rPr>
        <w:fldChar w:fldCharType="separate"/>
      </w:r>
      <w:r w:rsidR="004F4DA7">
        <w:rPr>
          <w:rFonts w:cs="Calibri"/>
          <w:noProof/>
          <w:sz w:val="22"/>
          <w:szCs w:val="22"/>
        </w:rPr>
        <w:t>11</w:t>
      </w:r>
      <w:r w:rsidRPr="5192E535">
        <w:rPr>
          <w:rFonts w:cs="Calibri"/>
          <w:noProof/>
          <w:sz w:val="22"/>
          <w:szCs w:val="22"/>
        </w:rPr>
        <w:fldChar w:fldCharType="end"/>
      </w:r>
      <w:bookmarkEnd w:id="175"/>
      <w:r w:rsidR="007B329D" w:rsidRPr="5192E535">
        <w:rPr>
          <w:rFonts w:cs="Calibri"/>
          <w:sz w:val="22"/>
          <w:szCs w:val="22"/>
        </w:rPr>
        <w:t xml:space="preserve">: </w:t>
      </w:r>
      <w:r w:rsidRPr="5192E535">
        <w:rPr>
          <w:rFonts w:cs="Calibri"/>
          <w:sz w:val="22"/>
          <w:szCs w:val="22"/>
        </w:rPr>
        <w:t xml:space="preserve">Prevalence of moderate-risk and problem gambling by ethnicity </w:t>
      </w:r>
      <w:r w:rsidRPr="5192E535">
        <w:rPr>
          <w:rFonts w:cs="Calibri"/>
          <w:sz w:val="22"/>
          <w:szCs w:val="22"/>
        </w:rPr>
        <w:fldChar w:fldCharType="begin"/>
      </w:r>
      <w:r w:rsidRPr="5192E535">
        <w:rPr>
          <w:rFonts w:cs="Calibri"/>
          <w:sz w:val="22"/>
          <w:szCs w:val="22"/>
        </w:rPr>
        <w:instrText xml:space="preserve"> ADDIN ZOTERO_ITEM CSL_CITATION {"citationID":"gUsz4MxM","properties":{"formattedCitation":"(Te Whatu Ora, 2020)","plainCitation":"(Te Whatu Ora, 2020)","noteIndex":0},"citationItems":[{"id":1332,"uris":["http://zotero.org/users/11111291/items/7BATMKQU"],"itemData":{"id":1332,"type":"dataset","title":"Health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Pr="5192E535">
        <w:rPr>
          <w:rFonts w:cs="Calibri"/>
          <w:sz w:val="22"/>
          <w:szCs w:val="22"/>
        </w:rPr>
        <w:fldChar w:fldCharType="separate"/>
      </w:r>
      <w:r w:rsidRPr="5192E535">
        <w:rPr>
          <w:rFonts w:cs="Calibri"/>
          <w:sz w:val="22"/>
          <w:szCs w:val="22"/>
        </w:rPr>
        <w:t>(Te Whatu Ora, 2020)</w:t>
      </w:r>
      <w:bookmarkEnd w:id="176"/>
      <w:r w:rsidRPr="5192E535">
        <w:rPr>
          <w:rFonts w:cs="Calibri"/>
          <w:sz w:val="22"/>
          <w:szCs w:val="22"/>
        </w:rPr>
        <w:fldChar w:fldCharType="end"/>
      </w:r>
    </w:p>
    <w:p w14:paraId="4123E329" w14:textId="70AE017A" w:rsidR="00690A6D" w:rsidRPr="00A06DF7" w:rsidRDefault="00690A6D" w:rsidP="007D7D39">
      <w:pPr>
        <w:rPr>
          <w:rFonts w:cs="Calibri"/>
        </w:rPr>
      </w:pPr>
      <w:r w:rsidRPr="00A06DF7">
        <w:rPr>
          <w:rFonts w:cs="Calibri"/>
          <w:noProof/>
        </w:rPr>
        <w:drawing>
          <wp:inline distT="0" distB="0" distL="0" distR="0" wp14:anchorId="5E7B94AA" wp14:editId="2068B5A9">
            <wp:extent cx="5731510" cy="3435985"/>
            <wp:effectExtent l="0" t="0" r="2540" b="0"/>
            <wp:docPr id="9" name="Graphic 9" descr="A line chart showing the prevalence of moderate-risk and problem gambling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A line chart showing the prevalence of moderate-risk and problem gambling by ethnicity"/>
                    <pic:cNvPicPr/>
                  </pic:nvPicPr>
                  <pic:blipFill>
                    <a:blip r:embed="rId35">
                      <a:extLst>
                        <a:ext uri="{96DAC541-7B7A-43D3-8B79-37D633B846F1}">
                          <asvg:svgBlip xmlns:asvg="http://schemas.microsoft.com/office/drawing/2016/SVG/main" r:embed="rId36"/>
                        </a:ext>
                      </a:extLst>
                    </a:blip>
                    <a:stretch>
                      <a:fillRect/>
                    </a:stretch>
                  </pic:blipFill>
                  <pic:spPr>
                    <a:xfrm>
                      <a:off x="0" y="0"/>
                      <a:ext cx="5731510" cy="3435985"/>
                    </a:xfrm>
                    <a:prstGeom prst="rect">
                      <a:avLst/>
                    </a:prstGeom>
                  </pic:spPr>
                </pic:pic>
              </a:graphicData>
            </a:graphic>
          </wp:inline>
        </w:drawing>
      </w:r>
    </w:p>
    <w:p w14:paraId="46820B4D" w14:textId="71A8F0A2" w:rsidR="00CC0D74" w:rsidRPr="00A06DF7" w:rsidRDefault="00E4346D" w:rsidP="00CC0D74">
      <w:pPr>
        <w:rPr>
          <w:rFonts w:cs="Calibri"/>
        </w:rPr>
      </w:pPr>
      <w:bookmarkStart w:id="177" w:name="_Toc65250314"/>
      <w:bookmarkStart w:id="178" w:name="_Toc76469789"/>
      <w:r w:rsidRPr="00A06DF7">
        <w:rPr>
          <w:rFonts w:cs="Calibri"/>
        </w:rPr>
        <w:t xml:space="preserve">Māori and Pacific continue to be disproportionately affected by </w:t>
      </w:r>
      <w:r w:rsidR="001E2F84" w:rsidRPr="00A06DF7">
        <w:rPr>
          <w:rFonts w:cs="Calibri"/>
        </w:rPr>
        <w:t>gambling harm relative to Asians and NZ European/Other</w:t>
      </w:r>
      <w:r w:rsidR="005A72C1" w:rsidRPr="00A06DF7">
        <w:rPr>
          <w:rFonts w:cs="Calibri"/>
        </w:rPr>
        <w:t>.</w:t>
      </w:r>
      <w:r w:rsidR="006D439F" w:rsidRPr="00A06DF7">
        <w:rPr>
          <w:rFonts w:cs="Calibri"/>
        </w:rPr>
        <w:t xml:space="preserve"> The equity-based subgroups comparison data in the HLS indicates that Māori are 3.13 times more likely to be moderate-risk or problem gamblers than non-Māori and non-Pacific, and Pacific peoples are 2.56 times more likely to be moderate-risk or problem gamblers than non-Māori and non-Pacific peoples.</w:t>
      </w:r>
      <w:r w:rsidR="0034016B">
        <w:rPr>
          <w:rFonts w:cs="Calibri"/>
        </w:rPr>
        <w:t xml:space="preserve"> </w:t>
      </w:r>
      <w:r w:rsidR="000151C5">
        <w:rPr>
          <w:rFonts w:cs="Calibri"/>
        </w:rPr>
        <w:t xml:space="preserve">Moderate-risk and problem gambling are the highest levels </w:t>
      </w:r>
      <w:r w:rsidR="00FB1AB6">
        <w:rPr>
          <w:rFonts w:cs="Calibri"/>
        </w:rPr>
        <w:t xml:space="preserve">of risk as defined by the PGSI </w:t>
      </w:r>
      <w:r w:rsidR="00FB1AB6">
        <w:rPr>
          <w:rFonts w:cs="Calibri"/>
        </w:rPr>
        <w:fldChar w:fldCharType="begin"/>
      </w:r>
      <w:r w:rsidR="00FB1AB6">
        <w:rPr>
          <w:rFonts w:cs="Calibri"/>
        </w:rPr>
        <w:instrText xml:space="preserve"> ADDIN ZOTERO_ITEM CSL_CITATION {"citationID":"ksLayDZR","properties":{"formattedCitation":"(Ministry of Health, n.d.)","plainCitation":"(Ministry of Health, n.d.)","noteIndex":0},"citationItems":[{"id":1502,"uris":["http://zotero.org/users/11111291/items/YIFPHH8H"],"itemData":{"id":1502,"type":"webpage","abstract":"Gambling harm is a significant social and economic issue that is felt across a spectrum from low to severe. There are several ways to measure gambling harm.","container-title":"Ministry of Health","language":"en","title":"Gambling harm","URL":"https://www.health.govt.nz/our-work/mental-health-and-addiction/addiction/gambling-harm/gambling-harm-research-and-evaluation/gambling-harm","author":[{"literal":"Ministry of Health"}],"accessed":{"date-parts":[["2024",1,16]]}}}],"schema":"https://github.com/citation-style-language/schema/raw/master/csl-citation.json"} </w:instrText>
      </w:r>
      <w:r w:rsidR="00FB1AB6">
        <w:rPr>
          <w:rFonts w:cs="Calibri"/>
        </w:rPr>
        <w:fldChar w:fldCharType="separate"/>
      </w:r>
      <w:r w:rsidR="00FB1AB6" w:rsidRPr="00FB1AB6">
        <w:rPr>
          <w:rFonts w:cs="Calibri"/>
        </w:rPr>
        <w:t>(Ministry of Health, n.d.)</w:t>
      </w:r>
      <w:r w:rsidR="00FB1AB6">
        <w:rPr>
          <w:rFonts w:cs="Calibri"/>
        </w:rPr>
        <w:fldChar w:fldCharType="end"/>
      </w:r>
      <w:r w:rsidR="00AE3554">
        <w:rPr>
          <w:rFonts w:cs="Calibri"/>
        </w:rPr>
        <w:t xml:space="preserve"> </w:t>
      </w:r>
      <w:r w:rsidR="00FB1AB6">
        <w:rPr>
          <w:rFonts w:cs="Calibri"/>
        </w:rPr>
        <w:t xml:space="preserve">(see Section </w:t>
      </w:r>
      <w:r w:rsidR="00FB1AB6">
        <w:rPr>
          <w:rFonts w:cs="Calibri"/>
        </w:rPr>
        <w:fldChar w:fldCharType="begin"/>
      </w:r>
      <w:r w:rsidR="00FB1AB6">
        <w:rPr>
          <w:rFonts w:cs="Calibri"/>
        </w:rPr>
        <w:instrText xml:space="preserve"> REF _Ref65049010 \r \h </w:instrText>
      </w:r>
      <w:r w:rsidR="00FB1AB6">
        <w:rPr>
          <w:rFonts w:cs="Calibri"/>
        </w:rPr>
      </w:r>
      <w:r w:rsidR="00FB1AB6">
        <w:rPr>
          <w:rFonts w:cs="Calibri"/>
        </w:rPr>
        <w:fldChar w:fldCharType="separate"/>
      </w:r>
      <w:r w:rsidR="004F4DA7">
        <w:rPr>
          <w:rFonts w:cs="Calibri"/>
        </w:rPr>
        <w:t>2.2</w:t>
      </w:r>
      <w:r w:rsidR="00FB1AB6">
        <w:rPr>
          <w:rFonts w:cs="Calibri"/>
        </w:rPr>
        <w:fldChar w:fldCharType="end"/>
      </w:r>
      <w:r w:rsidR="00FB1AB6">
        <w:rPr>
          <w:rFonts w:cs="Calibri"/>
        </w:rPr>
        <w:t>)</w:t>
      </w:r>
      <w:r w:rsidR="00AE3554">
        <w:rPr>
          <w:rFonts w:cs="Calibri"/>
        </w:rPr>
        <w:t>.</w:t>
      </w:r>
    </w:p>
    <w:p w14:paraId="40FFFC9A" w14:textId="1D97510F" w:rsidR="007D7D39" w:rsidRPr="00A06DF7" w:rsidRDefault="007D7D39">
      <w:pPr>
        <w:pStyle w:val="Heading6"/>
        <w:rPr>
          <w:rFonts w:cs="Calibri"/>
        </w:rPr>
      </w:pPr>
      <w:bookmarkStart w:id="179" w:name="_Toc166507390"/>
      <w:r w:rsidRPr="00A06DF7">
        <w:rPr>
          <w:rFonts w:cs="Calibri"/>
        </w:rPr>
        <w:t>Youth gambling</w:t>
      </w:r>
      <w:bookmarkEnd w:id="177"/>
      <w:r w:rsidRPr="00A06DF7">
        <w:rPr>
          <w:rFonts w:cs="Calibri"/>
        </w:rPr>
        <w:t xml:space="preserve"> rates </w:t>
      </w:r>
      <w:bookmarkEnd w:id="178"/>
      <w:r w:rsidR="00D21BD9" w:rsidRPr="00A06DF7">
        <w:rPr>
          <w:rFonts w:cs="Calibri"/>
        </w:rPr>
        <w:t>have remained constant</w:t>
      </w:r>
      <w:r w:rsidR="00F224AE" w:rsidRPr="00A06DF7">
        <w:rPr>
          <w:rFonts w:cs="Calibri"/>
        </w:rPr>
        <w:t xml:space="preserve">, but the prevalence of harmful gambling has </w:t>
      </w:r>
      <w:r w:rsidR="00082B84" w:rsidRPr="00A06DF7">
        <w:rPr>
          <w:rFonts w:cs="Calibri"/>
        </w:rPr>
        <w:t>reduced</w:t>
      </w:r>
      <w:bookmarkEnd w:id="179"/>
    </w:p>
    <w:p w14:paraId="3C6A2D55" w14:textId="77D752AB" w:rsidR="00D21BD9" w:rsidRPr="00A06DF7" w:rsidRDefault="0087014E" w:rsidP="00D21BD9">
      <w:pPr>
        <w:rPr>
          <w:rFonts w:cs="Calibri"/>
        </w:rPr>
      </w:pPr>
      <w:r w:rsidRPr="00A06DF7">
        <w:rPr>
          <w:rFonts w:cs="Calibri"/>
        </w:rPr>
        <w:t xml:space="preserve">Results from the 2020 HLS show that youth gambling rates have remained relatively </w:t>
      </w:r>
      <w:r w:rsidR="00E409C1" w:rsidRPr="00A06DF7">
        <w:rPr>
          <w:rFonts w:cs="Calibri"/>
        </w:rPr>
        <w:t>un</w:t>
      </w:r>
      <w:r w:rsidRPr="00A06DF7">
        <w:rPr>
          <w:rFonts w:cs="Calibri"/>
        </w:rPr>
        <w:t>changed</w:t>
      </w:r>
      <w:r w:rsidR="0064293B" w:rsidRPr="00A06DF7">
        <w:rPr>
          <w:rFonts w:cs="Calibri"/>
        </w:rPr>
        <w:t>. In 2018, 45.4</w:t>
      </w:r>
      <w:r w:rsidR="00D9625C" w:rsidRPr="00A06DF7">
        <w:rPr>
          <w:rFonts w:cs="Calibri"/>
        </w:rPr>
        <w:t xml:space="preserve"> per cent</w:t>
      </w:r>
      <w:r w:rsidR="0064293B" w:rsidRPr="00A06DF7">
        <w:rPr>
          <w:rFonts w:cs="Calibri"/>
        </w:rPr>
        <w:t xml:space="preserve"> of people aged 15-24 had gambled in the last year</w:t>
      </w:r>
      <w:r w:rsidR="003A6995" w:rsidRPr="00A06DF7">
        <w:rPr>
          <w:rFonts w:cs="Calibri"/>
        </w:rPr>
        <w:t xml:space="preserve">, and </w:t>
      </w:r>
      <w:r w:rsidR="005A6375" w:rsidRPr="00A06DF7">
        <w:rPr>
          <w:rFonts w:cs="Calibri"/>
        </w:rPr>
        <w:t>this figure held steady at 45.7</w:t>
      </w:r>
      <w:r w:rsidR="00D9625C" w:rsidRPr="00A06DF7">
        <w:rPr>
          <w:rFonts w:cs="Calibri"/>
        </w:rPr>
        <w:t xml:space="preserve"> per cent</w:t>
      </w:r>
      <w:r w:rsidR="005A6375" w:rsidRPr="00A06DF7">
        <w:rPr>
          <w:rFonts w:cs="Calibri"/>
        </w:rPr>
        <w:t xml:space="preserve"> in 2020</w:t>
      </w:r>
      <w:r w:rsidR="00DD60FF" w:rsidRPr="00A06DF7">
        <w:rPr>
          <w:rFonts w:cs="Calibri"/>
        </w:rPr>
        <w:t xml:space="preserve"> </w:t>
      </w:r>
      <w:r w:rsidR="006D439F" w:rsidRPr="00A06DF7">
        <w:rPr>
          <w:rFonts w:cs="Calibri"/>
        </w:rPr>
        <w:t>with no statistically significant changes</w:t>
      </w:r>
      <w:r w:rsidR="00DD60FF" w:rsidRPr="00A06DF7">
        <w:rPr>
          <w:rFonts w:cs="Calibri"/>
        </w:rPr>
        <w:t xml:space="preserve"> </w:t>
      </w:r>
      <w:r w:rsidR="0042653B" w:rsidRPr="00A06DF7">
        <w:rPr>
          <w:rFonts w:cs="Calibri"/>
        </w:rPr>
        <w:fldChar w:fldCharType="begin"/>
      </w:r>
      <w:r w:rsidR="00715B07" w:rsidRPr="00A06DF7">
        <w:rPr>
          <w:rFonts w:cs="Calibri"/>
        </w:rPr>
        <w:instrText xml:space="preserve"> ADDIN ZOTERO_ITEM CSL_CITATION {"citationID":"HyivAjyK","properties":{"formattedCitation":"(Te Whatu Ora, 2020)","plainCitation":"(Te Whatu Ora, 2020)","noteIndex":0},"citationItems":[{"id":1332,"uris":["http://zotero.org/users/11111291/items/7BATMKQU"],"itemData":{"id":1332,"type":"dataset","title":"Health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0042653B" w:rsidRPr="00A06DF7">
        <w:rPr>
          <w:rFonts w:cs="Calibri"/>
        </w:rPr>
        <w:fldChar w:fldCharType="separate"/>
      </w:r>
      <w:r w:rsidR="0042653B" w:rsidRPr="00A06DF7">
        <w:rPr>
          <w:rFonts w:cs="Calibri"/>
        </w:rPr>
        <w:t>(Te Whatu Ora, 2020)</w:t>
      </w:r>
      <w:r w:rsidR="0042653B" w:rsidRPr="00A06DF7">
        <w:rPr>
          <w:rFonts w:cs="Calibri"/>
        </w:rPr>
        <w:fldChar w:fldCharType="end"/>
      </w:r>
      <w:r w:rsidR="005A6375" w:rsidRPr="00A06DF7">
        <w:rPr>
          <w:rFonts w:cs="Calibri"/>
        </w:rPr>
        <w:t xml:space="preserve">. </w:t>
      </w:r>
      <w:r w:rsidR="006D439F" w:rsidRPr="00A06DF7">
        <w:rPr>
          <w:rFonts w:cs="Calibri"/>
        </w:rPr>
        <w:t>T</w:t>
      </w:r>
      <w:r w:rsidR="00F7365C" w:rsidRPr="00A06DF7">
        <w:rPr>
          <w:rFonts w:cs="Calibri"/>
        </w:rPr>
        <w:t xml:space="preserve">he prevalence of moderate risk and problem gambling </w:t>
      </w:r>
      <w:r w:rsidR="006D439F" w:rsidRPr="00A06DF7">
        <w:rPr>
          <w:rFonts w:cs="Calibri"/>
        </w:rPr>
        <w:t>for young adults aged 15-24 was</w:t>
      </w:r>
      <w:r w:rsidR="00F7365C" w:rsidRPr="00A06DF7">
        <w:rPr>
          <w:rFonts w:cs="Calibri"/>
        </w:rPr>
        <w:t xml:space="preserve"> 1.6</w:t>
      </w:r>
      <w:r w:rsidR="00D9625C" w:rsidRPr="00A06DF7">
        <w:rPr>
          <w:rFonts w:cs="Calibri"/>
        </w:rPr>
        <w:t xml:space="preserve"> per cent</w:t>
      </w:r>
      <w:r w:rsidR="00F7365C" w:rsidRPr="00A06DF7">
        <w:rPr>
          <w:rFonts w:cs="Calibri"/>
        </w:rPr>
        <w:t xml:space="preserve"> in 2020</w:t>
      </w:r>
      <w:r w:rsidR="00F224AE" w:rsidRPr="00A06DF7">
        <w:rPr>
          <w:rFonts w:cs="Calibri"/>
        </w:rPr>
        <w:t>.</w:t>
      </w:r>
      <w:r w:rsidR="00493CD8" w:rsidRPr="00A06DF7">
        <w:rPr>
          <w:rFonts w:cs="Calibri"/>
        </w:rPr>
        <w:t xml:space="preserve"> </w:t>
      </w:r>
    </w:p>
    <w:p w14:paraId="723AE7D4" w14:textId="39367E10" w:rsidR="00E62FF1" w:rsidRPr="00A06DF7" w:rsidRDefault="00E62FF1" w:rsidP="00D21BD9">
      <w:pPr>
        <w:rPr>
          <w:rFonts w:cs="Calibri"/>
        </w:rPr>
      </w:pPr>
      <w:r w:rsidRPr="00A06DF7">
        <w:rPr>
          <w:rFonts w:cs="Calibri"/>
        </w:rPr>
        <w:t>The Problem Gambling Foundation</w:t>
      </w:r>
      <w:r w:rsidR="000F4592" w:rsidRPr="00A06DF7">
        <w:rPr>
          <w:rFonts w:cs="Calibri"/>
        </w:rPr>
        <w:t xml:space="preserve"> recently </w:t>
      </w:r>
      <w:r w:rsidRPr="00A06DF7">
        <w:rPr>
          <w:rFonts w:cs="Calibri"/>
        </w:rPr>
        <w:t xml:space="preserve">launched a campaign </w:t>
      </w:r>
      <w:r w:rsidR="00037A06" w:rsidRPr="00A06DF7">
        <w:rPr>
          <w:rFonts w:cs="Calibri"/>
        </w:rPr>
        <w:t xml:space="preserve">due to concerns over youth gambling </w:t>
      </w:r>
      <w:r w:rsidR="009D333D" w:rsidRPr="00A06DF7">
        <w:rPr>
          <w:rFonts w:cs="Calibri"/>
        </w:rPr>
        <w:t>in New Zealand</w:t>
      </w:r>
      <w:r w:rsidR="003C7BA0" w:rsidRPr="00A06DF7">
        <w:rPr>
          <w:rFonts w:cs="Calibri"/>
        </w:rPr>
        <w:t xml:space="preserve"> </w:t>
      </w:r>
      <w:r w:rsidR="003C7BA0" w:rsidRPr="00A06DF7">
        <w:rPr>
          <w:rFonts w:cs="Calibri"/>
        </w:rPr>
        <w:fldChar w:fldCharType="begin"/>
      </w:r>
      <w:r w:rsidR="00715B07" w:rsidRPr="00A06DF7">
        <w:rPr>
          <w:rFonts w:cs="Calibri"/>
        </w:rPr>
        <w:instrText xml:space="preserve"> ADDIN ZOTERO_ITEM CSL_CITATION {"citationID":"MOeNYH7y","properties":{"formattedCitation":"(Problem Gambling Foundation, 2023b)","plainCitation":"(Problem Gambling Foundation, 2023b)","noteIndex":0},"citationItems":[{"id":1429,"uris":["http://zotero.org/users/11111291/items/GK8QXRL3"],"itemData":{"id":1429,"type":"webpage","abstract":"Problem Gambling Foundation","language":"en","title":"PR: Concern over young people gambling prompts awareness campaign","URL":"https://www.pgf.nz/blog/pr-concern-over-young-people-gambling-prompts-awareness-campaign","author":[{"literal":"Problem Gambling Foundation"}],"accessed":{"date-parts":[["2023",12,6]]},"issued":{"date-parts":[["2023"]]}}}],"schema":"https://github.com/citation-style-language/schema/raw/master/csl-citation.json"} </w:instrText>
      </w:r>
      <w:r w:rsidR="003C7BA0" w:rsidRPr="00A06DF7">
        <w:rPr>
          <w:rFonts w:cs="Calibri"/>
        </w:rPr>
        <w:fldChar w:fldCharType="separate"/>
      </w:r>
      <w:r w:rsidR="003C7BA0" w:rsidRPr="00A06DF7">
        <w:rPr>
          <w:rFonts w:cs="Calibri"/>
        </w:rPr>
        <w:t>(Problem Gambling Foundation, 2023b)</w:t>
      </w:r>
      <w:r w:rsidR="003C7BA0" w:rsidRPr="00A06DF7">
        <w:rPr>
          <w:rFonts w:cs="Calibri"/>
        </w:rPr>
        <w:fldChar w:fldCharType="end"/>
      </w:r>
      <w:r w:rsidR="000F4592" w:rsidRPr="00A06DF7">
        <w:rPr>
          <w:rFonts w:cs="Calibri"/>
        </w:rPr>
        <w:t xml:space="preserve">. </w:t>
      </w:r>
      <w:r w:rsidR="00974007" w:rsidRPr="00A06DF7">
        <w:rPr>
          <w:rFonts w:cs="Calibri"/>
        </w:rPr>
        <w:t>I</w:t>
      </w:r>
      <w:r w:rsidR="004F5C06" w:rsidRPr="00A06DF7">
        <w:rPr>
          <w:rFonts w:cs="Calibri"/>
        </w:rPr>
        <w:t>n the campaign are figures from the Youth19</w:t>
      </w:r>
      <w:r w:rsidR="00AC6A53" w:rsidRPr="00A06DF7">
        <w:rPr>
          <w:rFonts w:cs="Calibri"/>
        </w:rPr>
        <w:t xml:space="preserve"> stud</w:t>
      </w:r>
      <w:r w:rsidR="00763B36" w:rsidRPr="00A06DF7">
        <w:rPr>
          <w:rFonts w:cs="Calibri"/>
        </w:rPr>
        <w:t xml:space="preserve">y </w:t>
      </w:r>
      <w:r w:rsidR="004F5C06" w:rsidRPr="00A06DF7">
        <w:rPr>
          <w:rFonts w:cs="Calibri"/>
        </w:rPr>
        <w:t>which</w:t>
      </w:r>
      <w:r w:rsidR="00AC6A53" w:rsidRPr="00A06DF7">
        <w:rPr>
          <w:rFonts w:cs="Calibri"/>
        </w:rPr>
        <w:t xml:space="preserve"> found that </w:t>
      </w:r>
      <w:r w:rsidR="00745516" w:rsidRPr="00A06DF7">
        <w:rPr>
          <w:rFonts w:cs="Calibri"/>
        </w:rPr>
        <w:t xml:space="preserve">one in three </w:t>
      </w:r>
      <w:r w:rsidR="004F5C06" w:rsidRPr="00A06DF7">
        <w:rPr>
          <w:rFonts w:cs="Calibri"/>
        </w:rPr>
        <w:t>New Zealand secondary school students</w:t>
      </w:r>
      <w:r w:rsidR="00745516" w:rsidRPr="00A06DF7">
        <w:rPr>
          <w:rFonts w:cs="Calibri"/>
        </w:rPr>
        <w:t xml:space="preserve"> had </w:t>
      </w:r>
      <w:r w:rsidR="005A3671" w:rsidRPr="00A06DF7">
        <w:rPr>
          <w:rFonts w:cs="Calibri"/>
        </w:rPr>
        <w:t>been involved in gambling</w:t>
      </w:r>
      <w:r w:rsidR="00AB643C" w:rsidRPr="00A06DF7">
        <w:rPr>
          <w:rFonts w:cs="Calibri"/>
        </w:rPr>
        <w:t xml:space="preserve"> at some stage in their lives</w:t>
      </w:r>
      <w:r w:rsidR="004F5C06" w:rsidRPr="00A06DF7">
        <w:rPr>
          <w:rFonts w:cs="Calibri"/>
        </w:rPr>
        <w:t xml:space="preserve"> </w:t>
      </w:r>
      <w:r w:rsidR="005F6AF5" w:rsidRPr="00A06DF7">
        <w:rPr>
          <w:rFonts w:cs="Calibri"/>
        </w:rPr>
        <w:fldChar w:fldCharType="begin"/>
      </w:r>
      <w:r w:rsidR="005F6AF5" w:rsidRPr="00A06DF7">
        <w:rPr>
          <w:rFonts w:cs="Calibri"/>
        </w:rPr>
        <w:instrText xml:space="preserve"> ADDIN ZOTERO_ITEM CSL_CITATION {"citationID":"1PNuAPf1","properties":{"formattedCitation":"(Archer et al., 2021)","plainCitation":"(Archer et al., 2021)","noteIndex":0},"citationItems":[{"id":1548,"uris":["http://zotero.org/users/11111291/items/GUEG4ERD"],"itemData":{"id":1548,"type":"report","abstract":"This brief explores student gambling experiences, weekly spend and attitudes towards gambling harm prevention.","language":"en-NZ","publisher":"The Youth19 Researchers and The Adolescent Health Research Group","title":"Youth19 Gambling Brief","title-short":"Gambling","URL":"https://www.youth19.ac.nz/publications/gambling","author":[{"family":"Archer","given":"D"},{"family":"King-Finau","given":"T"},{"family":"Kuresa","given":"B"},{"family":"Fleming","given":"T"}],"accessed":{"date-parts":[["2024",2,16]]},"issued":{"date-parts":[["2021",9,17]]}}}],"schema":"https://github.com/citation-style-language/schema/raw/master/csl-citation.json"} </w:instrText>
      </w:r>
      <w:r w:rsidR="005F6AF5" w:rsidRPr="00A06DF7">
        <w:rPr>
          <w:rFonts w:cs="Calibri"/>
        </w:rPr>
        <w:fldChar w:fldCharType="separate"/>
      </w:r>
      <w:r w:rsidR="005F6AF5" w:rsidRPr="00A06DF7">
        <w:rPr>
          <w:rFonts w:cs="Calibri"/>
        </w:rPr>
        <w:t>(Archer et al., 2021)</w:t>
      </w:r>
      <w:r w:rsidR="005F6AF5" w:rsidRPr="00A06DF7">
        <w:rPr>
          <w:rFonts w:cs="Calibri"/>
        </w:rPr>
        <w:fldChar w:fldCharType="end"/>
      </w:r>
      <w:r w:rsidR="00745516" w:rsidRPr="00A06DF7">
        <w:rPr>
          <w:rFonts w:cs="Calibri"/>
        </w:rPr>
        <w:t>.</w:t>
      </w:r>
      <w:r w:rsidR="00CD4E85" w:rsidRPr="00A06DF7">
        <w:rPr>
          <w:rFonts w:cs="Calibri"/>
        </w:rPr>
        <w:t xml:space="preserve"> Of this subgroup</w:t>
      </w:r>
      <w:r w:rsidR="00C17932" w:rsidRPr="00A06DF7">
        <w:rPr>
          <w:rFonts w:cs="Calibri"/>
        </w:rPr>
        <w:t xml:space="preserve">, </w:t>
      </w:r>
      <w:r w:rsidR="002A745A" w:rsidRPr="00A06DF7">
        <w:rPr>
          <w:rFonts w:cs="Calibri"/>
        </w:rPr>
        <w:t xml:space="preserve">only </w:t>
      </w:r>
      <w:r w:rsidR="00C17932" w:rsidRPr="00A06DF7">
        <w:rPr>
          <w:rFonts w:cs="Calibri"/>
        </w:rPr>
        <w:t>11</w:t>
      </w:r>
      <w:r w:rsidR="00D9625C" w:rsidRPr="00A06DF7">
        <w:rPr>
          <w:rFonts w:cs="Calibri"/>
        </w:rPr>
        <w:t xml:space="preserve"> per cent</w:t>
      </w:r>
      <w:r w:rsidR="00C17932" w:rsidRPr="00A06DF7">
        <w:rPr>
          <w:rFonts w:cs="Calibri"/>
        </w:rPr>
        <w:t xml:space="preserve"> </w:t>
      </w:r>
      <w:r w:rsidR="006B09DC" w:rsidRPr="00A06DF7">
        <w:rPr>
          <w:rFonts w:cs="Calibri"/>
        </w:rPr>
        <w:t>were worried about their own gamblin</w:t>
      </w:r>
      <w:r w:rsidR="009F060E" w:rsidRPr="00A06DF7">
        <w:rPr>
          <w:rFonts w:cs="Calibri"/>
        </w:rPr>
        <w:t>g behaviour</w:t>
      </w:r>
      <w:r w:rsidR="006B09DC" w:rsidRPr="00A06DF7">
        <w:rPr>
          <w:rFonts w:cs="Calibri"/>
        </w:rPr>
        <w:t xml:space="preserve">. </w:t>
      </w:r>
    </w:p>
    <w:p w14:paraId="09D479C9" w14:textId="15CCD107" w:rsidR="007D7D39" w:rsidRDefault="007D7D39">
      <w:pPr>
        <w:pStyle w:val="Heading6"/>
      </w:pPr>
      <w:bookmarkStart w:id="180" w:name="_Toc76469790"/>
      <w:bookmarkStart w:id="181" w:name="_Toc166507391"/>
      <w:r w:rsidRPr="002F108B">
        <w:lastRenderedPageBreak/>
        <w:t>There are increased gambling harm risks for women</w:t>
      </w:r>
      <w:bookmarkEnd w:id="180"/>
      <w:bookmarkEnd w:id="181"/>
    </w:p>
    <w:p w14:paraId="49173A9A" w14:textId="4EEEB367" w:rsidR="00F62DA5" w:rsidRPr="00A06DF7" w:rsidRDefault="00B43EAD" w:rsidP="00362BEE">
      <w:pPr>
        <w:rPr>
          <w:rFonts w:cs="Calibri"/>
          <w:szCs w:val="20"/>
        </w:rPr>
      </w:pPr>
      <w:r w:rsidRPr="00A06DF7">
        <w:rPr>
          <w:rFonts w:cs="Calibri"/>
          <w:szCs w:val="20"/>
        </w:rPr>
        <w:t>G</w:t>
      </w:r>
      <w:r w:rsidR="00A87B56" w:rsidRPr="00A06DF7">
        <w:rPr>
          <w:rFonts w:cs="Calibri"/>
          <w:szCs w:val="20"/>
        </w:rPr>
        <w:t>ambling participation</w:t>
      </w:r>
      <w:r w:rsidR="00F95EC2" w:rsidRPr="00A06DF7">
        <w:rPr>
          <w:rFonts w:cs="Calibri"/>
          <w:szCs w:val="20"/>
        </w:rPr>
        <w:t xml:space="preserve"> for women </w:t>
      </w:r>
      <w:r w:rsidRPr="00A06DF7">
        <w:rPr>
          <w:rFonts w:cs="Calibri"/>
          <w:szCs w:val="20"/>
        </w:rPr>
        <w:t>and</w:t>
      </w:r>
      <w:r w:rsidR="00F95EC2" w:rsidRPr="00A06DF7">
        <w:rPr>
          <w:rFonts w:cs="Calibri"/>
          <w:szCs w:val="20"/>
        </w:rPr>
        <w:t xml:space="preserve"> men in any gambling activity</w:t>
      </w:r>
      <w:r w:rsidR="004A46A2" w:rsidRPr="00A06DF7">
        <w:rPr>
          <w:rFonts w:cs="Calibri"/>
          <w:szCs w:val="20"/>
        </w:rPr>
        <w:t xml:space="preserve"> </w:t>
      </w:r>
      <w:r w:rsidRPr="00A06DF7">
        <w:rPr>
          <w:rFonts w:cs="Calibri"/>
          <w:szCs w:val="20"/>
        </w:rPr>
        <w:t>has remained relatively equal</w:t>
      </w:r>
      <w:r w:rsidR="00F95EC2" w:rsidRPr="00A06DF7">
        <w:rPr>
          <w:rFonts w:cs="Calibri"/>
          <w:szCs w:val="20"/>
        </w:rPr>
        <w:t xml:space="preserve"> </w:t>
      </w:r>
      <w:r w:rsidR="000739D5" w:rsidRPr="00A06DF7">
        <w:rPr>
          <w:rFonts w:cs="Calibri"/>
          <w:szCs w:val="20"/>
        </w:rPr>
        <w:t>(69.5</w:t>
      </w:r>
      <w:r w:rsidR="00E36C48" w:rsidRPr="00A06DF7">
        <w:rPr>
          <w:rFonts w:cs="Calibri"/>
          <w:szCs w:val="20"/>
        </w:rPr>
        <w:t>%</w:t>
      </w:r>
      <w:r w:rsidR="000739D5" w:rsidRPr="00A06DF7">
        <w:rPr>
          <w:rFonts w:cs="Calibri"/>
          <w:szCs w:val="20"/>
        </w:rPr>
        <w:t xml:space="preserve"> </w:t>
      </w:r>
      <w:r w:rsidR="002F3DFC" w:rsidRPr="00A06DF7">
        <w:rPr>
          <w:rFonts w:cs="Calibri"/>
          <w:szCs w:val="20"/>
        </w:rPr>
        <w:t>vs.</w:t>
      </w:r>
      <w:r w:rsidR="000739D5" w:rsidRPr="00A06DF7">
        <w:rPr>
          <w:rFonts w:cs="Calibri"/>
          <w:szCs w:val="20"/>
        </w:rPr>
        <w:t xml:space="preserve"> 69</w:t>
      </w:r>
      <w:r w:rsidR="004F024B" w:rsidRPr="00A06DF7">
        <w:rPr>
          <w:rFonts w:cs="Calibri"/>
          <w:szCs w:val="20"/>
        </w:rPr>
        <w:t>.</w:t>
      </w:r>
      <w:r w:rsidR="000739D5" w:rsidRPr="00A06DF7">
        <w:rPr>
          <w:rFonts w:cs="Calibri"/>
          <w:szCs w:val="20"/>
        </w:rPr>
        <w:t>2</w:t>
      </w:r>
      <w:r w:rsidR="00E36C48" w:rsidRPr="00A06DF7">
        <w:rPr>
          <w:rFonts w:cs="Calibri"/>
          <w:szCs w:val="20"/>
        </w:rPr>
        <w:t>%</w:t>
      </w:r>
      <w:r w:rsidR="000739D5" w:rsidRPr="00A06DF7">
        <w:rPr>
          <w:rFonts w:cs="Calibri"/>
          <w:szCs w:val="20"/>
        </w:rPr>
        <w:t xml:space="preserve">) </w:t>
      </w:r>
      <w:r w:rsidR="000739D5" w:rsidRPr="00A06DF7">
        <w:rPr>
          <w:rFonts w:cs="Calibri"/>
          <w:szCs w:val="20"/>
        </w:rPr>
        <w:fldChar w:fldCharType="begin"/>
      </w:r>
      <w:r w:rsidR="00715B07" w:rsidRPr="00A06DF7">
        <w:rPr>
          <w:rFonts w:cs="Calibri"/>
          <w:szCs w:val="20"/>
        </w:rPr>
        <w:instrText xml:space="preserve"> ADDIN ZOTERO_ITEM CSL_CITATION {"citationID":"NsEa9Iy4","properties":{"formattedCitation":"(Te Whatu Ora, 2020)","plainCitation":"(Te Whatu Ora, 2020)","noteIndex":0},"citationItems":[{"id":1332,"uris":["http://zotero.org/users/11111291/items/7BATMKQU"],"itemData":{"id":1332,"type":"dataset","title":"Health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000739D5" w:rsidRPr="00A06DF7">
        <w:rPr>
          <w:rFonts w:cs="Calibri"/>
          <w:szCs w:val="20"/>
        </w:rPr>
        <w:fldChar w:fldCharType="separate"/>
      </w:r>
      <w:r w:rsidR="000739D5" w:rsidRPr="00A06DF7">
        <w:rPr>
          <w:rFonts w:cs="Calibri"/>
          <w:szCs w:val="20"/>
        </w:rPr>
        <w:t>(Te Whatu Ora, 2020)</w:t>
      </w:r>
      <w:r w:rsidR="000739D5" w:rsidRPr="00A06DF7">
        <w:rPr>
          <w:rFonts w:cs="Calibri"/>
          <w:szCs w:val="20"/>
        </w:rPr>
        <w:fldChar w:fldCharType="end"/>
      </w:r>
      <w:r w:rsidR="000739D5" w:rsidRPr="00A06DF7">
        <w:rPr>
          <w:rFonts w:cs="Calibri"/>
          <w:szCs w:val="20"/>
        </w:rPr>
        <w:t>.</w:t>
      </w:r>
      <w:r w:rsidR="004A46A2" w:rsidRPr="00A06DF7">
        <w:rPr>
          <w:rFonts w:cs="Calibri"/>
          <w:szCs w:val="20"/>
        </w:rPr>
        <w:t xml:space="preserve"> </w:t>
      </w:r>
      <w:r w:rsidR="006B4733" w:rsidRPr="00A06DF7">
        <w:rPr>
          <w:rFonts w:cs="Calibri"/>
          <w:szCs w:val="20"/>
        </w:rPr>
        <w:t xml:space="preserve">In 2020, women had </w:t>
      </w:r>
      <w:r w:rsidRPr="00A06DF7">
        <w:rPr>
          <w:rFonts w:cs="Calibri"/>
          <w:szCs w:val="20"/>
        </w:rPr>
        <w:t>similar</w:t>
      </w:r>
      <w:r w:rsidR="006B4733" w:rsidRPr="00A06DF7">
        <w:rPr>
          <w:rFonts w:cs="Calibri"/>
          <w:szCs w:val="20"/>
        </w:rPr>
        <w:t xml:space="preserve"> participation t</w:t>
      </w:r>
      <w:r w:rsidRPr="00A06DF7">
        <w:rPr>
          <w:rFonts w:cs="Calibri"/>
          <w:szCs w:val="20"/>
        </w:rPr>
        <w:t>o</w:t>
      </w:r>
      <w:r w:rsidR="006B4733" w:rsidRPr="00A06DF7">
        <w:rPr>
          <w:rFonts w:cs="Calibri"/>
          <w:szCs w:val="20"/>
        </w:rPr>
        <w:t xml:space="preserve"> men </w:t>
      </w:r>
      <w:r w:rsidR="00EE523C" w:rsidRPr="00A06DF7">
        <w:rPr>
          <w:rFonts w:cs="Calibri"/>
          <w:szCs w:val="20"/>
        </w:rPr>
        <w:t>on Lotto (59.4</w:t>
      </w:r>
      <w:r w:rsidR="00E36C48" w:rsidRPr="00A06DF7">
        <w:rPr>
          <w:rFonts w:cs="Calibri"/>
          <w:szCs w:val="20"/>
        </w:rPr>
        <w:t>%</w:t>
      </w:r>
      <w:r w:rsidR="00EE523C" w:rsidRPr="00A06DF7">
        <w:rPr>
          <w:rFonts w:cs="Calibri"/>
          <w:szCs w:val="20"/>
        </w:rPr>
        <w:t xml:space="preserve"> </w:t>
      </w:r>
      <w:r w:rsidR="002F3DFC" w:rsidRPr="00A06DF7">
        <w:rPr>
          <w:rFonts w:cs="Calibri"/>
          <w:szCs w:val="20"/>
        </w:rPr>
        <w:t>vs.</w:t>
      </w:r>
      <w:r w:rsidR="00EE523C" w:rsidRPr="00A06DF7">
        <w:rPr>
          <w:rFonts w:cs="Calibri"/>
          <w:szCs w:val="20"/>
        </w:rPr>
        <w:t xml:space="preserve"> 58.9</w:t>
      </w:r>
      <w:r w:rsidR="00E36C48" w:rsidRPr="00A06DF7">
        <w:rPr>
          <w:rFonts w:cs="Calibri"/>
          <w:szCs w:val="20"/>
        </w:rPr>
        <w:t>%</w:t>
      </w:r>
      <w:r w:rsidR="00EE523C" w:rsidRPr="00A06DF7">
        <w:rPr>
          <w:rFonts w:cs="Calibri"/>
          <w:szCs w:val="20"/>
        </w:rPr>
        <w:t xml:space="preserve">), but lower participation on </w:t>
      </w:r>
      <w:r w:rsidR="00E36C48" w:rsidRPr="00A06DF7">
        <w:rPr>
          <w:rFonts w:cs="Calibri"/>
          <w:szCs w:val="20"/>
        </w:rPr>
        <w:t xml:space="preserve">pokies </w:t>
      </w:r>
      <w:r w:rsidR="00FD3E4F" w:rsidRPr="00A06DF7">
        <w:rPr>
          <w:rFonts w:cs="Calibri"/>
          <w:szCs w:val="20"/>
        </w:rPr>
        <w:t>(</w:t>
      </w:r>
      <w:r w:rsidR="006F4023" w:rsidRPr="00A06DF7">
        <w:rPr>
          <w:rFonts w:cs="Calibri"/>
          <w:szCs w:val="20"/>
        </w:rPr>
        <w:t>9.4</w:t>
      </w:r>
      <w:r w:rsidR="00E36C48" w:rsidRPr="00A06DF7">
        <w:rPr>
          <w:rFonts w:cs="Calibri"/>
          <w:szCs w:val="20"/>
        </w:rPr>
        <w:t>%</w:t>
      </w:r>
      <w:r w:rsidR="00EE523C" w:rsidRPr="00A06DF7">
        <w:rPr>
          <w:rFonts w:cs="Calibri"/>
          <w:szCs w:val="20"/>
        </w:rPr>
        <w:t xml:space="preserve"> </w:t>
      </w:r>
      <w:r w:rsidR="002F3DFC" w:rsidRPr="00A06DF7">
        <w:rPr>
          <w:rFonts w:cs="Calibri"/>
          <w:szCs w:val="20"/>
        </w:rPr>
        <w:t>vs.</w:t>
      </w:r>
      <w:r w:rsidR="006F4023" w:rsidRPr="00A06DF7">
        <w:rPr>
          <w:rFonts w:cs="Calibri"/>
          <w:szCs w:val="20"/>
        </w:rPr>
        <w:t xml:space="preserve"> 12.5</w:t>
      </w:r>
      <w:r w:rsidR="00E36C48" w:rsidRPr="00A06DF7">
        <w:rPr>
          <w:rFonts w:cs="Calibri"/>
          <w:szCs w:val="20"/>
        </w:rPr>
        <w:t>%</w:t>
      </w:r>
      <w:r w:rsidR="006F4023" w:rsidRPr="00A06DF7">
        <w:rPr>
          <w:rFonts w:cs="Calibri"/>
          <w:szCs w:val="20"/>
        </w:rPr>
        <w:t>)</w:t>
      </w:r>
      <w:r w:rsidR="00EE523C" w:rsidRPr="00A06DF7">
        <w:rPr>
          <w:rFonts w:cs="Calibri"/>
          <w:szCs w:val="20"/>
        </w:rPr>
        <w:t>, horse</w:t>
      </w:r>
      <w:r w:rsidR="0069046F" w:rsidRPr="00A06DF7">
        <w:rPr>
          <w:rFonts w:cs="Calibri"/>
          <w:szCs w:val="20"/>
        </w:rPr>
        <w:t xml:space="preserve"> and dog races and sports </w:t>
      </w:r>
      <w:r w:rsidR="0085069D" w:rsidRPr="00A06DF7">
        <w:rPr>
          <w:rFonts w:cs="Calibri"/>
          <w:szCs w:val="20"/>
        </w:rPr>
        <w:t>events</w:t>
      </w:r>
      <w:r w:rsidR="0069046F" w:rsidRPr="00A06DF7">
        <w:rPr>
          <w:rFonts w:cs="Calibri"/>
          <w:szCs w:val="20"/>
        </w:rPr>
        <w:t xml:space="preserve"> (</w:t>
      </w:r>
      <w:r w:rsidR="0018564A" w:rsidRPr="00A06DF7">
        <w:rPr>
          <w:rFonts w:cs="Calibri"/>
          <w:szCs w:val="20"/>
        </w:rPr>
        <w:t>7.3</w:t>
      </w:r>
      <w:r w:rsidR="00E36C48" w:rsidRPr="00A06DF7">
        <w:rPr>
          <w:rFonts w:cs="Calibri"/>
          <w:szCs w:val="20"/>
        </w:rPr>
        <w:t>%</w:t>
      </w:r>
      <w:r w:rsidR="0069046F" w:rsidRPr="00A06DF7">
        <w:rPr>
          <w:rFonts w:cs="Calibri"/>
          <w:szCs w:val="20"/>
        </w:rPr>
        <w:t xml:space="preserve"> </w:t>
      </w:r>
      <w:r w:rsidR="002F3DFC" w:rsidRPr="00A06DF7">
        <w:rPr>
          <w:rFonts w:cs="Calibri"/>
          <w:szCs w:val="20"/>
        </w:rPr>
        <w:t>vs.</w:t>
      </w:r>
      <w:r w:rsidR="0018564A" w:rsidRPr="00A06DF7">
        <w:rPr>
          <w:rFonts w:cs="Calibri"/>
          <w:szCs w:val="20"/>
        </w:rPr>
        <w:t xml:space="preserve"> 14.5</w:t>
      </w:r>
      <w:r w:rsidR="00E36C48" w:rsidRPr="00A06DF7">
        <w:rPr>
          <w:rFonts w:cs="Calibri"/>
          <w:szCs w:val="20"/>
        </w:rPr>
        <w:t>%</w:t>
      </w:r>
      <w:r w:rsidR="0018564A" w:rsidRPr="00A06DF7">
        <w:rPr>
          <w:rFonts w:cs="Calibri"/>
          <w:szCs w:val="20"/>
        </w:rPr>
        <w:t>)</w:t>
      </w:r>
      <w:r w:rsidR="0069046F" w:rsidRPr="00A06DF7">
        <w:rPr>
          <w:rFonts w:cs="Calibri"/>
          <w:szCs w:val="20"/>
        </w:rPr>
        <w:t xml:space="preserve"> and</w:t>
      </w:r>
      <w:r w:rsidR="0018564A" w:rsidRPr="00A06DF7">
        <w:rPr>
          <w:rFonts w:cs="Calibri"/>
          <w:szCs w:val="20"/>
        </w:rPr>
        <w:t xml:space="preserve"> </w:t>
      </w:r>
      <w:r w:rsidR="00D71AF0" w:rsidRPr="00A06DF7">
        <w:rPr>
          <w:rFonts w:cs="Calibri"/>
          <w:szCs w:val="20"/>
        </w:rPr>
        <w:t>online (23.8</w:t>
      </w:r>
      <w:r w:rsidR="00E36C48" w:rsidRPr="00A06DF7">
        <w:rPr>
          <w:rFonts w:cs="Calibri"/>
          <w:szCs w:val="20"/>
        </w:rPr>
        <w:t>%</w:t>
      </w:r>
      <w:r w:rsidR="0069046F" w:rsidRPr="00A06DF7">
        <w:rPr>
          <w:rFonts w:cs="Calibri"/>
          <w:szCs w:val="20"/>
        </w:rPr>
        <w:t xml:space="preserve"> </w:t>
      </w:r>
      <w:r w:rsidR="002F3DFC" w:rsidRPr="00A06DF7">
        <w:rPr>
          <w:rFonts w:cs="Calibri"/>
          <w:szCs w:val="20"/>
        </w:rPr>
        <w:t>vs.</w:t>
      </w:r>
      <w:r w:rsidR="00D71AF0" w:rsidRPr="00A06DF7">
        <w:rPr>
          <w:rFonts w:cs="Calibri"/>
          <w:szCs w:val="20"/>
        </w:rPr>
        <w:t xml:space="preserve"> 29.7</w:t>
      </w:r>
      <w:r w:rsidR="00E36C48" w:rsidRPr="00A06DF7">
        <w:rPr>
          <w:rFonts w:cs="Calibri"/>
          <w:szCs w:val="20"/>
        </w:rPr>
        <w:t>%</w:t>
      </w:r>
      <w:r w:rsidR="00D71AF0" w:rsidRPr="00A06DF7">
        <w:rPr>
          <w:rFonts w:cs="Calibri"/>
          <w:szCs w:val="20"/>
        </w:rPr>
        <w:t>)</w:t>
      </w:r>
      <w:r w:rsidR="0069046F" w:rsidRPr="00A06DF7">
        <w:rPr>
          <w:rFonts w:cs="Calibri"/>
          <w:szCs w:val="20"/>
        </w:rPr>
        <w:t xml:space="preserve"> </w:t>
      </w:r>
      <w:r w:rsidR="0069046F" w:rsidRPr="00A06DF7">
        <w:rPr>
          <w:rFonts w:cs="Calibri"/>
          <w:szCs w:val="20"/>
        </w:rPr>
        <w:fldChar w:fldCharType="begin"/>
      </w:r>
      <w:r w:rsidR="00715B07" w:rsidRPr="00A06DF7">
        <w:rPr>
          <w:rFonts w:cs="Calibri"/>
          <w:szCs w:val="20"/>
        </w:rPr>
        <w:instrText xml:space="preserve"> ADDIN ZOTERO_ITEM CSL_CITATION {"citationID":"XlIuON2N","properties":{"formattedCitation":"(Te Whatu Ora, 2020)","plainCitation":"(Te Whatu Ora, 2020)","noteIndex":0},"citationItems":[{"id":1332,"uris":["http://zotero.org/users/11111291/items/7BATMKQU"],"itemData":{"id":1332,"type":"dataset","title":"Health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0069046F" w:rsidRPr="00A06DF7">
        <w:rPr>
          <w:rFonts w:cs="Calibri"/>
          <w:szCs w:val="20"/>
        </w:rPr>
        <w:fldChar w:fldCharType="separate"/>
      </w:r>
      <w:r w:rsidR="0069046F" w:rsidRPr="00A06DF7">
        <w:rPr>
          <w:rFonts w:cs="Calibri"/>
          <w:szCs w:val="20"/>
        </w:rPr>
        <w:t>(Te Whatu Ora, 2020)</w:t>
      </w:r>
      <w:r w:rsidR="0069046F" w:rsidRPr="00A06DF7">
        <w:rPr>
          <w:rFonts w:cs="Calibri"/>
          <w:szCs w:val="20"/>
        </w:rPr>
        <w:fldChar w:fldCharType="end"/>
      </w:r>
      <w:r w:rsidR="0069046F" w:rsidRPr="00A06DF7">
        <w:rPr>
          <w:rFonts w:cs="Calibri"/>
          <w:szCs w:val="20"/>
        </w:rPr>
        <w:t xml:space="preserve">. </w:t>
      </w:r>
    </w:p>
    <w:p w14:paraId="7E993D3A" w14:textId="085EE5D5" w:rsidR="00440B46" w:rsidRPr="00A06DF7" w:rsidRDefault="005051E9" w:rsidP="00362BEE">
      <w:pPr>
        <w:rPr>
          <w:rFonts w:cs="Calibri"/>
          <w:szCs w:val="20"/>
        </w:rPr>
      </w:pPr>
      <w:r w:rsidRPr="00A06DF7">
        <w:rPr>
          <w:rFonts w:cs="Calibri"/>
          <w:szCs w:val="20"/>
        </w:rPr>
        <w:fldChar w:fldCharType="begin"/>
      </w:r>
      <w:r w:rsidR="00715B07" w:rsidRPr="00A06DF7">
        <w:rPr>
          <w:rFonts w:cs="Calibri"/>
          <w:szCs w:val="20"/>
        </w:rPr>
        <w:instrText xml:space="preserve"> ADDIN ZOTERO_ITEM CSL_CITATION {"citationID":"aFOK9jr1","properties":{"formattedCitation":"(Palmer du Preez et al., 2021)","plainCitation":"(Palmer du Preez et al., 2021)","dontUpdate":true,"noteIndex":0},"citationItems":[{"id":1440,"uris":["http://zotero.org/users/11111291/items/NVPTYAZU"],"itemData":{"id":1440,"type":"article-journal","abstract":"BACKGROUND: Gambling harm affects men and women relatively equally, and gender influences the social determinants of gambling harm. Responses to preventing and minimising women's gambling harm have been shaped and constrained by population research identifying male gender as a key risk factor for gambling problems. Gender analysis in gambling studies is rare and has lacked theoretical underpinning and coherence, limiting possibilities for gender-responsive and gender-aware harm prevention and reduction activities.\nMETHODS: Two influential qualitative studies of gambling harm in New Zealand (involving total n = 165 people who gambled, affected others, community leaders, gambling and community support service providers, policy makers and academics) neglected to explore the role of gender. This study revisited data collected in these studies, using thematic analysis informed by feminist social constructionist theory. The overarching research questions were: How do gender-related issues, notions and practices influence women's gambling related harm? What are the implications for women's gambling harm reduction?\nRESULTS: Women's socio-cultural positioning as primary caregivers for families and children constrained their ability to access a range of recreational and support options and increased the attractiveness of local gambling opportunities as accessible and 'safe' outlets for stress reduction. Patriarchal practices of power and control within family contexts operated to maintain gambling behaviour, shut down alternative recreational opportunities, and limit women's autonomy. Consideration of these themes in relation to current health promotion practice in New Zealand revealed that national programmes and strategies appear to be operating without cognisance of these gender dynamics and therefore have the potential to exacerbate or cause some women harm.\nCONCLUSIONS: This study demonstrates the value of theoretically informed gender analysis for gambling harm reduction research, policy and practice. International guidelines for gender-aware and gender-responsive health research and practice should be engaged as a foundation for strategic and effective gambling harm reduction programmes, projects, research and policy, and as an essential part of developing and implementing interventions for gambling harm.","container-title":"Harm Reduction Journal","DOI":"10.1186/s12954-021-00558-5","ISSN":"1477-7517","issue":"1","journalAbbreviation":"Harm Reduct J","language":"eng","note":"number: 1\nPMID: 34749741\nPMCID: PMC8574034","page":"111","source":"PubMed","title":"Theoretically informed gender analysis for gambling harm reduction: a New Zealand study","title-short":"Theoretically informed gender analysis for gambling harm reduction","volume":"18","author":[{"family":"Palmer du Preez","given":"Katie"},{"family":"Paavonen","given":"Anna-Marie"},{"family":"Bellringer","given":"Maria E."}],"issued":{"date-parts":[["2021",11,8]]}}}],"schema":"https://github.com/citation-style-language/schema/raw/master/csl-citation.json"} </w:instrText>
      </w:r>
      <w:r w:rsidRPr="00A06DF7">
        <w:rPr>
          <w:rFonts w:cs="Calibri"/>
          <w:szCs w:val="20"/>
        </w:rPr>
        <w:fldChar w:fldCharType="separate"/>
      </w:r>
      <w:r w:rsidRPr="00A06DF7">
        <w:rPr>
          <w:rFonts w:cs="Calibri"/>
        </w:rPr>
        <w:t xml:space="preserve">Palmer du Preez et al. </w:t>
      </w:r>
      <w:r w:rsidR="00466F2E" w:rsidRPr="00A06DF7">
        <w:rPr>
          <w:rFonts w:cs="Calibri"/>
        </w:rPr>
        <w:t>(</w:t>
      </w:r>
      <w:r w:rsidRPr="00A06DF7">
        <w:rPr>
          <w:rFonts w:cs="Calibri"/>
        </w:rPr>
        <w:t>2021)</w:t>
      </w:r>
      <w:r w:rsidRPr="00A06DF7">
        <w:rPr>
          <w:rFonts w:cs="Calibri"/>
          <w:szCs w:val="20"/>
        </w:rPr>
        <w:fldChar w:fldCharType="end"/>
      </w:r>
      <w:r w:rsidRPr="00A06DF7">
        <w:rPr>
          <w:rFonts w:cs="Calibri"/>
          <w:szCs w:val="20"/>
        </w:rPr>
        <w:t xml:space="preserve"> d</w:t>
      </w:r>
      <w:r w:rsidR="00624885" w:rsidRPr="00A06DF7">
        <w:rPr>
          <w:rFonts w:cs="Calibri"/>
          <w:szCs w:val="20"/>
        </w:rPr>
        <w:t>iscuss</w:t>
      </w:r>
      <w:r w:rsidR="003745A7" w:rsidRPr="00A06DF7">
        <w:rPr>
          <w:rFonts w:cs="Calibri"/>
          <w:szCs w:val="20"/>
        </w:rPr>
        <w:t>ed</w:t>
      </w:r>
      <w:r w:rsidR="00624885" w:rsidRPr="00A06DF7">
        <w:rPr>
          <w:rFonts w:cs="Calibri"/>
          <w:szCs w:val="20"/>
        </w:rPr>
        <w:t xml:space="preserve"> how </w:t>
      </w:r>
      <w:r w:rsidR="00A26E38" w:rsidRPr="00A06DF7">
        <w:rPr>
          <w:rFonts w:cs="Calibri"/>
          <w:szCs w:val="20"/>
        </w:rPr>
        <w:t xml:space="preserve">preventions and minimisations of women’s </w:t>
      </w:r>
      <w:r w:rsidR="009F7DB8" w:rsidRPr="00A06DF7">
        <w:rPr>
          <w:rFonts w:cs="Calibri"/>
          <w:szCs w:val="20"/>
        </w:rPr>
        <w:t>gambling</w:t>
      </w:r>
      <w:r w:rsidR="00A26E38" w:rsidRPr="00A06DF7">
        <w:rPr>
          <w:rFonts w:cs="Calibri"/>
          <w:szCs w:val="20"/>
        </w:rPr>
        <w:t xml:space="preserve"> </w:t>
      </w:r>
      <w:r w:rsidR="009F7DB8" w:rsidRPr="00A06DF7">
        <w:rPr>
          <w:rFonts w:cs="Calibri"/>
          <w:szCs w:val="20"/>
        </w:rPr>
        <w:t>harm</w:t>
      </w:r>
      <w:r w:rsidR="00A26E38" w:rsidRPr="00A06DF7">
        <w:rPr>
          <w:rFonts w:cs="Calibri"/>
          <w:szCs w:val="20"/>
        </w:rPr>
        <w:t xml:space="preserve"> have been </w:t>
      </w:r>
      <w:r w:rsidR="009F7DB8" w:rsidRPr="00A06DF7">
        <w:rPr>
          <w:rFonts w:cs="Calibri"/>
          <w:szCs w:val="20"/>
        </w:rPr>
        <w:t>constrained</w:t>
      </w:r>
      <w:r w:rsidR="00A26E38" w:rsidRPr="00A06DF7">
        <w:rPr>
          <w:rFonts w:cs="Calibri"/>
          <w:szCs w:val="20"/>
        </w:rPr>
        <w:t xml:space="preserve"> by research identifying male gender as a key factor </w:t>
      </w:r>
      <w:r w:rsidR="009F7DB8" w:rsidRPr="00A06DF7">
        <w:rPr>
          <w:rFonts w:cs="Calibri"/>
          <w:szCs w:val="20"/>
        </w:rPr>
        <w:t>for gambling problems</w:t>
      </w:r>
      <w:r w:rsidR="00466F2E" w:rsidRPr="00A06DF7">
        <w:rPr>
          <w:rFonts w:cs="Calibri"/>
          <w:szCs w:val="20"/>
        </w:rPr>
        <w:t xml:space="preserve">. </w:t>
      </w:r>
      <w:r w:rsidR="00C6113B" w:rsidRPr="00A06DF7">
        <w:rPr>
          <w:rFonts w:cs="Calibri"/>
          <w:szCs w:val="20"/>
        </w:rPr>
        <w:t>They</w:t>
      </w:r>
      <w:r w:rsidR="00911C5A" w:rsidRPr="00A06DF7">
        <w:rPr>
          <w:rFonts w:cs="Calibri"/>
          <w:szCs w:val="20"/>
        </w:rPr>
        <w:t xml:space="preserve"> answered the following research questions </w:t>
      </w:r>
      <w:r w:rsidR="00B70627" w:rsidRPr="00A06DF7">
        <w:rPr>
          <w:rFonts w:cs="Calibri"/>
          <w:szCs w:val="20"/>
        </w:rPr>
        <w:t>by</w:t>
      </w:r>
      <w:r w:rsidR="00440B46" w:rsidRPr="00A06DF7">
        <w:rPr>
          <w:rFonts w:cs="Calibri"/>
          <w:szCs w:val="20"/>
        </w:rPr>
        <w:t xml:space="preserve"> revisiting previously analysed </w:t>
      </w:r>
      <w:r w:rsidR="00B70627" w:rsidRPr="00A06DF7">
        <w:rPr>
          <w:rFonts w:cs="Calibri"/>
          <w:szCs w:val="20"/>
        </w:rPr>
        <w:t xml:space="preserve">gambling </w:t>
      </w:r>
      <w:r w:rsidR="00440B46" w:rsidRPr="00A06DF7">
        <w:rPr>
          <w:rFonts w:cs="Calibri"/>
          <w:szCs w:val="20"/>
        </w:rPr>
        <w:t>data</w:t>
      </w:r>
      <w:r w:rsidR="00B70627" w:rsidRPr="00A06DF7">
        <w:rPr>
          <w:rFonts w:cs="Calibri"/>
          <w:szCs w:val="20"/>
        </w:rPr>
        <w:t xml:space="preserve"> and exploring feminist social constructionist theory</w:t>
      </w:r>
      <w:r w:rsidR="00440B46" w:rsidRPr="00A06DF7">
        <w:rPr>
          <w:rFonts w:cs="Calibri"/>
          <w:szCs w:val="20"/>
        </w:rPr>
        <w:t>:</w:t>
      </w:r>
    </w:p>
    <w:p w14:paraId="0838C23E" w14:textId="45DC2933" w:rsidR="00440B46" w:rsidRPr="00A06DF7" w:rsidRDefault="0022122E" w:rsidP="00BD2D7B">
      <w:pPr>
        <w:pStyle w:val="Bulleted"/>
        <w:rPr>
          <w:rFonts w:cs="Calibri"/>
        </w:rPr>
      </w:pPr>
      <w:r w:rsidRPr="00A06DF7">
        <w:rPr>
          <w:rFonts w:cs="Calibri"/>
        </w:rPr>
        <w:t>How</w:t>
      </w:r>
      <w:r w:rsidR="00E33444" w:rsidRPr="00A06DF7">
        <w:rPr>
          <w:rFonts w:cs="Calibri"/>
        </w:rPr>
        <w:t xml:space="preserve"> do gender-related issues, notions and practices influence women’s gambling related harm?</w:t>
      </w:r>
    </w:p>
    <w:p w14:paraId="3DFC5002" w14:textId="4F6E1A96" w:rsidR="00E33444" w:rsidRPr="00A06DF7" w:rsidRDefault="0022122E" w:rsidP="00BD2D7B">
      <w:pPr>
        <w:pStyle w:val="Bulleted"/>
        <w:rPr>
          <w:rFonts w:cs="Calibri"/>
        </w:rPr>
      </w:pPr>
      <w:r w:rsidRPr="00A06DF7">
        <w:rPr>
          <w:rFonts w:cs="Calibri"/>
        </w:rPr>
        <w:t>What</w:t>
      </w:r>
      <w:r w:rsidR="00C6113B" w:rsidRPr="00A06DF7">
        <w:rPr>
          <w:rFonts w:cs="Calibri"/>
        </w:rPr>
        <w:t xml:space="preserve"> are the implications for women’s gambling harm reduction?</w:t>
      </w:r>
    </w:p>
    <w:p w14:paraId="107E539E" w14:textId="72B11D20" w:rsidR="00B84D09" w:rsidRPr="00A06DF7" w:rsidRDefault="00274A2C" w:rsidP="00362BEE">
      <w:pPr>
        <w:rPr>
          <w:rFonts w:cs="Calibri"/>
          <w:szCs w:val="20"/>
        </w:rPr>
      </w:pPr>
      <w:r w:rsidRPr="00A06DF7">
        <w:rPr>
          <w:rFonts w:cs="Calibri"/>
          <w:szCs w:val="20"/>
        </w:rPr>
        <w:t xml:space="preserve">They found that </w:t>
      </w:r>
      <w:r w:rsidR="00B87F2F" w:rsidRPr="00A06DF7">
        <w:rPr>
          <w:rFonts w:cs="Calibri"/>
          <w:szCs w:val="20"/>
        </w:rPr>
        <w:t xml:space="preserve">women’s societal positioning as primary caregivers affected their ability to access a range of </w:t>
      </w:r>
      <w:r w:rsidR="00D726E9" w:rsidRPr="00A06DF7">
        <w:rPr>
          <w:rFonts w:cs="Calibri"/>
          <w:szCs w:val="20"/>
        </w:rPr>
        <w:t xml:space="preserve">recreational and support options and increased the likelihood of gambling </w:t>
      </w:r>
      <w:r w:rsidR="00CD62A3" w:rsidRPr="00A06DF7">
        <w:rPr>
          <w:rFonts w:cs="Calibri"/>
          <w:szCs w:val="20"/>
        </w:rPr>
        <w:t>for</w:t>
      </w:r>
      <w:r w:rsidR="00D726E9" w:rsidRPr="00A06DF7">
        <w:rPr>
          <w:rFonts w:cs="Calibri"/>
          <w:szCs w:val="20"/>
        </w:rPr>
        <w:t xml:space="preserve"> an accessible means of stress reduction. </w:t>
      </w:r>
      <w:r w:rsidR="00526AD6" w:rsidRPr="00A06DF7">
        <w:rPr>
          <w:rFonts w:cs="Calibri"/>
          <w:szCs w:val="20"/>
        </w:rPr>
        <w:t xml:space="preserve">The </w:t>
      </w:r>
      <w:r w:rsidR="00C26B07" w:rsidRPr="00A06DF7">
        <w:rPr>
          <w:rFonts w:cs="Calibri"/>
          <w:szCs w:val="20"/>
        </w:rPr>
        <w:t>resulting recommendation</w:t>
      </w:r>
      <w:r w:rsidR="00526AD6" w:rsidRPr="00A06DF7">
        <w:rPr>
          <w:rFonts w:cs="Calibri"/>
          <w:szCs w:val="20"/>
        </w:rPr>
        <w:t xml:space="preserve"> was</w:t>
      </w:r>
      <w:r w:rsidR="0045002B" w:rsidRPr="00A06DF7">
        <w:rPr>
          <w:rFonts w:cs="Calibri"/>
          <w:szCs w:val="20"/>
        </w:rPr>
        <w:t xml:space="preserve"> that </w:t>
      </w:r>
      <w:r w:rsidR="007C1D11" w:rsidRPr="00A06DF7">
        <w:rPr>
          <w:rFonts w:cs="Calibri"/>
          <w:szCs w:val="20"/>
        </w:rPr>
        <w:t xml:space="preserve">strategic and effective gambling harm interventions </w:t>
      </w:r>
      <w:r w:rsidR="00A73A31" w:rsidRPr="00A06DF7">
        <w:rPr>
          <w:rFonts w:cs="Calibri"/>
          <w:szCs w:val="20"/>
        </w:rPr>
        <w:t>should include gender-aware and gender-responsive initiatives.</w:t>
      </w:r>
    </w:p>
    <w:p w14:paraId="3FF58EBF" w14:textId="4261BC45" w:rsidR="007D7D39" w:rsidRPr="00A06DF7" w:rsidRDefault="007D7D39">
      <w:pPr>
        <w:pStyle w:val="Heading5"/>
        <w:rPr>
          <w:rFonts w:cs="Calibri"/>
        </w:rPr>
      </w:pPr>
      <w:bookmarkStart w:id="182" w:name="_Toc166507392"/>
      <w:r w:rsidRPr="00A06DF7">
        <w:rPr>
          <w:rFonts w:cs="Calibri"/>
        </w:rPr>
        <w:lastRenderedPageBreak/>
        <w:t>Harmful gambling risks remain extensive</w:t>
      </w:r>
      <w:bookmarkEnd w:id="182"/>
    </w:p>
    <w:p w14:paraId="156AD40C" w14:textId="538E9550" w:rsidR="000D7C39" w:rsidRPr="00A06DF7" w:rsidRDefault="00E4261F" w:rsidP="000D7C39">
      <w:pPr>
        <w:rPr>
          <w:rFonts w:cs="Calibri"/>
        </w:rPr>
      </w:pPr>
      <w:r w:rsidRPr="00A06DF7">
        <w:rPr>
          <w:rFonts w:cs="Calibri"/>
        </w:rPr>
        <w:t xml:space="preserve">General population gambling research, both nationally and internationally, </w:t>
      </w:r>
      <w:r w:rsidR="001E2D09" w:rsidRPr="00A06DF7">
        <w:rPr>
          <w:rFonts w:cs="Calibri"/>
        </w:rPr>
        <w:t xml:space="preserve">emphasises </w:t>
      </w:r>
      <w:r w:rsidR="00A57444" w:rsidRPr="00A06DF7">
        <w:rPr>
          <w:rFonts w:cs="Calibri"/>
        </w:rPr>
        <w:t xml:space="preserve">the </w:t>
      </w:r>
      <w:r w:rsidR="00181ED4" w:rsidRPr="00A06DF7">
        <w:rPr>
          <w:rFonts w:cs="Calibri"/>
        </w:rPr>
        <w:t>importance of iden</w:t>
      </w:r>
      <w:r w:rsidR="009C50E8" w:rsidRPr="00A06DF7">
        <w:rPr>
          <w:rFonts w:cs="Calibri"/>
        </w:rPr>
        <w:t xml:space="preserve">tifying socio-demographic variables </w:t>
      </w:r>
      <w:r w:rsidR="004C3131" w:rsidRPr="00A06DF7">
        <w:rPr>
          <w:rFonts w:cs="Calibri"/>
        </w:rPr>
        <w:t xml:space="preserve">and risk factors that contribute to the </w:t>
      </w:r>
      <w:r w:rsidR="00371E53" w:rsidRPr="00A06DF7">
        <w:rPr>
          <w:rFonts w:cs="Calibri"/>
        </w:rPr>
        <w:t>incidence and development of harmful gambling behaviour.</w:t>
      </w:r>
    </w:p>
    <w:p w14:paraId="6ADF7DDD" w14:textId="163579AD" w:rsidR="007D7D39" w:rsidRPr="00A06DF7" w:rsidRDefault="007D7D39" w:rsidP="007D7D39">
      <w:pPr>
        <w:pStyle w:val="Heading6"/>
        <w:rPr>
          <w:rFonts w:cs="Calibri"/>
        </w:rPr>
      </w:pPr>
      <w:bookmarkStart w:id="183" w:name="_Toc65250317"/>
      <w:bookmarkStart w:id="184" w:name="_Toc76469792"/>
      <w:bookmarkStart w:id="185" w:name="_Toc166507393"/>
      <w:r w:rsidRPr="00A06DF7">
        <w:rPr>
          <w:rFonts w:cs="Calibri"/>
        </w:rPr>
        <w:t xml:space="preserve">Pacific peoples </w:t>
      </w:r>
      <w:r w:rsidR="006A1118" w:rsidRPr="00A06DF7">
        <w:rPr>
          <w:rFonts w:cs="Calibri"/>
        </w:rPr>
        <w:t>continue to be</w:t>
      </w:r>
      <w:r w:rsidRPr="00A06DF7">
        <w:rPr>
          <w:rFonts w:cs="Calibri"/>
        </w:rPr>
        <w:t xml:space="preserve"> a</w:t>
      </w:r>
      <w:r w:rsidR="00BD2D7B" w:rsidRPr="00A06DF7">
        <w:rPr>
          <w:rFonts w:cs="Calibri"/>
        </w:rPr>
        <w:t>t high-</w:t>
      </w:r>
      <w:r w:rsidRPr="00A06DF7">
        <w:rPr>
          <w:rFonts w:cs="Calibri"/>
        </w:rPr>
        <w:t>risk</w:t>
      </w:r>
      <w:bookmarkEnd w:id="183"/>
      <w:bookmarkEnd w:id="184"/>
      <w:bookmarkEnd w:id="185"/>
    </w:p>
    <w:p w14:paraId="22455D5C" w14:textId="5E66BD3D" w:rsidR="001B577D" w:rsidRPr="00A06DF7" w:rsidRDefault="00EA2794" w:rsidP="007D7D39">
      <w:pPr>
        <w:rPr>
          <w:rFonts w:cs="Calibri"/>
        </w:rPr>
      </w:pPr>
      <w:r w:rsidRPr="00A06DF7">
        <w:rPr>
          <w:rFonts w:cs="Calibri"/>
        </w:rPr>
        <w:t xml:space="preserve">Despite the implementation of public health initiatives and treatment services, </w:t>
      </w:r>
      <w:r w:rsidR="00BD2D7B" w:rsidRPr="00A06DF7">
        <w:rPr>
          <w:rFonts w:cs="Calibri"/>
        </w:rPr>
        <w:t xml:space="preserve">new evidence since the 2021 Needs Assessment </w:t>
      </w:r>
      <w:r w:rsidR="00AE3554">
        <w:rPr>
          <w:rFonts w:cs="Calibri"/>
        </w:rPr>
        <w:t>suggests that</w:t>
      </w:r>
      <w:r w:rsidR="00AE3554" w:rsidRPr="00A06DF7">
        <w:rPr>
          <w:rFonts w:cs="Calibri"/>
        </w:rPr>
        <w:t xml:space="preserve"> </w:t>
      </w:r>
      <w:r w:rsidRPr="00A06DF7">
        <w:rPr>
          <w:rFonts w:cs="Calibri"/>
        </w:rPr>
        <w:t xml:space="preserve">Pacific </w:t>
      </w:r>
      <w:r w:rsidR="000D7272" w:rsidRPr="00A06DF7">
        <w:rPr>
          <w:rFonts w:cs="Calibri"/>
        </w:rPr>
        <w:t xml:space="preserve">people </w:t>
      </w:r>
      <w:r w:rsidR="00AE3554">
        <w:rPr>
          <w:rFonts w:cs="Calibri"/>
        </w:rPr>
        <w:t>are more likely to experience</w:t>
      </w:r>
      <w:r w:rsidR="0074175A" w:rsidRPr="00A06DF7">
        <w:rPr>
          <w:rFonts w:cs="Calibri"/>
        </w:rPr>
        <w:t xml:space="preserve"> gambling harm </w:t>
      </w:r>
      <w:r w:rsidR="00655C92" w:rsidRPr="00A06DF7">
        <w:rPr>
          <w:rFonts w:cs="Calibri"/>
        </w:rPr>
        <w:t>than</w:t>
      </w:r>
      <w:r w:rsidR="0074175A" w:rsidRPr="00A06DF7">
        <w:rPr>
          <w:rFonts w:cs="Calibri"/>
        </w:rPr>
        <w:t xml:space="preserve"> the general population</w:t>
      </w:r>
      <w:r w:rsidR="001E4FA6" w:rsidRPr="00A06DF7">
        <w:rPr>
          <w:rFonts w:cs="Calibri"/>
        </w:rPr>
        <w:t xml:space="preserve"> </w:t>
      </w:r>
      <w:r w:rsidR="001E4FA6" w:rsidRPr="00A06DF7">
        <w:rPr>
          <w:rFonts w:cs="Calibri"/>
        </w:rPr>
        <w:fldChar w:fldCharType="begin"/>
      </w:r>
      <w:r w:rsidR="00715B07" w:rsidRPr="00A06DF7">
        <w:rPr>
          <w:rFonts w:cs="Calibri"/>
        </w:rPr>
        <w:instrText xml:space="preserve"> ADDIN ZOTERO_ITEM CSL_CITATION {"citationID":"AhzpXWw3","properties":{"formattedCitation":"(Fehoko, 2020; Fehoko et al., 2022; Kolandai-Matchett et al., 2017)","plainCitation":"(Fehoko, 2020; Fehoko et al., 2022; Kolandai-Matchett et al., 2017)","noteIndex":0},"citationItems":[{"id":1477,"uris":["http://zotero.org/users/11111291/items/DEZ9G27S"],"itemData":{"id":1477,"type":"thesis","abstract":"In the early 1990s, Pacific peoples in New Zealand were four to six times more at risk of developing problem-gambling behaviours than the general population. Almost 30 years on, Pacific peoples continue to be more at risk than the general population, despite increasing public health efforts and treatment service provisions introduced to address this social and health issue. In looking at why this is so, my first concern was to ask why the delivery of the prevailing gambling-focussed programmes was not influencing Pacific gambling behaviours. In seeking to answer this question, it became clear that while there was a significant amount of statistical data on Pacific gambling behaviours, there was little on factors which might contribute to Pacific peoples to being at risk of developing problem-gambling behaviours, such as the place and endurance of Pacific cultural values, aspirations and, their daily family life experiences in New Zealand today. Hence, the need for this qualitative study. Given the diversity of New Zealand’s Pacific population, I decided that an ethnic-specific approach would enable a more in-depth study and that the focus should be Tongan males, given their central place in Tonga’s hierarchical and monarchical systems and as head of the family, and their role in holding and passing on family knowledge. The aims of this qualitative study were to explore Tongan male perceptions and experiences of gambling and to identify how their attitudes to gambling and problem-gambling behaviours were learnt, including and determining the importance of intergenerational transfer. The research design was interpretivist/ constructivist and phenomenological through the lens of a Tongan worldview. To capture the nature of intergenerational transfer, participants comprised of two groups – elders who had been born in Tonga and migrated to New Zealand, and New Zealand-born Tongan youth. Recruitment of participants was through snowball sampling from churches, kava-drinking circles and other community spaces. A total of 28 elders and 18 youth participated through focus group talanoa and individual talanoa. These were in Tongan or English as appropriate, and audio-recorded and transcribed by me. This study employed the descriptive thematic analysis drawing on components of Interpretative Phenomenological Approach. The first and overarching findings confirmed that there is no Tongan term for gambling nor, for problem gambling. At the same time, both elders and youth gave many instances of positive and negative outcomes and also examples of what would be classified as gambling through ‘activities’ and ‘acts’. Notably, among the participants, there were five Mātu’a and two To’utupu who did not engage in gambling activities due to gambling being a ‘waste of money’ and because of the problem-gambling behaviours of family members. The Mātu’a associated gambling with social and communal purposes, such as recreation and socialising together, with elements of competition and pride in winning also playing a large role here. Their initial gambling participation was through card games with their parents and other family members in Tonga. Over time, new forms evolved which included the exchange of cash and goods for example. However, in the early days, the purpose of these activities was mainly directed to supporting community initiatives, such as churches and village fundraisers. On migration to New Zealand, their earlier introduction to gambling was amplified through horse race betting at the TAB, mainly as a social occasion with other Tongans. For the To’utupu, gambling behaviours were learnt at home through social activities such as card games before being increased in schools, in workplaces, and in the online and technology space. Almost all To’utupu commented on their initial gambling activity through card games at home with family members. The majority of the To’utupu associated gambling with the need to win money as a quick fix and with being an easy way to win money. Gambling was also associated with status enhancement to maintain social status in their family and wider society. This study coins a new concept within the gambling and problem-gambling literature that I have called ‘cultural gambling’, which leads to the identification of status enhancement as a reason why Pacific peoples may be more at risk of developing problem-gambling behaviours. This is amplified by Tonga’s monarchical, hierarchical and familial systems. The majority of the participants were not aware of any policy document or problem-gambling preventative programmes. Preventative programmes and strategies are identified, which could help to minimise gambling harm amongst Tongans and other Pacific communities. Challenges and opportunities for future research and policy design are also included.","language":"en","publisher":"Auckland University of Technology","source":"openrepository.aut.ac.nz","title":"From Games to Gambling: An Exploratory Study of Tongan-born and New Zealand-born Male Perceptions and Experiences of Gambling and Problem Gambling in New Zealand","title-short":"From Games to Gambling","URL":"https://hdl.handle.net/10292/13818","author":[{"family":"Fehoko","given":"Edmond Samuel"}],"accessed":{"date-parts":[["2023",12,11]]},"issued":{"date-parts":[["2020"]]}}},{"id":1441,"uris":["http://zotero.org/users/11111291/items/JQPI7JBD"],"itemData":{"id":1441,"type":"article-journal","abstract":"BACKGROUND: In New Zealand, Pacific people continue to be more at risk of gambling harm than the general population, despite increasing public health efforts and treatment service provisions introduced to address this social and health issue. In looking at why this is so, our first concern was to ask why the delivery of the prevailing gambling-focussed programmes was not influencing Pacific gambling behaviours. In seeking to answer this question, it was important to explore ethnic-Pacific-specific factors of gambling harm prevention and reduction.\nMETHODS: The research design was interpretivist/constructivist and phenomenological, applied through the lens of a Tongan worldview. Participants comprised Tongan male elders and youth. Recruitment of participants was through snowball sampling from churches and kava-drinking circles. A total of 28 elders and 18 youth participated through focus group talanoa and individual talanoa. This study employed descriptive thematic analysis.\nRESULTS: Participants were not aware of any policy document or problem-gambling preventative programmes. Four key themes were raised, which include raising the awareness of existing gambling harm treatment providers, the church influence in addressing gambling harm, community-based strategies, and cultural-based approaches.\nCONCLUSIONS: This study proposes several recommendations such as more awareness of gambling harm providers in community, increasing cultural spaces and church engagements, and calls for further research in addressing the prevention and reduction of gambling harm amongst the Tongan community in New Zealand.","container-title":"Harm Reduction Journal","DOI":"10.1186/s12954-022-00717-2","ISSN":"1477-7517","issue":"1","journalAbbreviation":"Harm Reduct J","language":"eng","note":"number: 1\nPMID: 36463223\nPMCID: PMC9719633","page":"134","source":"PubMed","title":"Culture, church, and collective: a qualitative study about gambling harm prevention and reduction in Aotearoa/New Zealand-a Tongan male perspective","title-short":"Culture, church, and collective","volume":"19","author":[{"family":"Fehoko","given":"Edmond S."},{"family":"Bellringer","given":"Maria E."},{"family":"Fairbairn-Dunlop","given":"Peggy"}],"issued":{"date-parts":[["2022",12,3]]}}},{"id":1449,"uris":["http://zotero.org/users/11111291/items/JCL6CYU7"],"itemData":{"id":1449,"type":"article-journal","abstract":"Pacific people in New Zealand are a minority ethnic population identified in national prevalence studies as having the highest risk of developing gambling problems. As earlier studies identified some links between culture and gambling for this population, our study aimed to deepen understanding of these links and their role in explaining the disproportionate gambling harms experienced by Pacific people. To achieve this aim we employed intersectionality as a theoretical framework to explore the culture-gambling intersection for this population group. We analysed data from a subset of focus groups conducted for a broad study of gambling harms in New Zealand. The subset was selected based on the presence of individuals knowledgeable about Pacific people's gambling behaviours, including staff from Pacific problem gambling treatment services who provided examples from a cultural perspective. We identified themes at a latent level via an interpretive process to identify underlying cultural contexts of gambling harms. Findings indicated that whilst harms experienced by Pacific people were similar to those identified amongst the general population, the cultural contexts in which some harms manifested were complex. This paper contributes to the existing knowledge base about gambling harms for Pacific people in relation to six culture-gambling intersecting themes that emerged from the data: collectivism, gift-giving, gambling-based fundraising, patriarchy, beliefs about blessings, and sports celebrities. Findings are discussed in relation to the current knowledge of gambling and conceptualisations of gambling harm within Pacific communities. Implications for culturally appropriate harm minimisation strategies and prevention interventions for this population are suggested.","container-title":"Asian Journal of Gambling Issues and Public Health","DOI":"10.1186/s40405-017-0026-3","ISSN":"2195-3007","issue":"1","journalAbbreviation":"Asian J Gambl Issues Public Health","language":"eng","note":"number: 1\nPMID: 28868234\nPMCID: PMC5562785","page":"5","source":"PubMed","title":"How gambling harms experienced by Pacific people in New Zealand amplify when they are culture-related","volume":"7","author":[{"family":"Kolandai-Matchett","given":"Komathi"},{"family":"Langham","given":"Erika"},{"family":"Bellringer","given":"Maria"},{"family":"Siitia","given":"Pesio Ah-Honi"}],"issued":{"date-parts":[["2017"]]}}}],"schema":"https://github.com/citation-style-language/schema/raw/master/csl-citation.json"} </w:instrText>
      </w:r>
      <w:r w:rsidR="001E4FA6" w:rsidRPr="00A06DF7">
        <w:rPr>
          <w:rFonts w:cs="Calibri"/>
        </w:rPr>
        <w:fldChar w:fldCharType="separate"/>
      </w:r>
      <w:r w:rsidR="001E4FA6" w:rsidRPr="00A06DF7">
        <w:rPr>
          <w:rFonts w:cs="Calibri"/>
        </w:rPr>
        <w:t>(Fehoko, 2020; Fehoko et al., 2022; Kolandai-Matchett et al., 2017)</w:t>
      </w:r>
      <w:r w:rsidR="001E4FA6" w:rsidRPr="00A06DF7">
        <w:rPr>
          <w:rFonts w:cs="Calibri"/>
        </w:rPr>
        <w:fldChar w:fldCharType="end"/>
      </w:r>
      <w:r w:rsidR="0074175A" w:rsidRPr="00A06DF7">
        <w:rPr>
          <w:rFonts w:cs="Calibri"/>
        </w:rPr>
        <w:t xml:space="preserve">. </w:t>
      </w:r>
      <w:r w:rsidR="00F929D2" w:rsidRPr="00A06DF7">
        <w:rPr>
          <w:rFonts w:cs="Calibri"/>
        </w:rPr>
        <w:t>A recent study</w:t>
      </w:r>
      <w:r w:rsidR="00E42920" w:rsidRPr="00A06DF7">
        <w:rPr>
          <w:rFonts w:cs="Calibri"/>
        </w:rPr>
        <w:t xml:space="preserve"> </w:t>
      </w:r>
      <w:r w:rsidR="00E1761F" w:rsidRPr="00A06DF7">
        <w:rPr>
          <w:rFonts w:cs="Calibri"/>
        </w:rPr>
        <w:t xml:space="preserve">explored factors specific to Pacific communities </w:t>
      </w:r>
      <w:r w:rsidR="00B91D7B" w:rsidRPr="00A06DF7">
        <w:rPr>
          <w:rFonts w:cs="Calibri"/>
        </w:rPr>
        <w:t>on gambling harm and reduction</w:t>
      </w:r>
      <w:r w:rsidR="00F35BB7" w:rsidRPr="00A06DF7">
        <w:rPr>
          <w:rFonts w:cs="Calibri"/>
        </w:rPr>
        <w:t xml:space="preserve"> </w:t>
      </w:r>
      <w:r w:rsidR="00F35BB7" w:rsidRPr="00A06DF7">
        <w:rPr>
          <w:rFonts w:cs="Calibri"/>
        </w:rPr>
        <w:fldChar w:fldCharType="begin"/>
      </w:r>
      <w:r w:rsidR="00715B07" w:rsidRPr="00A06DF7">
        <w:rPr>
          <w:rFonts w:cs="Calibri"/>
        </w:rPr>
        <w:instrText xml:space="preserve"> ADDIN ZOTERO_ITEM CSL_CITATION {"citationID":"jTSHMR4J","properties":{"formattedCitation":"(Fehoko et al., 2022)","plainCitation":"(Fehoko et al., 2022)","noteIndex":0},"citationItems":[{"id":1441,"uris":["http://zotero.org/users/11111291/items/JQPI7JBD"],"itemData":{"id":1441,"type":"article-journal","abstract":"BACKGROUND: In New Zealand, Pacific people continue to be more at risk of gambling harm than the general population, despite increasing public health efforts and treatment service provisions introduced to address this social and health issue. In looking at why this is so, our first concern was to ask why the delivery of the prevailing gambling-focussed programmes was not influencing Pacific gambling behaviours. In seeking to answer this question, it was important to explore ethnic-Pacific-specific factors of gambling harm prevention and reduction.\nMETHODS: The research design was interpretivist/constructivist and phenomenological, applied through the lens of a Tongan worldview. Participants comprised Tongan male elders and youth. Recruitment of participants was through snowball sampling from churches and kava-drinking circles. A total of 28 elders and 18 youth participated through focus group talanoa and individual talanoa. This study employed descriptive thematic analysis.\nRESULTS: Participants were not aware of any policy document or problem-gambling preventative programmes. Four key themes were raised, which include raising the awareness of existing gambling harm treatment providers, the church influence in addressing gambling harm, community-based strategies, and cultural-based approaches.\nCONCLUSIONS: This study proposes several recommendations such as more awareness of gambling harm providers in community, increasing cultural spaces and church engagements, and calls for further research in addressing the prevention and reduction of gambling harm amongst the Tongan community in New Zealand.","container-title":"Harm Reduction Journal","DOI":"10.1186/s12954-022-00717-2","ISSN":"1477-7517","issue":"1","journalAbbreviation":"Harm Reduct J","language":"eng","note":"number: 1\nPMID: 36463223\nPMCID: PMC9719633","page":"134","source":"PubMed","title":"Culture, church, and collective: a qualitative study about gambling harm prevention and reduction in Aotearoa/New Zealand-a Tongan male perspective","title-short":"Culture, church, and collective","volume":"19","author":[{"family":"Fehoko","given":"Edmond S."},{"family":"Bellringer","given":"Maria E."},{"family":"Fairbairn-Dunlop","given":"Peggy"}],"issued":{"date-parts":[["2022",12,3]]}}}],"schema":"https://github.com/citation-style-language/schema/raw/master/csl-citation.json"} </w:instrText>
      </w:r>
      <w:r w:rsidR="00F35BB7" w:rsidRPr="00A06DF7">
        <w:rPr>
          <w:rFonts w:cs="Calibri"/>
        </w:rPr>
        <w:fldChar w:fldCharType="separate"/>
      </w:r>
      <w:r w:rsidR="00F35BB7" w:rsidRPr="00A06DF7">
        <w:rPr>
          <w:rFonts w:cs="Calibri"/>
        </w:rPr>
        <w:t>(Fehoko et al., 2022)</w:t>
      </w:r>
      <w:r w:rsidR="00F35BB7" w:rsidRPr="00A06DF7">
        <w:rPr>
          <w:rFonts w:cs="Calibri"/>
        </w:rPr>
        <w:fldChar w:fldCharType="end"/>
      </w:r>
      <w:r w:rsidR="00FD43FF" w:rsidRPr="00A06DF7">
        <w:rPr>
          <w:rFonts w:cs="Calibri"/>
        </w:rPr>
        <w:t>.</w:t>
      </w:r>
      <w:r w:rsidR="00F35BB7" w:rsidRPr="00A06DF7">
        <w:rPr>
          <w:rFonts w:cs="Calibri"/>
        </w:rPr>
        <w:t xml:space="preserve"> </w:t>
      </w:r>
      <w:r w:rsidR="00340A71" w:rsidRPr="00A06DF7">
        <w:rPr>
          <w:rFonts w:cs="Calibri"/>
        </w:rPr>
        <w:t xml:space="preserve">Tongan male elders and youth </w:t>
      </w:r>
      <w:r w:rsidR="00E95DE3" w:rsidRPr="00A06DF7">
        <w:rPr>
          <w:rFonts w:cs="Calibri"/>
        </w:rPr>
        <w:t xml:space="preserve">were surveyed </w:t>
      </w:r>
      <w:r w:rsidR="00744117" w:rsidRPr="00A06DF7">
        <w:rPr>
          <w:rFonts w:cs="Calibri"/>
        </w:rPr>
        <w:t>individually and via focus groups, and the following four themes were identified:</w:t>
      </w:r>
    </w:p>
    <w:p w14:paraId="6037ADAC" w14:textId="4562067E" w:rsidR="00A80A15" w:rsidRPr="00A06DF7" w:rsidRDefault="00D3443B" w:rsidP="00BD2D7B">
      <w:pPr>
        <w:pStyle w:val="Bulleted"/>
        <w:rPr>
          <w:rFonts w:cs="Calibri"/>
          <w:b/>
          <w:bCs/>
          <w:i/>
          <w:iCs/>
        </w:rPr>
      </w:pPr>
      <w:r w:rsidRPr="00A06DF7">
        <w:rPr>
          <w:rFonts w:cs="Calibri"/>
          <w:b/>
          <w:bCs/>
        </w:rPr>
        <w:t>A</w:t>
      </w:r>
      <w:r w:rsidR="006A6EBE" w:rsidRPr="00A06DF7">
        <w:rPr>
          <w:rFonts w:cs="Calibri"/>
          <w:b/>
          <w:bCs/>
        </w:rPr>
        <w:t>wareness of gambling harm providers</w:t>
      </w:r>
      <w:r w:rsidR="00BD2D7B" w:rsidRPr="00A06DF7">
        <w:rPr>
          <w:rFonts w:cs="Calibri"/>
          <w:b/>
          <w:bCs/>
        </w:rPr>
        <w:t xml:space="preserve">: </w:t>
      </w:r>
      <w:r w:rsidR="00A44463" w:rsidRPr="00A06DF7">
        <w:rPr>
          <w:rFonts w:cs="Calibri"/>
        </w:rPr>
        <w:t>Most</w:t>
      </w:r>
      <w:r w:rsidR="00EE341E" w:rsidRPr="00A06DF7">
        <w:rPr>
          <w:rFonts w:cs="Calibri"/>
        </w:rPr>
        <w:t xml:space="preserve"> participants were not aware of treatment provide</w:t>
      </w:r>
      <w:r w:rsidR="00EB2E97" w:rsidRPr="00A06DF7">
        <w:rPr>
          <w:rFonts w:cs="Calibri"/>
        </w:rPr>
        <w:t>rs and what they offered to Tongan families and communities affected by problem gambling</w:t>
      </w:r>
      <w:r w:rsidR="00461D35">
        <w:rPr>
          <w:rFonts w:cs="Calibri"/>
        </w:rPr>
        <w:t>.</w:t>
      </w:r>
    </w:p>
    <w:p w14:paraId="31557582" w14:textId="5C9FF826" w:rsidR="0009541E" w:rsidRPr="00A06DF7" w:rsidRDefault="00D3443B" w:rsidP="00BD2D7B">
      <w:pPr>
        <w:pStyle w:val="Bulleted"/>
        <w:rPr>
          <w:rFonts w:cs="Calibri"/>
        </w:rPr>
      </w:pPr>
      <w:r w:rsidRPr="00A06DF7">
        <w:rPr>
          <w:rFonts w:cs="Calibri"/>
          <w:b/>
          <w:bCs/>
        </w:rPr>
        <w:t>T</w:t>
      </w:r>
      <w:r w:rsidR="006A6EBE" w:rsidRPr="00A06DF7">
        <w:rPr>
          <w:rFonts w:cs="Calibri"/>
          <w:b/>
          <w:bCs/>
        </w:rPr>
        <w:t>he influence of church on gambling harm prevention and reduction</w:t>
      </w:r>
      <w:r w:rsidR="00BD2D7B" w:rsidRPr="00A06DF7">
        <w:rPr>
          <w:rFonts w:cs="Calibri"/>
          <w:b/>
          <w:bCs/>
        </w:rPr>
        <w:t xml:space="preserve">: </w:t>
      </w:r>
      <w:r w:rsidR="0009541E" w:rsidRPr="00A06DF7">
        <w:rPr>
          <w:rFonts w:cs="Calibri"/>
        </w:rPr>
        <w:t xml:space="preserve">Some participants </w:t>
      </w:r>
      <w:r w:rsidR="00F94311" w:rsidRPr="00A06DF7">
        <w:rPr>
          <w:rFonts w:cs="Calibri"/>
        </w:rPr>
        <w:t>highlighted</w:t>
      </w:r>
      <w:r w:rsidR="00BF55D1" w:rsidRPr="00A06DF7">
        <w:rPr>
          <w:rFonts w:cs="Calibri"/>
        </w:rPr>
        <w:t xml:space="preserve"> </w:t>
      </w:r>
      <w:r w:rsidR="00AD77E2" w:rsidRPr="00A06DF7">
        <w:rPr>
          <w:rFonts w:cs="Calibri"/>
        </w:rPr>
        <w:t xml:space="preserve">the undervalued yet critical role of the church as a space to address the </w:t>
      </w:r>
      <w:r w:rsidR="00185C8F" w:rsidRPr="00A06DF7">
        <w:rPr>
          <w:rFonts w:cs="Calibri"/>
        </w:rPr>
        <w:t>importance of preventing and minimising gambling harm</w:t>
      </w:r>
      <w:r w:rsidR="00461D35">
        <w:rPr>
          <w:rFonts w:cs="Calibri"/>
        </w:rPr>
        <w:t>.</w:t>
      </w:r>
    </w:p>
    <w:p w14:paraId="678A89C4" w14:textId="0D7B11AE" w:rsidR="00F94311" w:rsidRPr="00A06DF7" w:rsidRDefault="00D3443B" w:rsidP="00BD2D7B">
      <w:pPr>
        <w:pStyle w:val="Bulleted"/>
        <w:rPr>
          <w:rFonts w:cs="Calibri"/>
        </w:rPr>
      </w:pPr>
      <w:r w:rsidRPr="00A06DF7">
        <w:rPr>
          <w:rFonts w:cs="Calibri"/>
          <w:b/>
          <w:bCs/>
        </w:rPr>
        <w:t>C</w:t>
      </w:r>
      <w:r w:rsidR="006A6EBE" w:rsidRPr="00A06DF7">
        <w:rPr>
          <w:rFonts w:cs="Calibri"/>
          <w:b/>
          <w:bCs/>
        </w:rPr>
        <w:t>ommunity-based strategies in addressing gambling harm behaviours</w:t>
      </w:r>
      <w:r w:rsidR="00BD2D7B" w:rsidRPr="00A06DF7">
        <w:rPr>
          <w:rFonts w:cs="Calibri"/>
          <w:b/>
          <w:bCs/>
        </w:rPr>
        <w:t xml:space="preserve">: </w:t>
      </w:r>
      <w:r w:rsidR="00AD46DE" w:rsidRPr="00A06DF7">
        <w:rPr>
          <w:rFonts w:cs="Calibri"/>
        </w:rPr>
        <w:t>Ther</w:t>
      </w:r>
      <w:r w:rsidR="00653711" w:rsidRPr="00A06DF7">
        <w:rPr>
          <w:rFonts w:cs="Calibri"/>
        </w:rPr>
        <w:t xml:space="preserve">e was a common lack of knowledge </w:t>
      </w:r>
      <w:r w:rsidR="00A4397F" w:rsidRPr="00A06DF7">
        <w:rPr>
          <w:rFonts w:cs="Calibri"/>
        </w:rPr>
        <w:t>regarding</w:t>
      </w:r>
      <w:r w:rsidR="00653711" w:rsidRPr="00A06DF7">
        <w:rPr>
          <w:rFonts w:cs="Calibri"/>
        </w:rPr>
        <w:t xml:space="preserve"> gambling policies and </w:t>
      </w:r>
      <w:r w:rsidR="00A4397F" w:rsidRPr="00A06DF7">
        <w:rPr>
          <w:rFonts w:cs="Calibri"/>
        </w:rPr>
        <w:t>regulation. Participants proposed that health professionals and government officials should introduce awareness around gambling and gambling harm in the educational curriculum</w:t>
      </w:r>
      <w:r w:rsidR="00461D35">
        <w:rPr>
          <w:rFonts w:cs="Calibri"/>
        </w:rPr>
        <w:t>.</w:t>
      </w:r>
    </w:p>
    <w:p w14:paraId="65AAB709" w14:textId="330641EE" w:rsidR="00C63F9E" w:rsidRPr="00A06DF7" w:rsidRDefault="00D3443B" w:rsidP="00BD2D7B">
      <w:pPr>
        <w:pStyle w:val="Bulleted"/>
        <w:rPr>
          <w:rFonts w:cs="Calibri"/>
        </w:rPr>
      </w:pPr>
      <w:r w:rsidRPr="00A06DF7">
        <w:rPr>
          <w:rFonts w:cs="Calibri"/>
          <w:b/>
          <w:bCs/>
        </w:rPr>
        <w:t>C</w:t>
      </w:r>
      <w:r w:rsidR="006A6EBE" w:rsidRPr="00A06DF7">
        <w:rPr>
          <w:rFonts w:cs="Calibri"/>
          <w:b/>
          <w:bCs/>
        </w:rPr>
        <w:t>ultural strategies addressing gambling harm behaviours</w:t>
      </w:r>
      <w:r w:rsidR="00BD2D7B" w:rsidRPr="00A06DF7">
        <w:rPr>
          <w:rFonts w:cs="Calibri"/>
          <w:b/>
          <w:bCs/>
        </w:rPr>
        <w:t xml:space="preserve">: </w:t>
      </w:r>
      <w:r w:rsidR="001944DB" w:rsidRPr="00A06DF7">
        <w:rPr>
          <w:rFonts w:cs="Calibri"/>
        </w:rPr>
        <w:t>Critical to this</w:t>
      </w:r>
      <w:r w:rsidR="002A252F" w:rsidRPr="00A06DF7">
        <w:rPr>
          <w:rFonts w:cs="Calibri"/>
        </w:rPr>
        <w:t xml:space="preserve"> study was the need for gambling treatment providers to investigate cultural and traditional practices, such as the faikava, as a means to address </w:t>
      </w:r>
      <w:r w:rsidR="008B11CC" w:rsidRPr="00A06DF7">
        <w:rPr>
          <w:rFonts w:cs="Calibri"/>
        </w:rPr>
        <w:t xml:space="preserve">this social and health issue. The importance of the faikava lies in the </w:t>
      </w:r>
      <w:r w:rsidR="0068213C" w:rsidRPr="00A06DF7">
        <w:rPr>
          <w:rFonts w:cs="Calibri"/>
        </w:rPr>
        <w:t>importance of socialising, sharing, and communicating in a harmonious manner, free from the fear of judgment or misinterpretation.</w:t>
      </w:r>
    </w:p>
    <w:p w14:paraId="4ED28923" w14:textId="77777777" w:rsidR="007D7D39" w:rsidRPr="00A06DF7" w:rsidRDefault="007D7D39">
      <w:pPr>
        <w:pStyle w:val="Heading6"/>
        <w:rPr>
          <w:rFonts w:cs="Calibri"/>
        </w:rPr>
      </w:pPr>
      <w:bookmarkStart w:id="186" w:name="_Toc65250319"/>
      <w:bookmarkStart w:id="187" w:name="_Toc76469794"/>
      <w:bookmarkStart w:id="188" w:name="_Toc166507394"/>
      <w:r w:rsidRPr="00A06DF7">
        <w:rPr>
          <w:rFonts w:cs="Calibri"/>
        </w:rPr>
        <w:t>There are mixed views about the association between gambling and mental and physical health</w:t>
      </w:r>
      <w:bookmarkEnd w:id="186"/>
      <w:bookmarkEnd w:id="187"/>
      <w:bookmarkEnd w:id="188"/>
    </w:p>
    <w:p w14:paraId="073EB71E" w14:textId="591D850F" w:rsidR="000C5825" w:rsidRPr="00A06DF7" w:rsidRDefault="00C3225A" w:rsidP="007D7D39">
      <w:pPr>
        <w:rPr>
          <w:rFonts w:cs="Calibri"/>
        </w:rPr>
      </w:pPr>
      <w:r w:rsidRPr="00A06DF7">
        <w:rPr>
          <w:rFonts w:cs="Calibri"/>
        </w:rPr>
        <w:t>A recent longitudinal population study in New Zealand f</w:t>
      </w:r>
      <w:r w:rsidR="00D95A48" w:rsidRPr="00A06DF7">
        <w:rPr>
          <w:rFonts w:cs="Calibri"/>
        </w:rPr>
        <w:t xml:space="preserve">ound that changes in </w:t>
      </w:r>
      <w:r w:rsidRPr="00A06DF7">
        <w:rPr>
          <w:rFonts w:cs="Calibri"/>
        </w:rPr>
        <w:t>some health and lifestyle behaviours are significantly associated with changes in gambling behaviours</w:t>
      </w:r>
      <w:r w:rsidR="0049450B" w:rsidRPr="00A06DF7">
        <w:rPr>
          <w:rFonts w:cs="Calibri"/>
        </w:rPr>
        <w:t xml:space="preserve"> </w:t>
      </w:r>
      <w:r w:rsidR="0049450B" w:rsidRPr="00A06DF7">
        <w:rPr>
          <w:rFonts w:cs="Calibri"/>
        </w:rPr>
        <w:fldChar w:fldCharType="begin"/>
      </w:r>
      <w:r w:rsidR="00715B07" w:rsidRPr="00A06DF7">
        <w:rPr>
          <w:rFonts w:cs="Calibri"/>
        </w:rPr>
        <w:instrText xml:space="preserve"> ADDIN ZOTERO_ITEM CSL_CITATION {"citationID":"MPpeSjHP","properties":{"formattedCitation":"(Bellringer et al., 2024)","plainCitation":"(Bellringer et al., 2024)","noteIndex":0},"citationItems":[{"id":1443,"uris":["http://zotero.org/users/11111291/items/LLWDJ9CK"],"itemData":{"id":1443,"type":"article-journal","abstract":"Although a large number of studies have investigated associations between risky gambling behaviours and health, lifestyle and social factors, research has not focused on changes in these factors and associations with changes in gambling risk level. This study utilised existing data from the four waves of the longitudinal New Zealand National Gambling Study to examine associations between changes in substance use, mental and physical health, and quality of life and deprivation with changes in gambling risk level over time. A Markov chain transition model was used to perform these analyses using data from participants who had completed all four waves (11,080 data transitions). Although changes in various covariates were associated with changes in all gambling risk levels, the highest number of significant factors was for transitioning into risky gambling from non-problematic gambling, including development, or continuation, of several negative health and lifestyle factors that may possibly be alleviated by transitioning out of risky gambling. These findings highlight the importance of screening for gambling behaviours when assisting people with substance use, health issues, or social situations or conditions in order to provide appropriate and effective social, health and treatment supports for people whose gambling behaviour increases over time.","container-title":"Addictive Behaviors","DOI":"10.1016/j.addbeh.2023.107886","ISSN":"1873-6327","journalAbbreviation":"Addict Behav","language":"eng","note":"PMID: 37832399","page":"107886","source":"PubMed","title":"Changes in some health and lifestyle behaviours are significantly associated with changes in gambling behaviours: Findings from a longitudinal New Zealand population study","title-short":"Changes in some health and lifestyle behaviours are significantly associated with changes in gambling behaviours","volume":"149","author":[{"family":"Bellringer","given":"Maria E."},{"family":"Janicot","given":"Stéphane"},{"family":"Ikeda","given":"Takayoshi"}],"issued":{"date-parts":[["2024",2]]}}}],"schema":"https://github.com/citation-style-language/schema/raw/master/csl-citation.json"} </w:instrText>
      </w:r>
      <w:r w:rsidR="0049450B" w:rsidRPr="00A06DF7">
        <w:rPr>
          <w:rFonts w:cs="Calibri"/>
        </w:rPr>
        <w:fldChar w:fldCharType="separate"/>
      </w:r>
      <w:r w:rsidR="0049450B" w:rsidRPr="00A06DF7">
        <w:rPr>
          <w:rFonts w:cs="Calibri"/>
        </w:rPr>
        <w:t>(Bellringer et al., 2024)</w:t>
      </w:r>
      <w:r w:rsidR="0049450B" w:rsidRPr="00A06DF7">
        <w:rPr>
          <w:rFonts w:cs="Calibri"/>
        </w:rPr>
        <w:fldChar w:fldCharType="end"/>
      </w:r>
      <w:r w:rsidR="0049450B" w:rsidRPr="00A06DF7">
        <w:rPr>
          <w:rFonts w:cs="Calibri"/>
        </w:rPr>
        <w:t xml:space="preserve">. </w:t>
      </w:r>
      <w:r w:rsidR="00B22F28" w:rsidRPr="00A06DF7">
        <w:rPr>
          <w:rFonts w:cs="Calibri"/>
        </w:rPr>
        <w:t xml:space="preserve">In this study, existing data from the four waves of the longitudinal New Zealand Gambling Study were </w:t>
      </w:r>
      <w:r w:rsidR="004E3E39" w:rsidRPr="00A06DF7">
        <w:rPr>
          <w:rFonts w:cs="Calibri"/>
        </w:rPr>
        <w:t>analysed to investigate the relationships between changes in substance use, mental and</w:t>
      </w:r>
      <w:r w:rsidR="004E3E39">
        <w:t xml:space="preserve"> </w:t>
      </w:r>
      <w:r w:rsidR="004E3E39" w:rsidRPr="00A06DF7">
        <w:rPr>
          <w:rFonts w:cs="Calibri"/>
        </w:rPr>
        <w:lastRenderedPageBreak/>
        <w:t xml:space="preserve">physical health, </w:t>
      </w:r>
      <w:r w:rsidR="00E9758B" w:rsidRPr="00A06DF7">
        <w:rPr>
          <w:rFonts w:cs="Calibri"/>
        </w:rPr>
        <w:t>and quality of life, as well as deprivation, and changes in gambling risk level over time.</w:t>
      </w:r>
      <w:r w:rsidR="00307A78" w:rsidRPr="00A06DF7">
        <w:rPr>
          <w:rFonts w:cs="Calibri"/>
        </w:rPr>
        <w:t xml:space="preserve"> </w:t>
      </w:r>
      <w:r w:rsidR="005404BD" w:rsidRPr="00A06DF7">
        <w:rPr>
          <w:rFonts w:cs="Calibri"/>
        </w:rPr>
        <w:t>They found that:</w:t>
      </w:r>
    </w:p>
    <w:p w14:paraId="7FBCE44E" w14:textId="7FFFA49D" w:rsidR="005404BD" w:rsidRPr="00A06DF7" w:rsidRDefault="00D3443B" w:rsidP="00BD2D7B">
      <w:pPr>
        <w:pStyle w:val="Bulleted"/>
        <w:rPr>
          <w:rFonts w:cs="Calibri"/>
        </w:rPr>
      </w:pPr>
      <w:r w:rsidRPr="00A06DF7">
        <w:rPr>
          <w:rFonts w:cs="Calibri"/>
        </w:rPr>
        <w:t>C</w:t>
      </w:r>
      <w:r w:rsidR="005404BD" w:rsidRPr="00A06DF7">
        <w:rPr>
          <w:rFonts w:cs="Calibri"/>
        </w:rPr>
        <w:t>hanges in substance use behaviours are significantly associated with changes in gambling behaviour</w:t>
      </w:r>
    </w:p>
    <w:p w14:paraId="0D15D355" w14:textId="68DD167C" w:rsidR="005404BD" w:rsidRPr="00A06DF7" w:rsidRDefault="00D3443B" w:rsidP="00BD2D7B">
      <w:pPr>
        <w:pStyle w:val="Bulleted"/>
        <w:rPr>
          <w:rFonts w:cs="Calibri"/>
        </w:rPr>
      </w:pPr>
      <w:r w:rsidRPr="00A06DF7">
        <w:rPr>
          <w:rFonts w:cs="Calibri"/>
        </w:rPr>
        <w:t>C</w:t>
      </w:r>
      <w:r w:rsidR="005404BD" w:rsidRPr="00A06DF7">
        <w:rPr>
          <w:rFonts w:cs="Calibri"/>
        </w:rPr>
        <w:t>hanges in mental health status are not significantly associated with changes in gambling behaviour</w:t>
      </w:r>
    </w:p>
    <w:p w14:paraId="1C7B113C" w14:textId="29633EF9" w:rsidR="005404BD" w:rsidRPr="00A06DF7" w:rsidRDefault="00D3443B" w:rsidP="00BD2D7B">
      <w:pPr>
        <w:pStyle w:val="Bulleted"/>
        <w:rPr>
          <w:rFonts w:cs="Calibri"/>
        </w:rPr>
      </w:pPr>
      <w:r w:rsidRPr="00A06DF7">
        <w:rPr>
          <w:rFonts w:cs="Calibri"/>
        </w:rPr>
        <w:t>C</w:t>
      </w:r>
      <w:r w:rsidR="005404BD" w:rsidRPr="00A06DF7">
        <w:rPr>
          <w:rFonts w:cs="Calibri"/>
        </w:rPr>
        <w:t>hanging lifestyle factors and susta</w:t>
      </w:r>
      <w:r w:rsidR="00B97FC3" w:rsidRPr="00A06DF7">
        <w:rPr>
          <w:rFonts w:cs="Calibri"/>
        </w:rPr>
        <w:t>ined negative health factors have the most significant associations with becoming a risky gambler.</w:t>
      </w:r>
    </w:p>
    <w:p w14:paraId="1ADD3417" w14:textId="6EDA4BF1" w:rsidR="00102637" w:rsidRPr="00A06DF7" w:rsidRDefault="0011142E" w:rsidP="007D7D39">
      <w:pPr>
        <w:rPr>
          <w:rFonts w:cs="Calibri"/>
        </w:rPr>
      </w:pPr>
      <w:r w:rsidRPr="00A06DF7">
        <w:rPr>
          <w:rFonts w:cs="Calibri"/>
        </w:rPr>
        <w:t xml:space="preserve">They concluded that </w:t>
      </w:r>
      <w:r w:rsidR="00745524" w:rsidRPr="00A06DF7">
        <w:rPr>
          <w:rFonts w:cs="Calibri"/>
        </w:rPr>
        <w:t>individuals</w:t>
      </w:r>
      <w:r w:rsidR="0011345B" w:rsidRPr="00A06DF7">
        <w:rPr>
          <w:rFonts w:cs="Calibri"/>
        </w:rPr>
        <w:t xml:space="preserve"> should be screened for gambling behaviours when assisted with health issues</w:t>
      </w:r>
      <w:r w:rsidR="00745524" w:rsidRPr="00A06DF7">
        <w:rPr>
          <w:rFonts w:cs="Calibri"/>
        </w:rPr>
        <w:t xml:space="preserve"> or social conditions </w:t>
      </w:r>
      <w:r w:rsidR="0069434B" w:rsidRPr="00A06DF7">
        <w:rPr>
          <w:rFonts w:cs="Calibri"/>
        </w:rPr>
        <w:t xml:space="preserve">to support treatment </w:t>
      </w:r>
      <w:r w:rsidR="00D76058" w:rsidRPr="00A06DF7">
        <w:rPr>
          <w:rFonts w:cs="Calibri"/>
        </w:rPr>
        <w:t>when</w:t>
      </w:r>
      <w:r w:rsidR="006C75E4" w:rsidRPr="00A06DF7">
        <w:rPr>
          <w:rFonts w:cs="Calibri"/>
        </w:rPr>
        <w:t xml:space="preserve"> gambling behaviour worsens over time.</w:t>
      </w:r>
    </w:p>
    <w:p w14:paraId="0D54666C" w14:textId="77777777" w:rsidR="00146F51" w:rsidRPr="00A06DF7" w:rsidRDefault="00146F51" w:rsidP="00146F51">
      <w:pPr>
        <w:pStyle w:val="Heading6"/>
        <w:rPr>
          <w:rFonts w:cs="Calibri"/>
          <w:shd w:val="clear" w:color="auto" w:fill="FFFFFF"/>
        </w:rPr>
      </w:pPr>
      <w:bookmarkStart w:id="189" w:name="_Toc166507395"/>
      <w:r w:rsidRPr="00A06DF7">
        <w:rPr>
          <w:rFonts w:cs="Calibri"/>
          <w:shd w:val="clear" w:color="auto" w:fill="FFFFFF"/>
        </w:rPr>
        <w:t>There is mixed evidence on the link between online gaming and harmful gambling</w:t>
      </w:r>
      <w:bookmarkEnd w:id="189"/>
    </w:p>
    <w:p w14:paraId="79E9F162" w14:textId="3D38C341" w:rsidR="00146F51" w:rsidRPr="00A06DF7" w:rsidRDefault="00FC6087" w:rsidP="00146F51">
      <w:pPr>
        <w:rPr>
          <w:rFonts w:cs="Calibri"/>
        </w:rPr>
      </w:pPr>
      <w:r>
        <w:rPr>
          <w:rFonts w:cs="Calibri"/>
        </w:rPr>
        <w:t xml:space="preserve">There has been limited new </w:t>
      </w:r>
      <w:r w:rsidR="001E0FC1">
        <w:rPr>
          <w:rFonts w:cs="Calibri"/>
        </w:rPr>
        <w:t xml:space="preserve">evidence on the link between online gaming and harmful gambling since the previous needs assessments, </w:t>
      </w:r>
      <w:r w:rsidR="00BA2388">
        <w:rPr>
          <w:rFonts w:cs="Calibri"/>
        </w:rPr>
        <w:t>however</w:t>
      </w:r>
      <w:r w:rsidR="00146F51" w:rsidRPr="00A06DF7">
        <w:rPr>
          <w:rFonts w:cs="Calibri"/>
        </w:rPr>
        <w:t xml:space="preserve"> international studies suggest:</w:t>
      </w:r>
    </w:p>
    <w:p w14:paraId="1EDE26A1" w14:textId="04B480AC" w:rsidR="00146F51" w:rsidRPr="00A06DF7" w:rsidRDefault="00D3443B" w:rsidP="00824A47">
      <w:pPr>
        <w:pStyle w:val="Bulleted"/>
        <w:rPr>
          <w:rFonts w:cs="Calibri"/>
        </w:rPr>
      </w:pPr>
      <w:r w:rsidRPr="5192E535">
        <w:rPr>
          <w:rFonts w:cs="Calibri"/>
        </w:rPr>
        <w:t>V</w:t>
      </w:r>
      <w:r w:rsidR="00146F51" w:rsidRPr="5192E535">
        <w:rPr>
          <w:rFonts w:cs="Calibri"/>
        </w:rPr>
        <w:t xml:space="preserve">ideo game problems may serve as a precursor to problematic gambling behaviour according to a Norwegian longitudinal study </w:t>
      </w:r>
      <w:r w:rsidRPr="5192E535">
        <w:rPr>
          <w:rFonts w:cs="Calibri"/>
        </w:rPr>
        <w:fldChar w:fldCharType="begin"/>
      </w:r>
      <w:r w:rsidRPr="5192E535">
        <w:rPr>
          <w:rFonts w:cs="Calibri"/>
        </w:rPr>
        <w:instrText xml:space="preserve"> ADDIN ZOTERO_ITEM CSL_CITATION {"citationID":"g4LOzDUe","properties":{"formattedCitation":"(Molde et al., 2019)","plainCitation":"(Molde et al., 2019)","noteIndex":0},"citationItems":[{"id":1521,"uris":["http://zotero.org/users/11111291/items/TGYAYWC9"],"itemData":{"id":1521,"type":"article-journal","abstract":"The scope and variety of video games and monetary gambling opportunities are expanding rapidly. In many ways, these forms of entertainment are converging on digital and online video games and gambling sites. However, little is known about the relationship between video gaming and gambling. The present study explored the possibility of a directional relationship between measures of problem gaming and problem gambling, while also controlling for the influence of sex and age. In contrast to most previous investigations which are based on cross-sectional designs and non-representative samples, the present study utilized a longitudinal design conducted over 2 years (2013, 2015) and comprising 4601 participants (males 47.2%, age range 16-74) drawn from a random sample from the general population. Video gaming and gambling were assessed using the Gaming Addiction Scale for Adolescents and the Canadian Problem Gambling Index, respectively. Using an autoregressive cross-lagged structural equation model, we found a positive relationship between scores on problematic gaming and later scores on problematic gambling, whereas we found no evidence of the reverse relationship. Hence, video gaming problems appear to be a gateway behavior to problematic gambling behavior. In future research, one should continue to monitor the possible reciprocal behavioral influences between gambling and video gaming.","container-title":"Journal of Gambling Studies","DOI":"10.1007/s10899-018-9781-z","ISSN":"1573-3602","issue":"2","journalAbbreviation":"J Gambl Stud","language":"eng","note":"PMID: 29869768\nPMCID: PMC6517345","page":"545-557","source":"PubMed","title":"Are Video Games a Gateway to Gambling? A Longitudinal Study Based on a Representative Norwegian Sample","title-short":"Are Video Games a Gateway to Gambling?","volume":"35","author":[{"family":"Molde","given":"Helge"},{"family":"Holmøy","given":"Bjørn"},{"family":"Merkesdal","given":"Aleksander Garvik"},{"family":"Torsheim","given":"Torbjørn"},{"family":"Mentzoni","given":"Rune Aune"},{"family":"Hanns","given":"Daniel"},{"family":"Sagoe","given":"Dominic"},{"family":"Pallesen","given":"Ståle"}],"issued":{"date-parts":[["2019",6]]}}}],"schema":"https://github.com/citation-style-language/schema/raw/master/csl-citation.json"} </w:instrText>
      </w:r>
      <w:r w:rsidRPr="5192E535">
        <w:rPr>
          <w:rFonts w:cs="Calibri"/>
        </w:rPr>
        <w:fldChar w:fldCharType="separate"/>
      </w:r>
      <w:r w:rsidR="00146F51" w:rsidRPr="5192E535">
        <w:rPr>
          <w:rFonts w:cs="Calibri"/>
        </w:rPr>
        <w:t>(Molde et al., 2019)</w:t>
      </w:r>
      <w:r w:rsidRPr="5192E535">
        <w:rPr>
          <w:rFonts w:cs="Calibri"/>
        </w:rPr>
        <w:fldChar w:fldCharType="end"/>
      </w:r>
    </w:p>
    <w:p w14:paraId="4B7CA2DD" w14:textId="788A2505" w:rsidR="00146F51" w:rsidRPr="00A06DF7" w:rsidRDefault="00D3443B" w:rsidP="00824A47">
      <w:pPr>
        <w:pStyle w:val="Bulleted"/>
        <w:rPr>
          <w:rFonts w:cs="Calibri"/>
        </w:rPr>
      </w:pPr>
      <w:r w:rsidRPr="5192E535">
        <w:rPr>
          <w:rFonts w:cs="Calibri"/>
        </w:rPr>
        <w:t>C</w:t>
      </w:r>
      <w:r w:rsidR="00146F51" w:rsidRPr="5192E535">
        <w:rPr>
          <w:rFonts w:cs="Calibri"/>
        </w:rPr>
        <w:t xml:space="preserve">hildren who bet on gaming enhancements are deemed at-risk for potential future gambling harm </w:t>
      </w:r>
      <w:r w:rsidRPr="5192E535">
        <w:rPr>
          <w:rFonts w:cs="Calibri"/>
        </w:rPr>
        <w:fldChar w:fldCharType="begin"/>
      </w:r>
      <w:r w:rsidRPr="5192E535">
        <w:rPr>
          <w:rFonts w:cs="Calibri"/>
        </w:rPr>
        <w:instrText xml:space="preserve"> ADDIN ZOTERO_ITEM CSL_CITATION {"citationID":"498cIAvM","properties":{"formattedCitation":"(Wardle, 2019)","plainCitation":"(Wardle, 2019)","noteIndex":0},"citationItems":[{"id":1523,"uris":["http://zotero.org/users/11111291/items/FNVH87NQ"],"itemData":{"id":1523,"type":"article-journal","abstract":"There is increasing attention on the introduction of gambling-like practices within video games. Termed convergence, this has been explored from the viewpoint of the product, examining similarities in game/gambling mechanics. Understanding convergence of practice is essential to map the epidemiology of these behaviours, especially among children. This paper focuses on the betting of skins within video games to explore co-occurrence with other forms of gambling among British children aged 11–16. Analysing the British Youth Gambling Survey showed that 39% of children who bet on skins in the past month had also gambled on other activities. Betting on skins and other forms of gambling increased with age and concordance of skin gambling/betting was greatest for those who also gambled online. Among gamblers, those who bet skins had higher rates of at-risk and problem gambling than those who did not (23% vs. 8%), though they had a greater breath of gambling involvement. Skin gambling alone was not significantly associated with at-risk gambling when other forms of gambling activity were taken into account. Skin betting and gambling on other activities cluster together, especially where the medium underpinning the behaviours is the same. Children who engage in both skin gambling/betting and other forms of gambling should be considered at-risk for the experience of harms because of their heightened engagement in gambling and gambling-like activities.","container-title":"Journal of Gambling Studies","DOI":"10.1007/s10899-019-09840-5","ISSN":"1573-3602","issue":"4","journalAbbreviation":"J Gambl Stud","language":"en","page":"1109-1125","source":"Springer Link","title":"The Same or Different? Convergence of Skin Gambling and Other Gambling Among Children","title-short":"The Same or Different?","volume":"35","author":[{"family":"Wardle","given":"Heather"}],"issued":{"date-parts":[["2019",12,1]]}}}],"schema":"https://github.com/citation-style-language/schema/raw/master/csl-citation.json"} </w:instrText>
      </w:r>
      <w:r w:rsidRPr="5192E535">
        <w:rPr>
          <w:rFonts w:cs="Calibri"/>
        </w:rPr>
        <w:fldChar w:fldCharType="separate"/>
      </w:r>
      <w:r w:rsidR="00146F51" w:rsidRPr="5192E535">
        <w:rPr>
          <w:rFonts w:cs="Calibri"/>
        </w:rPr>
        <w:t>(Wardle, 2019)</w:t>
      </w:r>
      <w:r w:rsidRPr="5192E535">
        <w:rPr>
          <w:rFonts w:cs="Calibri"/>
        </w:rPr>
        <w:fldChar w:fldCharType="end"/>
      </w:r>
    </w:p>
    <w:p w14:paraId="0780D0DB" w14:textId="2EF81FF8" w:rsidR="00146F51" w:rsidRPr="00A06DF7" w:rsidRDefault="00D3443B" w:rsidP="00824A47">
      <w:pPr>
        <w:pStyle w:val="Bulleted"/>
        <w:rPr>
          <w:rFonts w:cs="Calibri"/>
        </w:rPr>
      </w:pPr>
      <w:r w:rsidRPr="00A06DF7">
        <w:rPr>
          <w:rFonts w:cs="Calibri"/>
        </w:rPr>
        <w:t>T</w:t>
      </w:r>
      <w:r w:rsidR="00146F51" w:rsidRPr="00A06DF7">
        <w:rPr>
          <w:rFonts w:cs="Calibri"/>
        </w:rPr>
        <w:t xml:space="preserve">he increasing prevalence of </w:t>
      </w:r>
      <w:r w:rsidR="005C447B" w:rsidRPr="00A06DF7">
        <w:rPr>
          <w:rFonts w:cs="Calibri"/>
        </w:rPr>
        <w:t>offshore-based</w:t>
      </w:r>
      <w:r w:rsidR="00146F51" w:rsidRPr="00A06DF7">
        <w:rPr>
          <w:rFonts w:cs="Calibri"/>
        </w:rPr>
        <w:t xml:space="preserve"> gambling and the integration of gambling elements into sports and gaming requires attention </w:t>
      </w:r>
      <w:r w:rsidR="00146F51" w:rsidRPr="00A06DF7">
        <w:rPr>
          <w:rFonts w:cs="Calibri"/>
        </w:rPr>
        <w:fldChar w:fldCharType="begin"/>
      </w:r>
      <w:r w:rsidR="00715B07" w:rsidRPr="00A06DF7">
        <w:rPr>
          <w:rFonts w:cs="Calibri"/>
        </w:rPr>
        <w:instrText xml:space="preserve"> ADDIN ZOTERO_ITEM CSL_CITATION {"citationID":"05BYUsmX","properties":{"formattedCitation":"(Christopher, 2021)","plainCitation":"(Christopher, 2021)","noteIndex":0},"citationItems":[{"id":1524,"uris":["http://zotero.org/users/11111291/items/ZNTWQ2A7"],"itemData":{"id":1524,"type":"article-journal","container-title":"The Lancet Public Health","DOI":"10.1016/S2468-2667(20)30290-5","ISSN":"2468-2667","issue":"1","journalAbbreviation":"The Lancet Public Health","language":"English","note":"publisher: Elsevier\nPMID: 33417843","page":"e1","source":"www.thelancet.com","title":"Gambling: a neglected public health issue","title-short":"Gambling","volume":"6","author":[{"family":"Christopher","given":"F."}],"issued":{"date-parts":[["2021",1,1]]}}}],"schema":"https://github.com/citation-style-language/schema/raw/master/csl-citation.json"} </w:instrText>
      </w:r>
      <w:r w:rsidR="00146F51" w:rsidRPr="00A06DF7">
        <w:rPr>
          <w:rFonts w:cs="Calibri"/>
        </w:rPr>
        <w:fldChar w:fldCharType="separate"/>
      </w:r>
      <w:r w:rsidR="00146F51" w:rsidRPr="00A06DF7">
        <w:rPr>
          <w:rFonts w:cs="Calibri"/>
        </w:rPr>
        <w:t>(Christopher, 2021)</w:t>
      </w:r>
      <w:r w:rsidR="00146F51" w:rsidRPr="00A06DF7">
        <w:rPr>
          <w:rFonts w:cs="Calibri"/>
        </w:rPr>
        <w:fldChar w:fldCharType="end"/>
      </w:r>
      <w:r w:rsidR="00146F51" w:rsidRPr="00A06DF7">
        <w:rPr>
          <w:rFonts w:cs="Calibri"/>
        </w:rPr>
        <w:t>.</w:t>
      </w:r>
    </w:p>
    <w:p w14:paraId="73D9097E" w14:textId="6ACC853E" w:rsidR="00146F51" w:rsidRPr="00A06DF7" w:rsidRDefault="00146F51" w:rsidP="00146F51">
      <w:pPr>
        <w:rPr>
          <w:rFonts w:cs="Calibri"/>
        </w:rPr>
      </w:pPr>
      <w:r w:rsidRPr="00A06DF7">
        <w:rPr>
          <w:rFonts w:cs="Calibri"/>
        </w:rPr>
        <w:t xml:space="preserve">Contrarily, a recent Australian study found that young people who played general video games daily during adolescence (aged 16-17 years) did not necessarily exhibit a higher likelihood of gambling as young adults (aged 18-19 years) </w:t>
      </w:r>
      <w:r w:rsidRPr="00A06DF7">
        <w:rPr>
          <w:rFonts w:cs="Calibri"/>
        </w:rPr>
        <w:fldChar w:fldCharType="begin"/>
      </w:r>
      <w:r w:rsidR="00715B07" w:rsidRPr="00A06DF7">
        <w:rPr>
          <w:rFonts w:cs="Calibri"/>
        </w:rPr>
        <w:instrText xml:space="preserve"> ADDIN ZOTERO_ITEM CSL_CITATION {"citationID":"i7sdjPsM","properties":{"formattedCitation":"(Sakata &amp; Jenkinson, 2022)","plainCitation":"(Sakata &amp; Jenkinson, 2022)","noteIndex":0},"citationItems":[{"id":1526,"uris":["http://zotero.org/users/11111291/items/PTNMT5WK"],"itemData":{"id":1526,"type":"report","abstract":"This snapshot examines the link between playing video games during adolescence and gambling as a young adult.","genre":"Text","language":"en","title":"What is the link between video gaming and gambling?","URL":"https://growingupinaustralia.gov.au/sites/default/files/publication-documents/lsac-snapshot-7-teenage-gambling.pdf","author":[{"family":"Sakata","given":"Kei"},{"family":"Jenkinson","given":"Rebecca"}],"accessed":{"date-parts":[["2024",1,24]]},"issued":{"date-parts":[["2022"]]}}}],"schema":"https://github.com/citation-style-language/schema/raw/master/csl-citation.json"} </w:instrText>
      </w:r>
      <w:r w:rsidRPr="00A06DF7">
        <w:rPr>
          <w:rFonts w:cs="Calibri"/>
        </w:rPr>
        <w:fldChar w:fldCharType="separate"/>
      </w:r>
      <w:r w:rsidRPr="00A06DF7">
        <w:rPr>
          <w:rFonts w:cs="Calibri"/>
        </w:rPr>
        <w:t>(Sakata &amp; Jenkinson, 2022)</w:t>
      </w:r>
      <w:r w:rsidRPr="00A06DF7">
        <w:rPr>
          <w:rFonts w:cs="Calibri"/>
        </w:rPr>
        <w:fldChar w:fldCharType="end"/>
      </w:r>
      <w:r w:rsidRPr="00A06DF7">
        <w:rPr>
          <w:rFonts w:cs="Calibri"/>
        </w:rPr>
        <w:t xml:space="preserve">. However, they found that those who played simulated gambling games in adolescence had a higher probability of spending real money on gambling as young adults. </w:t>
      </w:r>
    </w:p>
    <w:p w14:paraId="4DECB8EF" w14:textId="01489140" w:rsidR="00146F51" w:rsidRPr="00A06DF7" w:rsidRDefault="00146F51" w:rsidP="007D7D39">
      <w:pPr>
        <w:rPr>
          <w:rFonts w:cs="Calibri"/>
        </w:rPr>
      </w:pPr>
      <w:r w:rsidRPr="00A06DF7">
        <w:rPr>
          <w:rFonts w:cs="Calibri"/>
        </w:rPr>
        <w:fldChar w:fldCharType="begin"/>
      </w:r>
      <w:r w:rsidR="00715B07" w:rsidRPr="00A06DF7">
        <w:rPr>
          <w:rFonts w:cs="Calibri"/>
        </w:rPr>
        <w:instrText xml:space="preserve"> ADDIN ZOTERO_ITEM CSL_CITATION {"citationID":"z8J9JvEW","properties":{"formattedCitation":"(Taufa et al., 2021)","plainCitation":"(Taufa et al., 2021)","dontUpdate":true,"noteIndex":0},"citationItems":[{"id":1528,"uris":["http://zotero.org/users/11111291/items/Z8MY4X83"],"itemData":{"id":1528,"type":"report","language":"en","source":"Zotero","title":"Pasifika Youth Online Gaming and Gambling Research: Are online video games a gateway to problem gambling among Pasifika youth?","author":[{"family":"Taufa","given":"S"},{"family":"Gentles","given":"D"},{"family":"Berking","given":"G"},{"family":"Siataga","given":"P"},{"family":"Ah-Honi","given":"P"},{"family":"Fa'alili-Fidow","given":"J"}],"issued":{"date-parts":[["2021"]]}}}],"schema":"https://github.com/citation-style-language/schema/raw/master/csl-citation.json"} </w:instrText>
      </w:r>
      <w:r w:rsidRPr="00A06DF7">
        <w:rPr>
          <w:rFonts w:cs="Calibri"/>
        </w:rPr>
        <w:fldChar w:fldCharType="separate"/>
      </w:r>
      <w:r w:rsidRPr="00A06DF7">
        <w:rPr>
          <w:rFonts w:cs="Calibri"/>
        </w:rPr>
        <w:t>Taufa et al. (2021)</w:t>
      </w:r>
      <w:r w:rsidRPr="00A06DF7">
        <w:rPr>
          <w:rFonts w:cs="Calibri"/>
        </w:rPr>
        <w:fldChar w:fldCharType="end"/>
      </w:r>
      <w:r w:rsidRPr="00A06DF7">
        <w:rPr>
          <w:rFonts w:cs="Calibri"/>
        </w:rPr>
        <w:t xml:space="preserve"> analysed the experiences of </w:t>
      </w:r>
      <w:r w:rsidR="00D3443B" w:rsidRPr="00A06DF7">
        <w:rPr>
          <w:rFonts w:cs="Calibri"/>
        </w:rPr>
        <w:t>Pacific</w:t>
      </w:r>
      <w:r w:rsidRPr="00A06DF7">
        <w:rPr>
          <w:rFonts w:cs="Calibri"/>
        </w:rPr>
        <w:t xml:space="preserve"> youth gamers and explored the relationship between gaming and gambling in New Zealand. Participants were able to recogni</w:t>
      </w:r>
      <w:r w:rsidR="00557824" w:rsidRPr="00A06DF7">
        <w:rPr>
          <w:rFonts w:cs="Calibri"/>
        </w:rPr>
        <w:t>s</w:t>
      </w:r>
      <w:r w:rsidRPr="00A06DF7">
        <w:rPr>
          <w:rFonts w:cs="Calibri"/>
        </w:rPr>
        <w:t xml:space="preserve">e their own gambling and gaming harm characteristics and could identify both distinct and shared adverse effects such as irritability, isolation, and anger. They also found that gaming often serves as a gateway to gambling activities such as solitaire and the increased desire to win. Notably, they concluded that </w:t>
      </w:r>
      <w:r w:rsidR="00D3443B" w:rsidRPr="00A06DF7">
        <w:rPr>
          <w:rFonts w:cs="Calibri"/>
        </w:rPr>
        <w:t>Pacific</w:t>
      </w:r>
      <w:r w:rsidRPr="00A06DF7">
        <w:rPr>
          <w:rFonts w:cs="Calibri"/>
        </w:rPr>
        <w:t xml:space="preserve"> gamers spend significantly more money on loot boxes</w:t>
      </w:r>
      <w:r w:rsidRPr="00A06DF7">
        <w:rPr>
          <w:rStyle w:val="FootnoteReference"/>
          <w:rFonts w:cs="Calibri"/>
        </w:rPr>
        <w:footnoteReference w:id="24"/>
      </w:r>
      <w:r w:rsidRPr="00A06DF7">
        <w:rPr>
          <w:rFonts w:cs="Calibri"/>
        </w:rPr>
        <w:t xml:space="preserve"> than other ethnicities. </w:t>
      </w:r>
      <w:r w:rsidRPr="00A06DF7">
        <w:rPr>
          <w:rFonts w:cs="Calibri"/>
        </w:rPr>
        <w:lastRenderedPageBreak/>
        <w:t>The study concluded that there is an association between prolonged regular gaming and purchasing loot boxes, as well as characteristic links between gaming and problem gambling.</w:t>
      </w:r>
    </w:p>
    <w:p w14:paraId="32A3A3C9" w14:textId="63104D16" w:rsidR="007D7D39" w:rsidRPr="00A06DF7" w:rsidRDefault="007D7D39">
      <w:pPr>
        <w:pStyle w:val="Heading5"/>
        <w:rPr>
          <w:rFonts w:cs="Calibri"/>
        </w:rPr>
      </w:pPr>
      <w:bookmarkStart w:id="190" w:name="_Toc166507396"/>
      <w:r w:rsidRPr="00A06DF7">
        <w:rPr>
          <w:rFonts w:cs="Calibri"/>
        </w:rPr>
        <w:lastRenderedPageBreak/>
        <w:t>Harmful gambling impacts</w:t>
      </w:r>
      <w:bookmarkEnd w:id="190"/>
    </w:p>
    <w:p w14:paraId="60A43C2F" w14:textId="2F3659AE" w:rsidR="00237171" w:rsidRPr="00A06DF7" w:rsidRDefault="00692F5C" w:rsidP="000271F5">
      <w:pPr>
        <w:rPr>
          <w:rFonts w:cs="Calibri"/>
        </w:rPr>
      </w:pPr>
      <w:r w:rsidRPr="00A06DF7">
        <w:rPr>
          <w:rFonts w:cs="Calibri"/>
        </w:rPr>
        <w:t>Harm</w:t>
      </w:r>
      <w:r w:rsidR="007224DF" w:rsidRPr="00A06DF7">
        <w:rPr>
          <w:rFonts w:cs="Calibri"/>
        </w:rPr>
        <w:t>ful</w:t>
      </w:r>
      <w:r w:rsidRPr="00A06DF7">
        <w:rPr>
          <w:rFonts w:cs="Calibri"/>
        </w:rPr>
        <w:t xml:space="preserve"> gambling has many impacts, both immediate </w:t>
      </w:r>
      <w:r w:rsidR="00D95410" w:rsidRPr="00A06DF7">
        <w:rPr>
          <w:rFonts w:cs="Calibri"/>
        </w:rPr>
        <w:t xml:space="preserve">and long-term. </w:t>
      </w:r>
      <w:r w:rsidR="00E15DA8" w:rsidRPr="00A06DF7">
        <w:rPr>
          <w:rFonts w:cs="Calibri"/>
        </w:rPr>
        <w:t xml:space="preserve">Research has demonstrated </w:t>
      </w:r>
      <w:r w:rsidR="00723234" w:rsidRPr="00A06DF7">
        <w:rPr>
          <w:rFonts w:cs="Calibri"/>
        </w:rPr>
        <w:t>th</w:t>
      </w:r>
      <w:r w:rsidR="001F7226" w:rsidRPr="00A06DF7">
        <w:rPr>
          <w:rFonts w:cs="Calibri"/>
        </w:rPr>
        <w:t xml:space="preserve">e long-lasting, intergenerational </w:t>
      </w:r>
      <w:r w:rsidR="00BC1955" w:rsidRPr="00A06DF7">
        <w:rPr>
          <w:rFonts w:cs="Calibri"/>
        </w:rPr>
        <w:t xml:space="preserve">effects of gambling </w:t>
      </w:r>
      <w:r w:rsidR="001F7226" w:rsidRPr="00A06DF7">
        <w:rPr>
          <w:rFonts w:cs="Calibri"/>
        </w:rPr>
        <w:fldChar w:fldCharType="begin"/>
      </w:r>
      <w:r w:rsidR="00715B07" w:rsidRPr="00A06DF7">
        <w:rPr>
          <w:rFonts w:cs="Calibri"/>
        </w:rPr>
        <w:instrText xml:space="preserve"> ADDIN ZOTERO_ITEM CSL_CITATION {"citationID":"nEqVEnLB","properties":{"formattedCitation":"(Rockloff, Bellringer, et al., 2022; Rockloff, Browne, et al., 2022)","plainCitation":"(Rockloff, Bellringer, et al., 2022; Rockloff, Browne, et al., 2022)","noteIndex":0},"citationItems":[{"id":1498,"uris":["http://zotero.org/users/11111291/items/DSQBQERF"],"itemData":{"id":1498,"type":"report","abstract":"This research explored the full impacts of gambling harm using novel methods that explicitly capture legacy, life course, and intergenerational gambling harm","language":"en","publisher":"Queensland: Central Queensland University, Experimental Gambling Research Laboratory and Auckland: Auckland University of Technology, Gambling and Addictions Research Centre.","title":"Life Course and Legacy Gambling Harms in New Zealand","URL":"https://www.health.govt.nz/system/files/documents/publications/final-legacy-harms-report-180821.pdf","author":[{"family":"Rockloff","given":"M."},{"family":"Bellringer","given":"M. E."},{"family":"Lowe","given":"G."},{"family":"Armstrong","given":"T."},{"family":"Brown","given":"M."},{"family":"Palmer Du Preez","given":"K."},{"family":"Russel","given":"A."},{"family":"Hing","given":"N."},{"family":"Greer","given":"N."}],"accessed":{"date-parts":[["2023",12,21]]},"issued":{"date-parts":[["2022"]]}}},{"id":1447,"uris":["http://zotero.org/users/11111291/items/F8T6P2WZ"],"itemData":{"id":1447,"type":"article-journal","abstract":"BACKGROUND AND AIMS: Legacy gambling harms are negative consequences of gambling that extend past periods of low risk, moderate risk and problem gambling. Gambling harm is typically measured within a 12-month timeframe and is often restricted to examining harm amongst active gamblers. The present research aimed to explore whether people experienced gambling harms 12 months or more after the resolution of at-risk or problem gambling, and how long these legacy harms lasted.\nMETHODS: An online survey was conducted in New Zealand with past and current gamblers and concerned significant others (CSOs) of gamblers, N = 1,240 (50.8% female), that asked them about both past and current gambling harms.\nRESULTS: A majority of both gamblers and CSOs of gamblers indicated that they still suffered from gambling harm even after most of their behavioural issues with gambling had been resolved, 12+ months ago. Legacy gambling harms reduced over time, with harms diminishing most quickly in the early years, and having an average half-life of 4 years. Harms involving community-relationships, church involvement, and domestic and other violence resolved more quickly than others.\nDISCUSSION AND CONCLUSIONS: Legacy harms are common among ex-problem gamblers and should be considered in any full accounting of the impacts of gambling.\nCONCLUSION: Understanding the time course and persistence of legacy harms from gambling can provide gamblers, treatment professionals and public health experts with insights into how to address gambling's long-term consequences.","container-title":"Journal of Behavioral Addictions","DOI":"10.1556/2006.2022.00073","ISSN":"2063-5303","issue":"4","journalAbbreviation":"J Behav Addict","language":"eng","note":"number: 4\nPMID: 36227714\nPMCID: PMC9881663","page":"1002-1011","source":"PubMed","title":"Legacy gambling harms: What are they and how long do they last?","title-short":"Legacy gambling harms","volume":"11","author":[{"family":"Rockloff","given":"Matthew"},{"family":"Browne","given":"Matthew"},{"family":"Russell","given":"Alex M. T."},{"family":"Hing","given":"Nerilee"},{"family":"Armstrong","given":"Tess"},{"family":"Greer","given":"Nancy"}],"issued":{"date-parts":[["2022",12,27]]}}}],"schema":"https://github.com/citation-style-language/schema/raw/master/csl-citation.json"} </w:instrText>
      </w:r>
      <w:r w:rsidR="001F7226" w:rsidRPr="00A06DF7">
        <w:rPr>
          <w:rFonts w:cs="Calibri"/>
        </w:rPr>
        <w:fldChar w:fldCharType="separate"/>
      </w:r>
      <w:r w:rsidR="001F7226" w:rsidRPr="00A06DF7">
        <w:rPr>
          <w:rFonts w:cs="Calibri"/>
        </w:rPr>
        <w:t>(Rockloff, Bellringer, et al., 2022; Rockloff, Browne, et al., 2022)</w:t>
      </w:r>
      <w:r w:rsidR="001F7226" w:rsidRPr="00A06DF7">
        <w:rPr>
          <w:rFonts w:cs="Calibri"/>
        </w:rPr>
        <w:fldChar w:fldCharType="end"/>
      </w:r>
      <w:r w:rsidR="009556E1" w:rsidRPr="00A06DF7">
        <w:rPr>
          <w:rFonts w:cs="Calibri"/>
        </w:rPr>
        <w:t xml:space="preserve">, </w:t>
      </w:r>
      <w:r w:rsidR="001415AF" w:rsidRPr="00A06DF7">
        <w:rPr>
          <w:rFonts w:cs="Calibri"/>
        </w:rPr>
        <w:t xml:space="preserve">as well as the impacts to </w:t>
      </w:r>
      <w:r w:rsidR="001B6E91" w:rsidRPr="00A06DF7">
        <w:rPr>
          <w:rFonts w:cs="Calibri"/>
        </w:rPr>
        <w:t xml:space="preserve">wellbeing and quality of life </w:t>
      </w:r>
      <w:r w:rsidR="00820014" w:rsidRPr="00A06DF7">
        <w:rPr>
          <w:rFonts w:cs="Calibri"/>
        </w:rPr>
        <w:fldChar w:fldCharType="begin"/>
      </w:r>
      <w:r w:rsidR="00715B07" w:rsidRPr="00A06DF7">
        <w:rPr>
          <w:rFonts w:cs="Calibri"/>
        </w:rPr>
        <w:instrText xml:space="preserve"> ADDIN ZOTERO_ITEM CSL_CITATION {"citationID":"rel9L6xg","properties":{"formattedCitation":"(Wang &amp; Bellringer, 2022)","plainCitation":"(Wang &amp; Bellringer, 2022)","noteIndex":0},"citationItems":[{"id":1439,"uris":["http://zotero.org/users/11111291/items/IPD62UED"],"itemData":{"id":1439,"type":"article-journal","abstract":"Multiple factors are associated with disordered gambling, with some populations having a greater risk for developing disordered gambling than others. The present study, utilising data previously collected for a New Zealand (NZ) national gambling survey, explored the associations of social connectedness and leisure activities with risky gambling behaviour and quality of life. Poorer social connectedness and leisure activities were found to be associated with increased gambling risk and poorer quality of life, respectively. Social connectedness and leisure activities strongly predicted type of gambling activities and quality of life. Furthermore, Māori (NZ's indigenous population) had lower social connectedness and fewer leisure activities, and a greater gambling risk, as well as higher psychological distress, than the NZ European/Other population. These findings indicate that the risk of progressing from recreational gambling to risky gambling is relatively higher for Māori, and that social connectedness and leisure activities could be contributing factors for this increased risk. It is, therefore, important that social connectedness and leisure activities are seriously considered in public health and treatment efforts to reduce gambling harm for vulnerable populations.","container-title":"Journal of Clinical Medicine","DOI":"10.3390/jcm11237123","ISSN":"2077-0383","issue":"23","journalAbbreviation":"J Clin Med","language":"eng","note":"number: 23\nPMID: 36498695\nPMCID: PMC9737315","page":"7123","source":"PubMed","title":"Social Connectedness and Associations with Gambling Risk in New Zealand","volume":"11","author":[{"family":"Wang","given":"Grace Y."},{"family":"Bellringer","given":"Maria E."}],"issued":{"date-parts":[["2022",11,30]]}}}],"schema":"https://github.com/citation-style-language/schema/raw/master/csl-citation.json"} </w:instrText>
      </w:r>
      <w:r w:rsidR="00820014" w:rsidRPr="00A06DF7">
        <w:rPr>
          <w:rFonts w:cs="Calibri"/>
        </w:rPr>
        <w:fldChar w:fldCharType="separate"/>
      </w:r>
      <w:r w:rsidR="00820014" w:rsidRPr="00A06DF7">
        <w:rPr>
          <w:rFonts w:cs="Calibri"/>
        </w:rPr>
        <w:t>(Wang &amp; Bellringer, 2022)</w:t>
      </w:r>
      <w:r w:rsidR="00820014" w:rsidRPr="00A06DF7">
        <w:rPr>
          <w:rFonts w:cs="Calibri"/>
        </w:rPr>
        <w:fldChar w:fldCharType="end"/>
      </w:r>
      <w:r w:rsidR="00AB3B9B" w:rsidRPr="00A06DF7">
        <w:rPr>
          <w:rFonts w:cs="Calibri"/>
        </w:rPr>
        <w:t>.</w:t>
      </w:r>
      <w:r w:rsidR="00976080" w:rsidRPr="00A06DF7">
        <w:rPr>
          <w:rFonts w:cs="Calibri"/>
        </w:rPr>
        <w:t xml:space="preserve"> </w:t>
      </w:r>
      <w:r w:rsidR="000158E5" w:rsidRPr="00A06DF7">
        <w:rPr>
          <w:rFonts w:cs="Calibri"/>
        </w:rPr>
        <w:t xml:space="preserve">While gambling </w:t>
      </w:r>
      <w:r w:rsidR="00034240" w:rsidRPr="00A06DF7">
        <w:rPr>
          <w:rFonts w:cs="Calibri"/>
        </w:rPr>
        <w:t xml:space="preserve">arguably </w:t>
      </w:r>
      <w:r w:rsidR="008C4B9A" w:rsidRPr="00A06DF7">
        <w:rPr>
          <w:rFonts w:cs="Calibri"/>
        </w:rPr>
        <w:t xml:space="preserve">has positive community impacts </w:t>
      </w:r>
      <w:r w:rsidR="00BB3486" w:rsidRPr="00A06DF7">
        <w:rPr>
          <w:rFonts w:cs="Calibri"/>
        </w:rPr>
        <w:t xml:space="preserve">through grants and funding, researchers raise ethical concerns </w:t>
      </w:r>
      <w:r w:rsidR="00327CE2" w:rsidRPr="00A06DF7">
        <w:rPr>
          <w:rFonts w:cs="Calibri"/>
        </w:rPr>
        <w:t>o</w:t>
      </w:r>
      <w:r w:rsidR="00DF5AF2" w:rsidRPr="00A06DF7">
        <w:rPr>
          <w:rFonts w:cs="Calibri"/>
        </w:rPr>
        <w:t>ver the diversion of income</w:t>
      </w:r>
      <w:r w:rsidR="002034FD" w:rsidRPr="00A06DF7">
        <w:rPr>
          <w:rFonts w:cs="Calibri"/>
        </w:rPr>
        <w:t xml:space="preserve"> from</w:t>
      </w:r>
      <w:r w:rsidR="00DF5AF2" w:rsidRPr="00A06DF7">
        <w:rPr>
          <w:rFonts w:cs="Calibri"/>
        </w:rPr>
        <w:t xml:space="preserve"> </w:t>
      </w:r>
      <w:r w:rsidR="002034FD" w:rsidRPr="00A06DF7">
        <w:rPr>
          <w:rFonts w:cs="Calibri"/>
        </w:rPr>
        <w:t>those participating in</w:t>
      </w:r>
      <w:r w:rsidR="00DF5AF2" w:rsidRPr="00A06DF7">
        <w:rPr>
          <w:rFonts w:cs="Calibri"/>
        </w:rPr>
        <w:t xml:space="preserve"> harmful, continuous forms of gambling</w:t>
      </w:r>
      <w:r w:rsidR="004A037D" w:rsidRPr="00A06DF7">
        <w:rPr>
          <w:rFonts w:cs="Calibri"/>
        </w:rPr>
        <w:t xml:space="preserve"> </w:t>
      </w:r>
      <w:r w:rsidR="009D71AF" w:rsidRPr="00A06DF7">
        <w:rPr>
          <w:rFonts w:cs="Calibri"/>
        </w:rPr>
        <w:fldChar w:fldCharType="begin"/>
      </w:r>
      <w:r w:rsidR="00715B07" w:rsidRPr="00A06DF7">
        <w:rPr>
          <w:rFonts w:cs="Calibri"/>
        </w:rPr>
        <w:instrText xml:space="preserve"> ADDIN ZOTERO_ITEM CSL_CITATION {"citationID":"rKCoAxRp","properties":{"formattedCitation":"(Hart, 2021; PGF Group et al., 2020)","plainCitation":"(Hart, 2021; PGF Group et al., 2020)","noteIndex":0},"citationItems":[{"id":1534,"uris":["http://zotero.org/users/11111291/items/RZ9UA5QC"],"itemData":{"id":1534,"type":"webpage","abstract":"OPINION: Fifty per cent of pokies are located in the worst 30 per cent of areas experiencing economic hardship.","container-title":"Stuff","language":"en","title":"Stop relying on poor and addicted for community funding","URL":"https://www.stuff.co.nz/opinion/125776246/lets-stop-relying-on-our-poor-and-an-addictive-activity-for-community-funding","author":[{"family":"Hart","given":"Lana"}],"accessed":{"date-parts":[["2024",1,30]]},"issued":{"date-parts":[["2021",7,16]]}}},{"id":1533,"uris":["http://zotero.org/users/11111291/items/7YR88JVD"],"itemData":{"id":1533,"type":"report","title":"Ending community sector dependence on pokie funding. White paper.","URL":"https://www.pgf.nz/downloads/assets/11959/1/ending_community_sector_dependence_on_pokie_funding_20200717.pdf","author":[{"literal":"PGF Group"},{"literal":"Hāpai Te Hauora,"},{"literal":"The Salvation Army"}],"accessed":{"date-parts":[["2024",1,23]]},"issued":{"date-parts":[["2020"]]}}}],"schema":"https://github.com/citation-style-language/schema/raw/master/csl-citation.json"} </w:instrText>
      </w:r>
      <w:r w:rsidR="009D71AF" w:rsidRPr="00A06DF7">
        <w:rPr>
          <w:rFonts w:cs="Calibri"/>
        </w:rPr>
        <w:fldChar w:fldCharType="separate"/>
      </w:r>
      <w:r w:rsidR="009D71AF" w:rsidRPr="00A06DF7">
        <w:rPr>
          <w:rFonts w:cs="Calibri"/>
        </w:rPr>
        <w:t>(Hart, 2021; PGF Group et al., 2020)</w:t>
      </w:r>
      <w:r w:rsidR="009D71AF" w:rsidRPr="00A06DF7">
        <w:rPr>
          <w:rFonts w:cs="Calibri"/>
        </w:rPr>
        <w:fldChar w:fldCharType="end"/>
      </w:r>
      <w:r w:rsidR="00D05E96" w:rsidRPr="00A06DF7">
        <w:rPr>
          <w:rFonts w:cs="Calibri"/>
        </w:rPr>
        <w:t>.</w:t>
      </w:r>
    </w:p>
    <w:p w14:paraId="16187277" w14:textId="0835042C" w:rsidR="007B6757" w:rsidRPr="00A06DF7" w:rsidRDefault="0033221E" w:rsidP="007B6757">
      <w:pPr>
        <w:pStyle w:val="Heading6"/>
        <w:rPr>
          <w:rFonts w:cs="Calibri"/>
        </w:rPr>
      </w:pPr>
      <w:bookmarkStart w:id="191" w:name="_Toc65250321"/>
      <w:bookmarkStart w:id="192" w:name="_Toc76469796"/>
      <w:bookmarkStart w:id="193" w:name="_Toc166507397"/>
      <w:r w:rsidRPr="00A06DF7">
        <w:rPr>
          <w:rFonts w:cs="Calibri"/>
        </w:rPr>
        <w:t>E</w:t>
      </w:r>
      <w:r w:rsidR="007D7D39" w:rsidRPr="00A06DF7">
        <w:rPr>
          <w:rFonts w:cs="Calibri"/>
        </w:rPr>
        <w:t xml:space="preserve">vidence infers that </w:t>
      </w:r>
      <w:bookmarkEnd w:id="191"/>
      <w:bookmarkEnd w:id="192"/>
      <w:r w:rsidR="00D80A99" w:rsidRPr="00A06DF7">
        <w:rPr>
          <w:rFonts w:cs="Calibri"/>
        </w:rPr>
        <w:t>‘legacy gambling harm</w:t>
      </w:r>
      <w:r w:rsidR="00923349" w:rsidRPr="00A06DF7">
        <w:rPr>
          <w:rFonts w:cs="Calibri"/>
        </w:rPr>
        <w:t>s</w:t>
      </w:r>
      <w:r w:rsidR="00D80A99" w:rsidRPr="00A06DF7">
        <w:rPr>
          <w:rFonts w:cs="Calibri"/>
        </w:rPr>
        <w:t xml:space="preserve">’ </w:t>
      </w:r>
      <w:r w:rsidR="00923349" w:rsidRPr="00A06DF7">
        <w:rPr>
          <w:rFonts w:cs="Calibri"/>
        </w:rPr>
        <w:t>are</w:t>
      </w:r>
      <w:r w:rsidR="00D80A99" w:rsidRPr="00A06DF7">
        <w:rPr>
          <w:rFonts w:cs="Calibri"/>
        </w:rPr>
        <w:t xml:space="preserve"> appar</w:t>
      </w:r>
      <w:r w:rsidR="00923349" w:rsidRPr="00A06DF7">
        <w:rPr>
          <w:rFonts w:cs="Calibri"/>
        </w:rPr>
        <w:t>ent for many individuals</w:t>
      </w:r>
      <w:bookmarkEnd w:id="193"/>
    </w:p>
    <w:p w14:paraId="0B024513" w14:textId="2F75F441" w:rsidR="00ED0836" w:rsidRPr="00A06DF7" w:rsidRDefault="005A60BC" w:rsidP="00ED0836">
      <w:pPr>
        <w:rPr>
          <w:rFonts w:cs="Calibri"/>
        </w:rPr>
      </w:pPr>
      <w:r w:rsidRPr="00A06DF7">
        <w:rPr>
          <w:rFonts w:cs="Calibri"/>
        </w:rPr>
        <w:t>L</w:t>
      </w:r>
      <w:r w:rsidR="00EA039D" w:rsidRPr="00A06DF7">
        <w:rPr>
          <w:rFonts w:cs="Calibri"/>
        </w:rPr>
        <w:t>egacy gambling harm refers to negative consequences that persist beyond the period in</w:t>
      </w:r>
      <w:r w:rsidR="00F473F5" w:rsidRPr="00A06DF7">
        <w:rPr>
          <w:rFonts w:cs="Calibri"/>
        </w:rPr>
        <w:t xml:space="preserve"> which individuals are actively </w:t>
      </w:r>
      <w:r w:rsidR="00CD185F" w:rsidRPr="00A06DF7">
        <w:rPr>
          <w:rFonts w:cs="Calibri"/>
        </w:rPr>
        <w:t>gambling at harmful levels</w:t>
      </w:r>
      <w:r w:rsidR="00A7357D" w:rsidRPr="00A06DF7">
        <w:rPr>
          <w:rFonts w:cs="Calibri"/>
        </w:rPr>
        <w:t xml:space="preserve"> </w:t>
      </w:r>
      <w:r w:rsidR="00A7357D" w:rsidRPr="00A06DF7">
        <w:rPr>
          <w:rFonts w:cs="Calibri"/>
        </w:rPr>
        <w:fldChar w:fldCharType="begin"/>
      </w:r>
      <w:r w:rsidR="00715B07" w:rsidRPr="00A06DF7">
        <w:rPr>
          <w:rFonts w:cs="Calibri"/>
        </w:rPr>
        <w:instrText xml:space="preserve"> ADDIN ZOTERO_ITEM CSL_CITATION {"citationID":"8vTm0Xy6","properties":{"formattedCitation":"(Rockloff, Browne, et al., 2022)","plainCitation":"(Rockloff, Browne, et al., 2022)","noteIndex":0},"citationItems":[{"id":1447,"uris":["http://zotero.org/users/11111291/items/F8T6P2WZ"],"itemData":{"id":1447,"type":"article-journal","abstract":"BACKGROUND AND AIMS: Legacy gambling harms are negative consequences of gambling that extend past periods of low risk, moderate risk and problem gambling. Gambling harm is typically measured within a 12-month timeframe and is often restricted to examining harm amongst active gamblers. The present research aimed to explore whether people experienced gambling harms 12 months or more after the resolution of at-risk or problem gambling, and how long these legacy harms lasted.\nMETHODS: An online survey was conducted in New Zealand with past and current gamblers and concerned significant others (CSOs) of gamblers, N = 1,240 (50.8% female), that asked them about both past and current gambling harms.\nRESULTS: A majority of both gamblers and CSOs of gamblers indicated that they still suffered from gambling harm even after most of their behavioural issues with gambling had been resolved, 12+ months ago. Legacy gambling harms reduced over time, with harms diminishing most quickly in the early years, and having an average half-life of 4 years. Harms involving community-relationships, church involvement, and domestic and other violence resolved more quickly than others.\nDISCUSSION AND CONCLUSIONS: Legacy harms are common among ex-problem gamblers and should be considered in any full accounting of the impacts of gambling.\nCONCLUSION: Understanding the time course and persistence of legacy harms from gambling can provide gamblers, treatment professionals and public health experts with insights into how to address gambling's long-term consequences.","container-title":"Journal of Behavioral Addictions","DOI":"10.1556/2006.2022.00073","ISSN":"2063-5303","issue":"4","journalAbbreviation":"J Behav Addict","language":"eng","note":"number: 4\nPMID: 36227714\nPMCID: PMC9881663","page":"1002-1011","source":"PubMed","title":"Legacy gambling harms: What are they and how long do they last?","title-short":"Legacy gambling harms","volume":"11","author":[{"family":"Rockloff","given":"Matthew"},{"family":"Browne","given":"Matthew"},{"family":"Russell","given":"Alex M. T."},{"family":"Hing","given":"Nerilee"},{"family":"Armstrong","given":"Tess"},{"family":"Greer","given":"Nancy"}],"issued":{"date-parts":[["2022",12,27]]}}}],"schema":"https://github.com/citation-style-language/schema/raw/master/csl-citation.json"} </w:instrText>
      </w:r>
      <w:r w:rsidR="00A7357D" w:rsidRPr="00A06DF7">
        <w:rPr>
          <w:rFonts w:cs="Calibri"/>
        </w:rPr>
        <w:fldChar w:fldCharType="separate"/>
      </w:r>
      <w:r w:rsidR="00D47D5A" w:rsidRPr="00A06DF7">
        <w:rPr>
          <w:rFonts w:cs="Calibri"/>
        </w:rPr>
        <w:t>(Rockloff, Browne, et al., 2022)</w:t>
      </w:r>
      <w:r w:rsidR="00A7357D" w:rsidRPr="00A06DF7">
        <w:rPr>
          <w:rFonts w:cs="Calibri"/>
        </w:rPr>
        <w:fldChar w:fldCharType="end"/>
      </w:r>
      <w:r w:rsidR="00CD185F" w:rsidRPr="00A06DF7">
        <w:rPr>
          <w:rFonts w:cs="Calibri"/>
        </w:rPr>
        <w:t xml:space="preserve">. </w:t>
      </w:r>
      <w:r w:rsidR="004E0B80" w:rsidRPr="00A06DF7">
        <w:rPr>
          <w:rFonts w:cs="Calibri"/>
        </w:rPr>
        <w:t xml:space="preserve">These harms can </w:t>
      </w:r>
      <w:r w:rsidR="00A57050" w:rsidRPr="00A06DF7">
        <w:rPr>
          <w:rFonts w:cs="Calibri"/>
        </w:rPr>
        <w:t xml:space="preserve">also </w:t>
      </w:r>
      <w:r w:rsidR="004E0B80" w:rsidRPr="00A06DF7">
        <w:rPr>
          <w:rFonts w:cs="Calibri"/>
        </w:rPr>
        <w:t xml:space="preserve">result in externalities to </w:t>
      </w:r>
      <w:r w:rsidR="00A57050" w:rsidRPr="00A06DF7">
        <w:rPr>
          <w:rFonts w:cs="Calibri"/>
        </w:rPr>
        <w:t>the wider community</w:t>
      </w:r>
      <w:r w:rsidR="008F5ABC" w:rsidRPr="00A06DF7">
        <w:rPr>
          <w:rFonts w:cs="Calibri"/>
        </w:rPr>
        <w:t xml:space="preserve"> </w:t>
      </w:r>
      <w:r w:rsidR="00D47D5A" w:rsidRPr="00A06DF7">
        <w:rPr>
          <w:rFonts w:cs="Calibri"/>
        </w:rPr>
        <w:fldChar w:fldCharType="begin"/>
      </w:r>
      <w:r w:rsidR="00715B07" w:rsidRPr="00A06DF7">
        <w:rPr>
          <w:rFonts w:cs="Calibri"/>
        </w:rPr>
        <w:instrText xml:space="preserve"> ADDIN ZOTERO_ITEM CSL_CITATION {"citationID":"60V89mru","properties":{"formattedCitation":"(Rockloff, Bellringer, et al., 2022)","plainCitation":"(Rockloff, Bellringer, et al., 2022)","noteIndex":0},"citationItems":[{"id":1498,"uris":["http://zotero.org/users/11111291/items/DSQBQERF"],"itemData":{"id":1498,"type":"report","abstract":"This research explored the full impacts of gambling harm using novel methods that explicitly capture legacy, life course, and intergenerational gambling harm","language":"en","publisher":"Queensland: Central Queensland University, Experimental Gambling Research Laboratory and Auckland: Auckland University of Technology, Gambling and Addictions Research Centre.","title":"Life Course and Legacy Gambling Harms in New Zealand","URL":"https://www.health.govt.nz/system/files/documents/publications/final-legacy-harms-report-180821.pdf","author":[{"family":"Rockloff","given":"M."},{"family":"Bellringer","given":"M. E."},{"family":"Lowe","given":"G."},{"family":"Armstrong","given":"T."},{"family":"Brown","given":"M."},{"family":"Palmer Du Preez","given":"K."},{"family":"Russel","given":"A."},{"family":"Hing","given":"N."},{"family":"Greer","given":"N."}],"accessed":{"date-parts":[["2023",12,21]]},"issued":{"date-parts":[["2022"]]}}}],"schema":"https://github.com/citation-style-language/schema/raw/master/csl-citation.json"} </w:instrText>
      </w:r>
      <w:r w:rsidR="00D47D5A" w:rsidRPr="00A06DF7">
        <w:rPr>
          <w:rFonts w:cs="Calibri"/>
        </w:rPr>
        <w:fldChar w:fldCharType="separate"/>
      </w:r>
      <w:r w:rsidR="00D47D5A" w:rsidRPr="00A06DF7">
        <w:rPr>
          <w:rFonts w:cs="Calibri"/>
        </w:rPr>
        <w:t>(Rockloff, Bellringer, et al., 2022)</w:t>
      </w:r>
      <w:r w:rsidR="00D47D5A" w:rsidRPr="00A06DF7">
        <w:rPr>
          <w:rFonts w:cs="Calibri"/>
        </w:rPr>
        <w:fldChar w:fldCharType="end"/>
      </w:r>
      <w:r w:rsidR="00534CF7" w:rsidRPr="00A06DF7">
        <w:rPr>
          <w:rFonts w:cs="Calibri"/>
        </w:rPr>
        <w:t>.</w:t>
      </w:r>
    </w:p>
    <w:p w14:paraId="6DFF04BC" w14:textId="5E11A182" w:rsidR="00702676" w:rsidRPr="00A06DF7" w:rsidRDefault="00EE1137" w:rsidP="00ED0836">
      <w:pPr>
        <w:rPr>
          <w:rFonts w:cs="Calibri"/>
        </w:rPr>
      </w:pPr>
      <w:r w:rsidRPr="00A06DF7">
        <w:rPr>
          <w:rFonts w:cs="Calibri"/>
        </w:rPr>
        <w:t xml:space="preserve">A recent article </w:t>
      </w:r>
      <w:r w:rsidR="001D2F81" w:rsidRPr="00A06DF7">
        <w:rPr>
          <w:rFonts w:cs="Calibri"/>
        </w:rPr>
        <w:t>analyse</w:t>
      </w:r>
      <w:r w:rsidR="0053367C" w:rsidRPr="00A06DF7">
        <w:rPr>
          <w:rFonts w:cs="Calibri"/>
        </w:rPr>
        <w:t>d</w:t>
      </w:r>
      <w:r w:rsidR="001D2F81" w:rsidRPr="00A06DF7">
        <w:rPr>
          <w:rFonts w:cs="Calibri"/>
        </w:rPr>
        <w:t xml:space="preserve"> the </w:t>
      </w:r>
      <w:r w:rsidR="0053367C" w:rsidRPr="00A06DF7">
        <w:rPr>
          <w:rFonts w:cs="Calibri"/>
        </w:rPr>
        <w:t xml:space="preserve">full extent of gambling harm using methods to explicitly </w:t>
      </w:r>
      <w:r w:rsidR="0019544A" w:rsidRPr="00A06DF7">
        <w:rPr>
          <w:rFonts w:cs="Calibri"/>
        </w:rPr>
        <w:t>examine</w:t>
      </w:r>
      <w:r w:rsidR="0053367C" w:rsidRPr="00A06DF7">
        <w:rPr>
          <w:rFonts w:cs="Calibri"/>
        </w:rPr>
        <w:t xml:space="preserve"> legacy, life course, and intergenerational gambling harms</w:t>
      </w:r>
      <w:r w:rsidR="00B32D87" w:rsidRPr="00A06DF7">
        <w:rPr>
          <w:rFonts w:cs="Calibri"/>
        </w:rPr>
        <w:t xml:space="preserve"> in New Zealand</w:t>
      </w:r>
      <w:r w:rsidR="0098404E" w:rsidRPr="00A06DF7">
        <w:rPr>
          <w:rFonts w:cs="Calibri"/>
        </w:rPr>
        <w:t xml:space="preserve"> </w:t>
      </w:r>
      <w:r w:rsidR="0098404E" w:rsidRPr="00A06DF7">
        <w:rPr>
          <w:rFonts w:cs="Calibri"/>
        </w:rPr>
        <w:fldChar w:fldCharType="begin"/>
      </w:r>
      <w:r w:rsidR="00715B07" w:rsidRPr="00A06DF7">
        <w:rPr>
          <w:rFonts w:cs="Calibri"/>
        </w:rPr>
        <w:instrText xml:space="preserve"> ADDIN ZOTERO_ITEM CSL_CITATION {"citationID":"olLBJ9ap","properties":{"formattedCitation":"(Rockloff, Bellringer, et al., 2022)","plainCitation":"(Rockloff, Bellringer, et al., 2022)","noteIndex":0},"citationItems":[{"id":1498,"uris":["http://zotero.org/users/11111291/items/DSQBQERF"],"itemData":{"id":1498,"type":"report","abstract":"This research explored the full impacts of gambling harm using novel methods that explicitly capture legacy, life course, and intergenerational gambling harm","language":"en","publisher":"Queensland: Central Queensland University, Experimental Gambling Research Laboratory and Auckland: Auckland University of Technology, Gambling and Addictions Research Centre.","title":"Life Course and Legacy Gambling Harms in New Zealand","URL":"https://www.health.govt.nz/system/files/documents/publications/final-legacy-harms-report-180821.pdf","author":[{"family":"Rockloff","given":"M."},{"family":"Bellringer","given":"M. E."},{"family":"Lowe","given":"G."},{"family":"Armstrong","given":"T."},{"family":"Brown","given":"M."},{"family":"Palmer Du Preez","given":"K."},{"family":"Russel","given":"A."},{"family":"Hing","given":"N."},{"family":"Greer","given":"N."}],"accessed":{"date-parts":[["2023",12,21]]},"issued":{"date-parts":[["2022"]]}},"label":"page"}],"schema":"https://github.com/citation-style-language/schema/raw/master/csl-citation.json"} </w:instrText>
      </w:r>
      <w:r w:rsidR="0098404E" w:rsidRPr="00A06DF7">
        <w:rPr>
          <w:rFonts w:cs="Calibri"/>
        </w:rPr>
        <w:fldChar w:fldCharType="separate"/>
      </w:r>
      <w:r w:rsidR="0098404E" w:rsidRPr="00A06DF7">
        <w:rPr>
          <w:rFonts w:cs="Calibri"/>
        </w:rPr>
        <w:t>(Rockloff, Bellringer, et al., 2022)</w:t>
      </w:r>
      <w:r w:rsidR="0098404E" w:rsidRPr="00A06DF7">
        <w:rPr>
          <w:rFonts w:cs="Calibri"/>
        </w:rPr>
        <w:fldChar w:fldCharType="end"/>
      </w:r>
      <w:r w:rsidR="00DF74AB" w:rsidRPr="00A06DF7">
        <w:rPr>
          <w:rFonts w:cs="Calibri"/>
        </w:rPr>
        <w:t>.</w:t>
      </w:r>
      <w:r w:rsidR="00F174E3" w:rsidRPr="00A06DF7">
        <w:rPr>
          <w:rFonts w:cs="Calibri"/>
        </w:rPr>
        <w:t xml:space="preserve"> The</w:t>
      </w:r>
      <w:r w:rsidRPr="00A06DF7">
        <w:rPr>
          <w:rFonts w:cs="Calibri"/>
        </w:rPr>
        <w:t xml:space="preserve"> authors</w:t>
      </w:r>
      <w:r w:rsidR="00F174E3" w:rsidRPr="00A06DF7">
        <w:rPr>
          <w:rFonts w:cs="Calibri"/>
        </w:rPr>
        <w:t xml:space="preserve"> found that these </w:t>
      </w:r>
      <w:r w:rsidR="00152D0A" w:rsidRPr="00A06DF7">
        <w:rPr>
          <w:rFonts w:cs="Calibri"/>
        </w:rPr>
        <w:t xml:space="preserve">harms </w:t>
      </w:r>
      <w:r w:rsidR="000C490E" w:rsidRPr="00A06DF7">
        <w:rPr>
          <w:rFonts w:cs="Calibri"/>
        </w:rPr>
        <w:t>constitute a significant portion of the overall</w:t>
      </w:r>
      <w:r w:rsidR="00152D0A" w:rsidRPr="00A06DF7">
        <w:rPr>
          <w:rFonts w:cs="Calibri"/>
        </w:rPr>
        <w:t xml:space="preserve"> </w:t>
      </w:r>
      <w:r w:rsidR="000C490E" w:rsidRPr="00A06DF7">
        <w:rPr>
          <w:rFonts w:cs="Calibri"/>
        </w:rPr>
        <w:t xml:space="preserve">burden </w:t>
      </w:r>
      <w:r w:rsidR="00FE665B" w:rsidRPr="00A06DF7">
        <w:rPr>
          <w:rFonts w:cs="Calibri"/>
        </w:rPr>
        <w:t>on individuals, estimated to be either 19.4</w:t>
      </w:r>
      <w:r w:rsidR="00D9625C" w:rsidRPr="00A06DF7">
        <w:rPr>
          <w:rFonts w:cs="Calibri"/>
        </w:rPr>
        <w:t xml:space="preserve"> per cent</w:t>
      </w:r>
      <w:r w:rsidR="00FE665B" w:rsidRPr="00A06DF7">
        <w:rPr>
          <w:rFonts w:cs="Calibri"/>
        </w:rPr>
        <w:t xml:space="preserve"> or 23.7</w:t>
      </w:r>
      <w:r w:rsidR="00D9625C" w:rsidRPr="00A06DF7">
        <w:rPr>
          <w:rFonts w:cs="Calibri"/>
        </w:rPr>
        <w:t xml:space="preserve"> per cent</w:t>
      </w:r>
      <w:r w:rsidR="00FE665B" w:rsidRPr="00A06DF7">
        <w:rPr>
          <w:rFonts w:cs="Calibri"/>
        </w:rPr>
        <w:t xml:space="preserve"> of total impacts on health and wellbeing depending on the method used. </w:t>
      </w:r>
      <w:r w:rsidR="00D44B16" w:rsidRPr="00A06DF7">
        <w:rPr>
          <w:rFonts w:cs="Calibri"/>
        </w:rPr>
        <w:t xml:space="preserve">Acute financial harms, neglect of </w:t>
      </w:r>
      <w:r w:rsidR="001D3299" w:rsidRPr="00A06DF7">
        <w:rPr>
          <w:rFonts w:cs="Calibri"/>
        </w:rPr>
        <w:t>whānau</w:t>
      </w:r>
      <w:r w:rsidR="00D44B16" w:rsidRPr="00A06DF7">
        <w:rPr>
          <w:rFonts w:cs="Calibri"/>
        </w:rPr>
        <w:t xml:space="preserve"> </w:t>
      </w:r>
      <w:r w:rsidR="00EB7A14" w:rsidRPr="00A06DF7">
        <w:rPr>
          <w:rFonts w:cs="Calibri"/>
        </w:rPr>
        <w:t xml:space="preserve">and family </w:t>
      </w:r>
      <w:r w:rsidR="0037326F" w:rsidRPr="00A06DF7">
        <w:rPr>
          <w:rFonts w:cs="Calibri"/>
        </w:rPr>
        <w:t>responsibilities</w:t>
      </w:r>
      <w:r w:rsidR="00EB7A14" w:rsidRPr="00A06DF7">
        <w:rPr>
          <w:rFonts w:cs="Calibri"/>
        </w:rPr>
        <w:t>, and physical harm from family violence or personal injury were</w:t>
      </w:r>
      <w:r w:rsidR="0037326F" w:rsidRPr="00A06DF7">
        <w:rPr>
          <w:rFonts w:cs="Calibri"/>
        </w:rPr>
        <w:t xml:space="preserve"> short-lived relative to other harms.</w:t>
      </w:r>
      <w:r w:rsidR="00463C9D" w:rsidRPr="00A06DF7">
        <w:rPr>
          <w:rFonts w:cs="Calibri"/>
        </w:rPr>
        <w:t xml:space="preserve"> However, once an individual experiences harm from </w:t>
      </w:r>
      <w:r w:rsidR="002D60EB" w:rsidRPr="00A06DF7">
        <w:rPr>
          <w:rFonts w:cs="Calibri"/>
        </w:rPr>
        <w:t xml:space="preserve">gambling, there were no discernible differences among ethnicities in whether these harms persisted. </w:t>
      </w:r>
      <w:r w:rsidR="00E86332" w:rsidRPr="00A06DF7">
        <w:rPr>
          <w:rFonts w:cs="Calibri"/>
        </w:rPr>
        <w:t>Qualitative findings highlight the importance of considering how these gambling harms affect communities,</w:t>
      </w:r>
      <w:r w:rsidR="00653167" w:rsidRPr="00A06DF7">
        <w:rPr>
          <w:rFonts w:cs="Calibri"/>
        </w:rPr>
        <w:t xml:space="preserve"> cultural </w:t>
      </w:r>
      <w:r w:rsidR="0050248B" w:rsidRPr="00A06DF7">
        <w:rPr>
          <w:rFonts w:cs="Calibri"/>
        </w:rPr>
        <w:t>practices,</w:t>
      </w:r>
      <w:r w:rsidR="00EA486F" w:rsidRPr="00A06DF7">
        <w:rPr>
          <w:rFonts w:cs="Calibri"/>
        </w:rPr>
        <w:t xml:space="preserve"> and overall </w:t>
      </w:r>
      <w:r w:rsidR="00653167" w:rsidRPr="00A06DF7">
        <w:rPr>
          <w:rFonts w:cs="Calibri"/>
        </w:rPr>
        <w:t>inequalit</w:t>
      </w:r>
      <w:r w:rsidR="00EA486F" w:rsidRPr="00A06DF7">
        <w:rPr>
          <w:rFonts w:cs="Calibri"/>
        </w:rPr>
        <w:t>y</w:t>
      </w:r>
      <w:r w:rsidR="00653167" w:rsidRPr="00A06DF7">
        <w:rPr>
          <w:rFonts w:cs="Calibri"/>
        </w:rPr>
        <w:t>. There was acknowledgement of inadequate resource</w:t>
      </w:r>
      <w:r w:rsidR="0050248B" w:rsidRPr="00A06DF7">
        <w:rPr>
          <w:rFonts w:cs="Calibri"/>
        </w:rPr>
        <w:t>s</w:t>
      </w:r>
      <w:r w:rsidR="00653167" w:rsidRPr="00A06DF7">
        <w:rPr>
          <w:rFonts w:cs="Calibri"/>
        </w:rPr>
        <w:t xml:space="preserve"> for addressing legacy harms </w:t>
      </w:r>
      <w:r w:rsidR="0050248B" w:rsidRPr="00A06DF7">
        <w:rPr>
          <w:rFonts w:cs="Calibri"/>
        </w:rPr>
        <w:t xml:space="preserve">relative to </w:t>
      </w:r>
      <w:r w:rsidR="00431CE4" w:rsidRPr="00A06DF7">
        <w:rPr>
          <w:rFonts w:cs="Calibri"/>
        </w:rPr>
        <w:t>crisis-</w:t>
      </w:r>
      <w:r w:rsidR="0050248B" w:rsidRPr="00A06DF7">
        <w:rPr>
          <w:rFonts w:cs="Calibri"/>
        </w:rPr>
        <w:t>level harm.</w:t>
      </w:r>
    </w:p>
    <w:p w14:paraId="743AFA78" w14:textId="39F5F9F8" w:rsidR="004226D1" w:rsidRPr="00A06DF7" w:rsidRDefault="00B32D87" w:rsidP="00ED0836">
      <w:pPr>
        <w:rPr>
          <w:rFonts w:cs="Calibri"/>
        </w:rPr>
      </w:pPr>
      <w:r w:rsidRPr="00A06DF7">
        <w:rPr>
          <w:rFonts w:cs="Calibri"/>
        </w:rPr>
        <w:t xml:space="preserve">Further analysis </w:t>
      </w:r>
      <w:r w:rsidR="00D47A98" w:rsidRPr="00A06DF7">
        <w:rPr>
          <w:rFonts w:cs="Calibri"/>
        </w:rPr>
        <w:t xml:space="preserve">through an online survey to past and current gamblers and </w:t>
      </w:r>
      <w:r w:rsidR="00AC039D" w:rsidRPr="00A06DF7">
        <w:rPr>
          <w:rFonts w:cs="Calibri"/>
        </w:rPr>
        <w:t xml:space="preserve">concerned </w:t>
      </w:r>
      <w:r w:rsidR="00D47A98" w:rsidRPr="00A06DF7">
        <w:rPr>
          <w:rFonts w:cs="Calibri"/>
        </w:rPr>
        <w:t>significant others</w:t>
      </w:r>
      <w:r w:rsidR="00AC039D" w:rsidRPr="00A06DF7">
        <w:rPr>
          <w:rFonts w:cs="Calibri"/>
        </w:rPr>
        <w:t xml:space="preserve"> </w:t>
      </w:r>
      <w:r w:rsidR="00BD3CCF" w:rsidRPr="00A06DF7">
        <w:rPr>
          <w:rFonts w:cs="Calibri"/>
        </w:rPr>
        <w:t xml:space="preserve">indicated that a majority </w:t>
      </w:r>
      <w:r w:rsidR="00AC039D" w:rsidRPr="00A06DF7">
        <w:rPr>
          <w:rFonts w:cs="Calibri"/>
        </w:rPr>
        <w:t xml:space="preserve">of participants </w:t>
      </w:r>
      <w:r w:rsidR="006A6BA5" w:rsidRPr="00A06DF7">
        <w:rPr>
          <w:rFonts w:cs="Calibri"/>
        </w:rPr>
        <w:t xml:space="preserve">continued to suffer from gambling harm </w:t>
      </w:r>
      <w:r w:rsidR="005E6BB4" w:rsidRPr="00A06DF7">
        <w:rPr>
          <w:rFonts w:cs="Calibri"/>
        </w:rPr>
        <w:t xml:space="preserve">even after most of their </w:t>
      </w:r>
      <w:r w:rsidR="00322948" w:rsidRPr="00A06DF7">
        <w:rPr>
          <w:rFonts w:cs="Calibri"/>
        </w:rPr>
        <w:t xml:space="preserve">behavioural </w:t>
      </w:r>
      <w:r w:rsidR="005E6BB4" w:rsidRPr="00A06DF7">
        <w:rPr>
          <w:rFonts w:cs="Calibri"/>
        </w:rPr>
        <w:t xml:space="preserve">issues had been resolved </w:t>
      </w:r>
      <w:r w:rsidR="004F236B" w:rsidRPr="00A06DF7">
        <w:rPr>
          <w:rFonts w:cs="Calibri"/>
        </w:rPr>
        <w:t>12+ months ago</w:t>
      </w:r>
      <w:r w:rsidR="00AB1B9D" w:rsidRPr="00A06DF7">
        <w:rPr>
          <w:rFonts w:cs="Calibri"/>
        </w:rPr>
        <w:t xml:space="preserve"> </w:t>
      </w:r>
      <w:r w:rsidR="00AB1B9D" w:rsidRPr="00A06DF7">
        <w:rPr>
          <w:rFonts w:cs="Calibri"/>
        </w:rPr>
        <w:fldChar w:fldCharType="begin"/>
      </w:r>
      <w:r w:rsidR="00715B07" w:rsidRPr="00A06DF7">
        <w:rPr>
          <w:rFonts w:cs="Calibri"/>
        </w:rPr>
        <w:instrText xml:space="preserve"> ADDIN ZOTERO_ITEM CSL_CITATION {"citationID":"i6xNn1SE","properties":{"formattedCitation":"(Rockloff, Browne, et al., 2022)","plainCitation":"(Rockloff, Browne, et al., 2022)","noteIndex":0},"citationItems":[{"id":1447,"uris":["http://zotero.org/users/11111291/items/F8T6P2WZ"],"itemData":{"id":1447,"type":"article-journal","abstract":"BACKGROUND AND AIMS: Legacy gambling harms are negative consequences of gambling that extend past periods of low risk, moderate risk and problem gambling. Gambling harm is typically measured within a 12-month timeframe and is often restricted to examining harm amongst active gamblers. The present research aimed to explore whether people experienced gambling harms 12 months or more after the resolution of at-risk or problem gambling, and how long these legacy harms lasted.\nMETHODS: An online survey was conducted in New Zealand with past and current gamblers and concerned significant others (CSOs) of gamblers, N = 1,240 (50.8% female), that asked them about both past and current gambling harms.\nRESULTS: A majority of both gamblers and CSOs of gamblers indicated that they still suffered from gambling harm even after most of their behavioural issues with gambling had been resolved, 12+ months ago. Legacy gambling harms reduced over time, with harms diminishing most quickly in the early years, and having an average half-life of 4 years. Harms involving community-relationships, church involvement, and domestic and other violence resolved more quickly than others.\nDISCUSSION AND CONCLUSIONS: Legacy harms are common among ex-problem gamblers and should be considered in any full accounting of the impacts of gambling.\nCONCLUSION: Understanding the time course and persistence of legacy harms from gambling can provide gamblers, treatment professionals and public health experts with insights into how to address gambling's long-term consequences.","container-title":"Journal of Behavioral Addictions","DOI":"10.1556/2006.2022.00073","ISSN":"2063-5303","issue":"4","journalAbbreviation":"J Behav Addict","language":"eng","note":"number: 4\nPMID: 36227714\nPMCID: PMC9881663","page":"1002-1011","source":"PubMed","title":"Legacy gambling harms: What are they and how long do they last?","title-short":"Legacy gambling harms","volume":"11","author":[{"family":"Rockloff","given":"Matthew"},{"family":"Browne","given":"Matthew"},{"family":"Russell","given":"Alex M. T."},{"family":"Hing","given":"Nerilee"},{"family":"Armstrong","given":"Tess"},{"family":"Greer","given":"Nancy"}],"issued":{"date-parts":[["2022",12,27]]}}}],"schema":"https://github.com/citation-style-language/schema/raw/master/csl-citation.json"} </w:instrText>
      </w:r>
      <w:r w:rsidR="00AB1B9D" w:rsidRPr="00A06DF7">
        <w:rPr>
          <w:rFonts w:cs="Calibri"/>
        </w:rPr>
        <w:fldChar w:fldCharType="separate"/>
      </w:r>
      <w:r w:rsidR="00AB1B9D" w:rsidRPr="00A06DF7">
        <w:rPr>
          <w:rFonts w:cs="Calibri"/>
        </w:rPr>
        <w:t>(Rockloff, Browne, et al., 2022)</w:t>
      </w:r>
      <w:r w:rsidR="00AB1B9D" w:rsidRPr="00A06DF7">
        <w:rPr>
          <w:rFonts w:cs="Calibri"/>
        </w:rPr>
        <w:fldChar w:fldCharType="end"/>
      </w:r>
      <w:r w:rsidR="004F236B" w:rsidRPr="00A06DF7">
        <w:rPr>
          <w:rFonts w:cs="Calibri"/>
        </w:rPr>
        <w:t>.</w:t>
      </w:r>
      <w:r w:rsidR="001B0315" w:rsidRPr="00A06DF7">
        <w:rPr>
          <w:rFonts w:cs="Calibri"/>
        </w:rPr>
        <w:t xml:space="preserve"> </w:t>
      </w:r>
    </w:p>
    <w:p w14:paraId="47FEB869" w14:textId="76575DE0" w:rsidR="006447AD" w:rsidRPr="00A06DF7" w:rsidRDefault="009C1066" w:rsidP="00ED0836">
      <w:pPr>
        <w:rPr>
          <w:rFonts w:cs="Calibri"/>
        </w:rPr>
      </w:pPr>
      <w:r w:rsidRPr="00A06DF7">
        <w:rPr>
          <w:rFonts w:cs="Calibri"/>
        </w:rPr>
        <w:t xml:space="preserve">These </w:t>
      </w:r>
      <w:r w:rsidR="00783F14" w:rsidRPr="00A06DF7">
        <w:rPr>
          <w:rFonts w:cs="Calibri"/>
        </w:rPr>
        <w:t xml:space="preserve">studies emphasise that gambling harms can persist </w:t>
      </w:r>
      <w:r w:rsidR="00A841B3" w:rsidRPr="00A06DF7">
        <w:rPr>
          <w:rFonts w:cs="Calibri"/>
        </w:rPr>
        <w:t xml:space="preserve">beyond the </w:t>
      </w:r>
      <w:r w:rsidR="004920A0" w:rsidRPr="00A06DF7">
        <w:rPr>
          <w:rFonts w:cs="Calibri"/>
        </w:rPr>
        <w:t>active engagement of gambling itself</w:t>
      </w:r>
      <w:r w:rsidR="009C643A" w:rsidRPr="00A06DF7">
        <w:rPr>
          <w:rFonts w:cs="Calibri"/>
        </w:rPr>
        <w:t>, and</w:t>
      </w:r>
      <w:r w:rsidR="00DE61B2" w:rsidRPr="00A06DF7">
        <w:rPr>
          <w:rFonts w:cs="Calibri"/>
        </w:rPr>
        <w:t xml:space="preserve"> that treatment professionals and public health experts should</w:t>
      </w:r>
      <w:r w:rsidR="00D55BD7" w:rsidRPr="00A06DF7">
        <w:rPr>
          <w:rFonts w:cs="Calibri"/>
        </w:rPr>
        <w:t xml:space="preserve"> </w:t>
      </w:r>
      <w:r w:rsidR="009C643A" w:rsidRPr="00A06DF7">
        <w:rPr>
          <w:rFonts w:cs="Calibri"/>
        </w:rPr>
        <w:t>focus more on</w:t>
      </w:r>
      <w:r w:rsidR="00DE61B2" w:rsidRPr="00A06DF7">
        <w:rPr>
          <w:rFonts w:cs="Calibri"/>
        </w:rPr>
        <w:t xml:space="preserve"> address</w:t>
      </w:r>
      <w:r w:rsidR="009C643A" w:rsidRPr="00A06DF7">
        <w:rPr>
          <w:rFonts w:cs="Calibri"/>
        </w:rPr>
        <w:t>ing</w:t>
      </w:r>
      <w:r w:rsidR="00DE61B2" w:rsidRPr="00A06DF7">
        <w:rPr>
          <w:rFonts w:cs="Calibri"/>
        </w:rPr>
        <w:t xml:space="preserve"> </w:t>
      </w:r>
      <w:r w:rsidR="00655066" w:rsidRPr="00A06DF7">
        <w:rPr>
          <w:rFonts w:cs="Calibri"/>
        </w:rPr>
        <w:t xml:space="preserve">gambling’s </w:t>
      </w:r>
      <w:r w:rsidR="0044144C" w:rsidRPr="00A06DF7">
        <w:rPr>
          <w:rFonts w:cs="Calibri"/>
        </w:rPr>
        <w:t>long-</w:t>
      </w:r>
      <w:r w:rsidR="00655066" w:rsidRPr="00A06DF7">
        <w:rPr>
          <w:rFonts w:cs="Calibri"/>
        </w:rPr>
        <w:t>term consequences</w:t>
      </w:r>
      <w:r w:rsidR="009C643A" w:rsidRPr="00A06DF7">
        <w:rPr>
          <w:rFonts w:cs="Calibri"/>
        </w:rPr>
        <w:t xml:space="preserve"> </w:t>
      </w:r>
      <w:r w:rsidR="009C643A" w:rsidRPr="00A06DF7">
        <w:rPr>
          <w:rFonts w:cs="Calibri"/>
        </w:rPr>
        <w:fldChar w:fldCharType="begin"/>
      </w:r>
      <w:r w:rsidR="00715B07" w:rsidRPr="00A06DF7">
        <w:rPr>
          <w:rFonts w:cs="Calibri"/>
        </w:rPr>
        <w:instrText xml:space="preserve"> ADDIN ZOTERO_ITEM CSL_CITATION {"citationID":"M69keiZ5","properties":{"formattedCitation":"(Rockloff, Bellringer, et al., 2022; Rockloff, Browne, et al., 2022)","plainCitation":"(Rockloff, Bellringer, et al., 2022; Rockloff, Browne, et al., 2022)","noteIndex":0},"citationItems":[{"id":1498,"uris":["http://zotero.org/users/11111291/items/DSQBQERF"],"itemData":{"id":1498,"type":"report","abstract":"This research explored the full impacts of gambling harm using novel methods that explicitly capture legacy, life course, and intergenerational gambling harm","language":"en","publisher":"Queensland: Central Queensland University, Experimental Gambling Research Laboratory and Auckland: Auckland University of Technology, Gambling and Addictions Research Centre.","title":"Life Course and Legacy Gambling Harms in New Zealand","URL":"https://www.health.govt.nz/system/files/documents/publications/final-legacy-harms-report-180821.pdf","author":[{"family":"Rockloff","given":"M."},{"family":"Bellringer","given":"M. E."},{"family":"Lowe","given":"G."},{"family":"Armstrong","given":"T."},{"family":"Brown","given":"M."},{"family":"Palmer Du Preez","given":"K."},{"family":"Russel","given":"A."},{"family":"Hing","given":"N."},{"family":"Greer","given":"N."}],"accessed":{"date-parts":[["2023",12,21]]},"issued":{"date-parts":[["2022"]]}}},{"id":1447,"uris":["http://zotero.org/users/11111291/items/F8T6P2WZ"],"itemData":{"id":1447,"type":"article-journal","abstract":"BACKGROUND AND AIMS: Legacy gambling harms are negative consequences of gambling that extend past periods of low risk, moderate risk and problem gambling. Gambling harm is typically measured within a 12-month timeframe and is often restricted to examining harm amongst active gamblers. The present research aimed to explore whether people experienced gambling harms 12 months or more after the resolution of at-risk or problem gambling, and how long these legacy harms lasted.\nMETHODS: An online survey was conducted in New Zealand with past and current gamblers and concerned significant others (CSOs) of gamblers, N = 1,240 (50.8% female), that asked them about both past and current gambling harms.\nRESULTS: A majority of both gamblers and CSOs of gamblers indicated that they still suffered from gambling harm even after most of their behavioural issues with gambling had been resolved, 12+ months ago. Legacy gambling harms reduced over time, with harms diminishing most quickly in the early years, and having an average half-life of 4 years. Harms involving community-relationships, church involvement, and domestic and other violence resolved more quickly than others.\nDISCUSSION AND CONCLUSIONS: Legacy harms are common among ex-problem gamblers and should be considered in any full accounting of the impacts of gambling.\nCONCLUSION: Understanding the time course and persistence of legacy harms from gambling can provide gamblers, treatment professionals and public health experts with insights into how to address gambling's long-term consequences.","container-title":"Journal of Behavioral Addictions","DOI":"10.1556/2006.2022.00073","ISSN":"2063-5303","issue":"4","journalAbbreviation":"J Behav Addict","language":"eng","note":"number: 4\nPMID: 36227714\nPMCID: PMC9881663","page":"1002-1011","source":"PubMed","title":"Legacy gambling harms: What are they and how long do they last?","title-short":"Legacy gambling harms","volume":"11","author":[{"family":"Rockloff","given":"Matthew"},{"family":"Browne","given":"Matthew"},{"family":"Russell","given":"Alex M. T."},{"family":"Hing","given":"Nerilee"},{"family":"Armstrong","given":"Tess"},{"family":"Greer","given":"Nancy"}],"issued":{"date-parts":[["2022",12,27]]}}}],"schema":"https://github.com/citation-style-language/schema/raw/master/csl-citation.json"} </w:instrText>
      </w:r>
      <w:r w:rsidR="009C643A" w:rsidRPr="00A06DF7">
        <w:rPr>
          <w:rFonts w:cs="Calibri"/>
        </w:rPr>
        <w:fldChar w:fldCharType="separate"/>
      </w:r>
      <w:r w:rsidR="009C643A" w:rsidRPr="00A06DF7">
        <w:rPr>
          <w:rFonts w:cs="Calibri"/>
        </w:rPr>
        <w:t>(Rockloff, Bellringer, et al., 2022; Rockloff, Browne, et al., 2022)</w:t>
      </w:r>
      <w:r w:rsidR="009C643A" w:rsidRPr="00A06DF7">
        <w:rPr>
          <w:rFonts w:cs="Calibri"/>
        </w:rPr>
        <w:fldChar w:fldCharType="end"/>
      </w:r>
      <w:r w:rsidR="00D55BD7" w:rsidRPr="00A06DF7">
        <w:rPr>
          <w:rFonts w:cs="Calibri"/>
        </w:rPr>
        <w:t>.</w:t>
      </w:r>
    </w:p>
    <w:p w14:paraId="6CCAE9F2" w14:textId="7B92C7B7" w:rsidR="007D7D39" w:rsidRPr="00A06DF7" w:rsidRDefault="00CE025C" w:rsidP="001A4D24">
      <w:pPr>
        <w:pStyle w:val="Heading6"/>
        <w:rPr>
          <w:rFonts w:cs="Calibri"/>
        </w:rPr>
      </w:pPr>
      <w:bookmarkStart w:id="194" w:name="_Toc166507398"/>
      <w:r w:rsidRPr="00A06DF7">
        <w:rPr>
          <w:rFonts w:cs="Calibri"/>
        </w:rPr>
        <w:t xml:space="preserve">Some </w:t>
      </w:r>
      <w:r w:rsidR="007C1BBD" w:rsidRPr="00A06DF7">
        <w:rPr>
          <w:rFonts w:cs="Calibri"/>
        </w:rPr>
        <w:t xml:space="preserve">contend that the </w:t>
      </w:r>
      <w:r w:rsidR="0044144C" w:rsidRPr="00A06DF7">
        <w:rPr>
          <w:rFonts w:cs="Calibri"/>
        </w:rPr>
        <w:t>‘</w:t>
      </w:r>
      <w:r w:rsidR="009F53EA" w:rsidRPr="00A06DF7">
        <w:rPr>
          <w:rFonts w:cs="Calibri"/>
        </w:rPr>
        <w:t>positive impacts</w:t>
      </w:r>
      <w:r w:rsidR="0044144C" w:rsidRPr="00A06DF7">
        <w:rPr>
          <w:rFonts w:cs="Calibri"/>
        </w:rPr>
        <w:t xml:space="preserve">’ </w:t>
      </w:r>
      <w:r w:rsidR="009F53EA" w:rsidRPr="00A06DF7">
        <w:rPr>
          <w:rFonts w:cs="Calibri"/>
        </w:rPr>
        <w:t>of gambling are morally conflicting</w:t>
      </w:r>
      <w:bookmarkEnd w:id="194"/>
    </w:p>
    <w:p w14:paraId="388CEC87" w14:textId="29E10EF1" w:rsidR="00F919B0" w:rsidRPr="00A06DF7" w:rsidRDefault="00C76CCA" w:rsidP="00F919B0">
      <w:pPr>
        <w:rPr>
          <w:rFonts w:cs="Calibri"/>
        </w:rPr>
      </w:pPr>
      <w:r w:rsidRPr="00A06DF7">
        <w:rPr>
          <w:rFonts w:cs="Calibri"/>
        </w:rPr>
        <w:t>Gambling r</w:t>
      </w:r>
      <w:r w:rsidR="00ED70C4" w:rsidRPr="00A06DF7">
        <w:rPr>
          <w:rFonts w:cs="Calibri"/>
        </w:rPr>
        <w:t>evenue is</w:t>
      </w:r>
      <w:r w:rsidR="00852518" w:rsidRPr="00A06DF7">
        <w:rPr>
          <w:rFonts w:cs="Calibri"/>
        </w:rPr>
        <w:t xml:space="preserve"> </w:t>
      </w:r>
      <w:r w:rsidR="00ED70C4" w:rsidRPr="00A06DF7">
        <w:rPr>
          <w:rFonts w:cs="Calibri"/>
        </w:rPr>
        <w:t xml:space="preserve">largely distributed </w:t>
      </w:r>
      <w:r w:rsidR="00852518" w:rsidRPr="00A06DF7">
        <w:rPr>
          <w:rFonts w:cs="Calibri"/>
        </w:rPr>
        <w:t>back to the community through grants</w:t>
      </w:r>
      <w:r w:rsidR="00EE02A2" w:rsidRPr="00A06DF7">
        <w:rPr>
          <w:rFonts w:cs="Calibri"/>
        </w:rPr>
        <w:t xml:space="preserve"> </w:t>
      </w:r>
      <w:r w:rsidR="00C97344" w:rsidRPr="00A06DF7">
        <w:rPr>
          <w:rFonts w:cs="Calibri"/>
        </w:rPr>
        <w:t xml:space="preserve">(see </w:t>
      </w:r>
      <w:r w:rsidR="00F8604A" w:rsidRPr="00A06DF7">
        <w:rPr>
          <w:rFonts w:cs="Calibri"/>
        </w:rPr>
        <w:t xml:space="preserve">section </w:t>
      </w:r>
      <w:r w:rsidR="00B65D6D" w:rsidRPr="00A06DF7">
        <w:rPr>
          <w:rFonts w:cs="Calibri"/>
        </w:rPr>
        <w:fldChar w:fldCharType="begin"/>
      </w:r>
      <w:r w:rsidR="00B65D6D" w:rsidRPr="00A06DF7">
        <w:rPr>
          <w:rFonts w:cs="Calibri"/>
        </w:rPr>
        <w:instrText xml:space="preserve"> REF _Ref157499776 \r \h </w:instrText>
      </w:r>
      <w:r w:rsidR="00A06DF7">
        <w:rPr>
          <w:rFonts w:cs="Calibri"/>
        </w:rPr>
        <w:instrText xml:space="preserve"> \* MERGEFORMAT </w:instrText>
      </w:r>
      <w:r w:rsidR="00B65D6D" w:rsidRPr="00A06DF7">
        <w:rPr>
          <w:rFonts w:cs="Calibri"/>
        </w:rPr>
      </w:r>
      <w:r w:rsidR="00B65D6D" w:rsidRPr="00A06DF7">
        <w:rPr>
          <w:rFonts w:cs="Calibri"/>
        </w:rPr>
        <w:fldChar w:fldCharType="separate"/>
      </w:r>
      <w:r w:rsidR="004F4DA7">
        <w:rPr>
          <w:rFonts w:cs="Calibri"/>
        </w:rPr>
        <w:t>5</w:t>
      </w:r>
      <w:r w:rsidR="00B65D6D" w:rsidRPr="00A06DF7">
        <w:rPr>
          <w:rFonts w:cs="Calibri"/>
        </w:rPr>
        <w:fldChar w:fldCharType="end"/>
      </w:r>
      <w:r w:rsidR="006136B4" w:rsidRPr="00A06DF7">
        <w:rPr>
          <w:rFonts w:cs="Calibri"/>
        </w:rPr>
        <w:t>)</w:t>
      </w:r>
      <w:r w:rsidR="00EE02A2" w:rsidRPr="00A06DF7">
        <w:rPr>
          <w:rFonts w:cs="Calibri"/>
        </w:rPr>
        <w:t>, which is viewed as a positive impact by</w:t>
      </w:r>
      <w:r w:rsidR="004C4994" w:rsidRPr="00A06DF7">
        <w:rPr>
          <w:rFonts w:cs="Calibri"/>
        </w:rPr>
        <w:t xml:space="preserve"> </w:t>
      </w:r>
      <w:r w:rsidR="009F53EA" w:rsidRPr="00A06DF7">
        <w:rPr>
          <w:rFonts w:cs="Calibri"/>
        </w:rPr>
        <w:t>some</w:t>
      </w:r>
      <w:r w:rsidR="006136B4" w:rsidRPr="00A06DF7">
        <w:rPr>
          <w:rFonts w:cs="Calibri"/>
        </w:rPr>
        <w:t xml:space="preserve">. </w:t>
      </w:r>
      <w:r w:rsidR="00EE2FC1" w:rsidRPr="00A06DF7">
        <w:rPr>
          <w:rFonts w:cs="Calibri"/>
        </w:rPr>
        <w:t>However</w:t>
      </w:r>
      <w:r w:rsidR="00A8667B" w:rsidRPr="00A06DF7">
        <w:rPr>
          <w:rFonts w:cs="Calibri"/>
        </w:rPr>
        <w:t xml:space="preserve">, </w:t>
      </w:r>
      <w:r w:rsidR="00FA15A6" w:rsidRPr="00A06DF7">
        <w:rPr>
          <w:rFonts w:cs="Calibri"/>
        </w:rPr>
        <w:t xml:space="preserve">research </w:t>
      </w:r>
      <w:r w:rsidR="00904E61" w:rsidRPr="00A06DF7">
        <w:rPr>
          <w:rFonts w:cs="Calibri"/>
        </w:rPr>
        <w:t>found that problem gamblers contribut</w:t>
      </w:r>
      <w:r w:rsidR="006304F0" w:rsidRPr="00A06DF7">
        <w:rPr>
          <w:rFonts w:cs="Calibri"/>
        </w:rPr>
        <w:t>e between 30</w:t>
      </w:r>
      <w:r w:rsidR="00D9625C" w:rsidRPr="00A06DF7">
        <w:rPr>
          <w:rFonts w:cs="Calibri"/>
        </w:rPr>
        <w:t xml:space="preserve"> per cent</w:t>
      </w:r>
      <w:r w:rsidR="006238DE" w:rsidRPr="00A06DF7">
        <w:rPr>
          <w:rFonts w:cs="Calibri"/>
        </w:rPr>
        <w:t xml:space="preserve"> </w:t>
      </w:r>
      <w:r w:rsidR="006304F0" w:rsidRPr="00A06DF7">
        <w:rPr>
          <w:rFonts w:cs="Calibri"/>
        </w:rPr>
        <w:t>and 60</w:t>
      </w:r>
      <w:r w:rsidR="00D9625C" w:rsidRPr="00A06DF7">
        <w:rPr>
          <w:rFonts w:cs="Calibri"/>
        </w:rPr>
        <w:t xml:space="preserve"> per cent</w:t>
      </w:r>
      <w:r w:rsidR="006304F0" w:rsidRPr="00A06DF7">
        <w:rPr>
          <w:rFonts w:cs="Calibri"/>
        </w:rPr>
        <w:t xml:space="preserve"> of the total amount paid </w:t>
      </w:r>
      <w:r w:rsidR="006238DE" w:rsidRPr="00A06DF7">
        <w:rPr>
          <w:rFonts w:cs="Calibri"/>
        </w:rPr>
        <w:t>out in community grants</w:t>
      </w:r>
      <w:r w:rsidR="00A7637C" w:rsidRPr="00A06DF7">
        <w:rPr>
          <w:rFonts w:cs="Calibri"/>
        </w:rPr>
        <w:t xml:space="preserve"> </w:t>
      </w:r>
      <w:r w:rsidR="00A7637C" w:rsidRPr="00A06DF7">
        <w:rPr>
          <w:rFonts w:cs="Calibri"/>
        </w:rPr>
        <w:fldChar w:fldCharType="begin"/>
      </w:r>
      <w:r w:rsidR="00715B07" w:rsidRPr="00A06DF7">
        <w:rPr>
          <w:rFonts w:cs="Calibri"/>
        </w:rPr>
        <w:instrText xml:space="preserve"> ADDIN ZOTERO_ITEM CSL_CITATION {"citationID":"FckKz0Ek","properties":{"formattedCitation":"(PGF Group et al., 2020)","plainCitation":"(PGF Group et al., 2020)","noteIndex":0},"citationItems":[{"id":1533,"uris":["http://zotero.org/users/11111291/items/7YR88JVD"],"itemData":{"id":1533,"type":"report","title":"Ending community sector dependence on pokie funding. White paper.","URL":"https://www.pgf.nz/downloads/assets/11959/1/ending_community_sector_dependence_on_pokie_funding_20200717.pdf","author":[{"literal":"PGF Group"},{"literal":"Hāpai Te Hauora,"},{"literal":"The Salvation Army"}],"accessed":{"date-parts":[["2024",1,23]]},"issued":{"date-parts":[["2020"]]}}}],"schema":"https://github.com/citation-style-language/schema/raw/master/csl-citation.json"} </w:instrText>
      </w:r>
      <w:r w:rsidR="00A7637C" w:rsidRPr="00A06DF7">
        <w:rPr>
          <w:rFonts w:cs="Calibri"/>
        </w:rPr>
        <w:fldChar w:fldCharType="separate"/>
      </w:r>
      <w:r w:rsidR="00A7637C" w:rsidRPr="00A06DF7">
        <w:rPr>
          <w:rFonts w:cs="Calibri"/>
        </w:rPr>
        <w:t xml:space="preserve">(PGF Group </w:t>
      </w:r>
      <w:r w:rsidR="00A7637C" w:rsidRPr="00A06DF7">
        <w:rPr>
          <w:rFonts w:cs="Calibri"/>
        </w:rPr>
        <w:lastRenderedPageBreak/>
        <w:t>et al., 2020)</w:t>
      </w:r>
      <w:r w:rsidR="00A7637C" w:rsidRPr="00A06DF7">
        <w:rPr>
          <w:rFonts w:cs="Calibri"/>
        </w:rPr>
        <w:fldChar w:fldCharType="end"/>
      </w:r>
      <w:r w:rsidR="006238DE" w:rsidRPr="00A06DF7">
        <w:rPr>
          <w:rFonts w:cs="Calibri"/>
        </w:rPr>
        <w:t>.</w:t>
      </w:r>
      <w:r w:rsidR="00803D7F" w:rsidRPr="00A06DF7">
        <w:rPr>
          <w:rFonts w:cs="Calibri"/>
        </w:rPr>
        <w:t xml:space="preserve"> </w:t>
      </w:r>
      <w:r w:rsidR="006275AF" w:rsidRPr="00A06DF7">
        <w:rPr>
          <w:rFonts w:cs="Calibri"/>
        </w:rPr>
        <w:t>Researchers argue that the</w:t>
      </w:r>
      <w:r w:rsidR="00697F74" w:rsidRPr="00A06DF7">
        <w:rPr>
          <w:rFonts w:cs="Calibri"/>
        </w:rPr>
        <w:t xml:space="preserve"> grant system diverts income from </w:t>
      </w:r>
      <w:r w:rsidR="00C12939" w:rsidRPr="00A06DF7">
        <w:rPr>
          <w:rFonts w:cs="Calibri"/>
        </w:rPr>
        <w:t xml:space="preserve">deprived communities </w:t>
      </w:r>
      <w:r w:rsidR="003D7EF9" w:rsidRPr="00A06DF7">
        <w:rPr>
          <w:rFonts w:cs="Calibri"/>
        </w:rPr>
        <w:t xml:space="preserve">to national public programmes and sports interest, </w:t>
      </w:r>
      <w:r w:rsidR="0056002E" w:rsidRPr="00A06DF7">
        <w:rPr>
          <w:rFonts w:cs="Calibri"/>
        </w:rPr>
        <w:t>creating</w:t>
      </w:r>
      <w:r w:rsidR="00685640" w:rsidRPr="00A06DF7">
        <w:rPr>
          <w:rFonts w:cs="Calibri"/>
        </w:rPr>
        <w:t xml:space="preserve"> a moral dilemma where community funding relies on </w:t>
      </w:r>
      <w:r w:rsidR="007713FD" w:rsidRPr="00A06DF7">
        <w:rPr>
          <w:rFonts w:cs="Calibri"/>
        </w:rPr>
        <w:t xml:space="preserve">money generated by </w:t>
      </w:r>
      <w:r w:rsidR="00685640" w:rsidRPr="00A06DF7">
        <w:rPr>
          <w:rFonts w:cs="Calibri"/>
        </w:rPr>
        <w:t>addi</w:t>
      </w:r>
      <w:r w:rsidR="00E51A37" w:rsidRPr="00A06DF7">
        <w:rPr>
          <w:rFonts w:cs="Calibri"/>
        </w:rPr>
        <w:t>c</w:t>
      </w:r>
      <w:r w:rsidR="00685640" w:rsidRPr="00A06DF7">
        <w:rPr>
          <w:rFonts w:cs="Calibri"/>
        </w:rPr>
        <w:t>tion and health issues</w:t>
      </w:r>
      <w:r w:rsidR="007A5B03" w:rsidRPr="00A06DF7">
        <w:rPr>
          <w:rFonts w:cs="Calibri"/>
        </w:rPr>
        <w:t xml:space="preserve"> </w:t>
      </w:r>
      <w:r w:rsidR="00D068BA" w:rsidRPr="00A06DF7">
        <w:rPr>
          <w:rFonts w:cs="Calibri"/>
        </w:rPr>
        <w:fldChar w:fldCharType="begin"/>
      </w:r>
      <w:r w:rsidR="00715B07" w:rsidRPr="00A06DF7">
        <w:rPr>
          <w:rFonts w:cs="Calibri"/>
        </w:rPr>
        <w:instrText xml:space="preserve"> ADDIN ZOTERO_ITEM CSL_CITATION {"citationID":"SQZNUu8w","properties":{"formattedCitation":"(Hart, 2021)","plainCitation":"(Hart, 2021)","noteIndex":0},"citationItems":[{"id":1534,"uris":["http://zotero.org/users/11111291/items/RZ9UA5QC"],"itemData":{"id":1534,"type":"webpage","abstract":"OPINION: Fifty per cent of pokies are located in the worst 30 per cent of areas experiencing economic hardship.","container-title":"Stuff","language":"en","title":"Stop relying on poor and addicted for community funding","URL":"https://www.stuff.co.nz/opinion/125776246/lets-stop-relying-on-our-poor-and-an-addictive-activity-for-community-funding","author":[{"family":"Hart","given":"Lana"}],"accessed":{"date-parts":[["2024",1,30]]},"issued":{"date-parts":[["2021",7,16]]}}}],"schema":"https://github.com/citation-style-language/schema/raw/master/csl-citation.json"} </w:instrText>
      </w:r>
      <w:r w:rsidR="00D068BA" w:rsidRPr="00A06DF7">
        <w:rPr>
          <w:rFonts w:cs="Calibri"/>
        </w:rPr>
        <w:fldChar w:fldCharType="separate"/>
      </w:r>
      <w:r w:rsidR="00D068BA" w:rsidRPr="00A06DF7">
        <w:rPr>
          <w:rFonts w:cs="Calibri"/>
        </w:rPr>
        <w:t>(Hart, 2021)</w:t>
      </w:r>
      <w:r w:rsidR="00D068BA" w:rsidRPr="00A06DF7">
        <w:rPr>
          <w:rFonts w:cs="Calibri"/>
        </w:rPr>
        <w:fldChar w:fldCharType="end"/>
      </w:r>
      <w:r w:rsidR="00685640" w:rsidRPr="00A06DF7">
        <w:rPr>
          <w:rFonts w:cs="Calibri"/>
        </w:rPr>
        <w:t>.</w:t>
      </w:r>
      <w:r w:rsidR="00CE4EF6" w:rsidRPr="00A06DF7">
        <w:rPr>
          <w:rFonts w:cs="Calibri"/>
        </w:rPr>
        <w:t xml:space="preserve"> </w:t>
      </w:r>
      <w:r w:rsidR="004375DC" w:rsidRPr="00A06DF7">
        <w:rPr>
          <w:rFonts w:cs="Calibri"/>
        </w:rPr>
        <w:t>Some c</w:t>
      </w:r>
      <w:r w:rsidR="00CE4EF6" w:rsidRPr="00A06DF7">
        <w:rPr>
          <w:rFonts w:cs="Calibri"/>
        </w:rPr>
        <w:t xml:space="preserve">ommunity </w:t>
      </w:r>
      <w:r w:rsidR="00592937" w:rsidRPr="00A06DF7">
        <w:rPr>
          <w:rFonts w:cs="Calibri"/>
        </w:rPr>
        <w:t xml:space="preserve">and sporting organisations </w:t>
      </w:r>
      <w:r w:rsidR="004375DC" w:rsidRPr="00A06DF7">
        <w:rPr>
          <w:rFonts w:cs="Calibri"/>
        </w:rPr>
        <w:t xml:space="preserve">have become </w:t>
      </w:r>
      <w:r w:rsidR="00F10568" w:rsidRPr="00A06DF7">
        <w:rPr>
          <w:rFonts w:cs="Calibri"/>
        </w:rPr>
        <w:t>dependent on these grants</w:t>
      </w:r>
      <w:r w:rsidR="00B07BE9" w:rsidRPr="00A06DF7">
        <w:rPr>
          <w:rFonts w:cs="Calibri"/>
        </w:rPr>
        <w:t xml:space="preserve">, and </w:t>
      </w:r>
      <w:r w:rsidR="00C52CF4" w:rsidRPr="00A06DF7">
        <w:rPr>
          <w:rFonts w:cs="Calibri"/>
        </w:rPr>
        <w:t xml:space="preserve">researchers </w:t>
      </w:r>
      <w:r w:rsidR="00656292" w:rsidRPr="00A06DF7">
        <w:rPr>
          <w:rFonts w:cs="Calibri"/>
        </w:rPr>
        <w:t xml:space="preserve">question </w:t>
      </w:r>
      <w:r w:rsidR="00717560" w:rsidRPr="00A06DF7">
        <w:rPr>
          <w:rFonts w:cs="Calibri"/>
        </w:rPr>
        <w:t xml:space="preserve">the ethics </w:t>
      </w:r>
      <w:r w:rsidR="00426889" w:rsidRPr="00A06DF7">
        <w:rPr>
          <w:rFonts w:cs="Calibri"/>
        </w:rPr>
        <w:t xml:space="preserve">of </w:t>
      </w:r>
      <w:r w:rsidR="00BA7FF8" w:rsidRPr="00A06DF7">
        <w:rPr>
          <w:rFonts w:cs="Calibri"/>
        </w:rPr>
        <w:t xml:space="preserve">funding </w:t>
      </w:r>
      <w:r w:rsidR="0019100A" w:rsidRPr="00A06DF7">
        <w:rPr>
          <w:rFonts w:cs="Calibri"/>
        </w:rPr>
        <w:t>sourced</w:t>
      </w:r>
      <w:r w:rsidR="002E365D" w:rsidRPr="00A06DF7">
        <w:rPr>
          <w:rFonts w:cs="Calibri"/>
        </w:rPr>
        <w:t xml:space="preserve"> from </w:t>
      </w:r>
      <w:r w:rsidR="00AD1BD0" w:rsidRPr="00A06DF7">
        <w:rPr>
          <w:rFonts w:cs="Calibri"/>
        </w:rPr>
        <w:t xml:space="preserve">those who can </w:t>
      </w:r>
      <w:r w:rsidR="006E2A8E" w:rsidRPr="00A06DF7">
        <w:rPr>
          <w:rFonts w:cs="Calibri"/>
        </w:rPr>
        <w:t xml:space="preserve">least afford it </w:t>
      </w:r>
      <w:r w:rsidR="006E2A8E" w:rsidRPr="00A06DF7">
        <w:rPr>
          <w:rFonts w:cs="Calibri"/>
        </w:rPr>
        <w:fldChar w:fldCharType="begin"/>
      </w:r>
      <w:r w:rsidR="00715B07" w:rsidRPr="00A06DF7">
        <w:rPr>
          <w:rFonts w:cs="Calibri"/>
        </w:rPr>
        <w:instrText xml:space="preserve"> ADDIN ZOTERO_ITEM CSL_CITATION {"citationID":"0Lx7DU5s","properties":{"formattedCitation":"(PGF Group et al., 2020)","plainCitation":"(PGF Group et al., 2020)","noteIndex":0},"citationItems":[{"id":1533,"uris":["http://zotero.org/users/11111291/items/7YR88JVD"],"itemData":{"id":1533,"type":"report","title":"Ending community sector dependence on pokie funding. White paper.","URL":"https://www.pgf.nz/downloads/assets/11959/1/ending_community_sector_dependence_on_pokie_funding_20200717.pdf","author":[{"literal":"PGF Group"},{"literal":"Hāpai Te Hauora,"},{"literal":"The Salvation Army"}],"accessed":{"date-parts":[["2024",1,23]]},"issued":{"date-parts":[["2020"]]}}}],"schema":"https://github.com/citation-style-language/schema/raw/master/csl-citation.json"} </w:instrText>
      </w:r>
      <w:r w:rsidR="006E2A8E" w:rsidRPr="00A06DF7">
        <w:rPr>
          <w:rFonts w:cs="Calibri"/>
        </w:rPr>
        <w:fldChar w:fldCharType="separate"/>
      </w:r>
      <w:r w:rsidR="006E2A8E" w:rsidRPr="00A06DF7">
        <w:rPr>
          <w:rFonts w:cs="Calibri"/>
        </w:rPr>
        <w:t>(PGF Group et al., 2020)</w:t>
      </w:r>
      <w:r w:rsidR="006E2A8E" w:rsidRPr="00A06DF7">
        <w:rPr>
          <w:rFonts w:cs="Calibri"/>
        </w:rPr>
        <w:fldChar w:fldCharType="end"/>
      </w:r>
      <w:r w:rsidR="00DD757E" w:rsidRPr="00A06DF7">
        <w:rPr>
          <w:rFonts w:cs="Calibri"/>
        </w:rPr>
        <w:t>.</w:t>
      </w:r>
      <w:r w:rsidR="0046302B" w:rsidRPr="00A06DF7">
        <w:rPr>
          <w:rFonts w:cs="Calibri"/>
        </w:rPr>
        <w:t xml:space="preserve"> </w:t>
      </w:r>
      <w:r w:rsidR="00002C55" w:rsidRPr="00A06DF7">
        <w:rPr>
          <w:rFonts w:cs="Calibri"/>
        </w:rPr>
        <w:t xml:space="preserve">Furthermore, 49.2% of HLS respondents believed that </w:t>
      </w:r>
      <w:r w:rsidR="00E155F4" w:rsidRPr="00A06DF7">
        <w:rPr>
          <w:rFonts w:cs="Calibri"/>
        </w:rPr>
        <w:t xml:space="preserve">raising </w:t>
      </w:r>
      <w:r w:rsidR="00DA7902" w:rsidRPr="00A06DF7">
        <w:rPr>
          <w:rFonts w:cs="Calibri"/>
        </w:rPr>
        <w:t>money through gambling does more harm than good</w:t>
      </w:r>
      <w:r w:rsidR="002B59C4" w:rsidRPr="00A06DF7">
        <w:rPr>
          <w:rFonts w:cs="Calibri"/>
        </w:rPr>
        <w:t xml:space="preserve"> </w:t>
      </w:r>
      <w:r w:rsidR="002B59C4" w:rsidRPr="00A06DF7">
        <w:rPr>
          <w:rFonts w:cs="Calibri"/>
        </w:rPr>
        <w:fldChar w:fldCharType="begin"/>
      </w:r>
      <w:r w:rsidR="002B59C4" w:rsidRPr="00A06DF7">
        <w:rPr>
          <w:rFonts w:cs="Calibri"/>
        </w:rPr>
        <w:instrText xml:space="preserve"> ADDIN ZOTERO_ITEM CSL_CITATION {"citationID":"XXWl343h","properties":{"formattedCitation":"(Te Whatu Ora, 2020)","plainCitation":"(Te Whatu Ora, 2020)","noteIndex":0},"citationItems":[{"id":1332,"uris":["http://zotero.org/users/11111291/items/7BATMKQU"],"itemData":{"id":1332,"type":"dataset","title":"Health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002B59C4" w:rsidRPr="00A06DF7">
        <w:rPr>
          <w:rFonts w:cs="Calibri"/>
        </w:rPr>
        <w:fldChar w:fldCharType="separate"/>
      </w:r>
      <w:r w:rsidR="002B59C4" w:rsidRPr="00A06DF7">
        <w:rPr>
          <w:rFonts w:cs="Calibri"/>
        </w:rPr>
        <w:t>(Te Whatu Ora, 2020)</w:t>
      </w:r>
      <w:r w:rsidR="002B59C4" w:rsidRPr="00A06DF7">
        <w:rPr>
          <w:rFonts w:cs="Calibri"/>
        </w:rPr>
        <w:fldChar w:fldCharType="end"/>
      </w:r>
      <w:r w:rsidR="002B59C4" w:rsidRPr="00A06DF7">
        <w:rPr>
          <w:rFonts w:cs="Calibri"/>
        </w:rPr>
        <w:t>.</w:t>
      </w:r>
    </w:p>
    <w:p w14:paraId="06E41531" w14:textId="132D56AA" w:rsidR="007D7D39" w:rsidRPr="00A06DF7" w:rsidRDefault="007D7D39">
      <w:pPr>
        <w:pStyle w:val="Heading6"/>
        <w:rPr>
          <w:rFonts w:cs="Calibri"/>
        </w:rPr>
      </w:pPr>
      <w:bookmarkStart w:id="195" w:name="_Toc65250322"/>
      <w:bookmarkStart w:id="196" w:name="_Toc76469797"/>
      <w:bookmarkStart w:id="197" w:name="_Toc166507399"/>
      <w:r w:rsidRPr="00A06DF7">
        <w:rPr>
          <w:rFonts w:cs="Calibri"/>
        </w:rPr>
        <w:t>Harmful gambling impacts wellbeing for</w:t>
      </w:r>
      <w:r w:rsidR="00436383" w:rsidRPr="00A06DF7">
        <w:rPr>
          <w:rFonts w:cs="Calibri"/>
        </w:rPr>
        <w:t xml:space="preserve"> both</w:t>
      </w:r>
      <w:r w:rsidRPr="00A06DF7">
        <w:rPr>
          <w:rFonts w:cs="Calibri"/>
        </w:rPr>
        <w:t xml:space="preserve"> individuals and their whānau</w:t>
      </w:r>
      <w:bookmarkEnd w:id="195"/>
      <w:bookmarkEnd w:id="196"/>
      <w:bookmarkEnd w:id="197"/>
    </w:p>
    <w:p w14:paraId="037852A7" w14:textId="1C21609D" w:rsidR="00146B61" w:rsidRPr="00A06DF7" w:rsidRDefault="00307690" w:rsidP="007D7D39">
      <w:pPr>
        <w:rPr>
          <w:rFonts w:cs="Calibri"/>
        </w:rPr>
      </w:pPr>
      <w:r w:rsidRPr="00A06DF7">
        <w:rPr>
          <w:rFonts w:cs="Calibri"/>
        </w:rPr>
        <w:t>V</w:t>
      </w:r>
      <w:r w:rsidR="00E3179F" w:rsidRPr="00A06DF7">
        <w:rPr>
          <w:rFonts w:cs="Calibri"/>
        </w:rPr>
        <w:t xml:space="preserve">arious factors are linked to </w:t>
      </w:r>
      <w:r w:rsidR="00B02440" w:rsidRPr="00A06DF7">
        <w:rPr>
          <w:rFonts w:cs="Calibri"/>
        </w:rPr>
        <w:t xml:space="preserve">harmful </w:t>
      </w:r>
      <w:r w:rsidR="00E3179F" w:rsidRPr="00A06DF7">
        <w:rPr>
          <w:rFonts w:cs="Calibri"/>
        </w:rPr>
        <w:t xml:space="preserve">gambling, with certain populations </w:t>
      </w:r>
      <w:r w:rsidR="007E419E" w:rsidRPr="00A06DF7">
        <w:rPr>
          <w:rFonts w:cs="Calibri"/>
        </w:rPr>
        <w:t>having a</w:t>
      </w:r>
      <w:r w:rsidR="00E3179F" w:rsidRPr="00A06DF7">
        <w:rPr>
          <w:rFonts w:cs="Calibri"/>
        </w:rPr>
        <w:t xml:space="preserve"> higher risk of developing such behaviour</w:t>
      </w:r>
      <w:r w:rsidRPr="00A06DF7">
        <w:rPr>
          <w:rFonts w:cs="Calibri"/>
        </w:rPr>
        <w:t xml:space="preserve"> (Wang &amp; Bellringer </w:t>
      </w:r>
      <w:r w:rsidRPr="00A06DF7">
        <w:rPr>
          <w:rFonts w:cs="Calibri"/>
        </w:rPr>
        <w:fldChar w:fldCharType="begin"/>
      </w:r>
      <w:r w:rsidR="00715B07" w:rsidRPr="00A06DF7">
        <w:rPr>
          <w:rFonts w:cs="Calibri"/>
        </w:rPr>
        <w:instrText xml:space="preserve"> ADDIN ZOTERO_ITEM CSL_CITATION {"citationID":"i87FBdDU","properties":{"formattedCitation":"(2022)","plainCitation":"(2022)","noteIndex":0},"citationItems":[{"id":1439,"uris":["http://zotero.org/users/11111291/items/IPD62UED"],"itemData":{"id":1439,"type":"article-journal","abstract":"Multiple factors are associated with disordered gambling, with some populations having a greater risk for developing disordered gambling than others. The present study, utilising data previously collected for a New Zealand (NZ) national gambling survey, explored the associations of social connectedness and leisure activities with risky gambling behaviour and quality of life. Poorer social connectedness and leisure activities were found to be associated with increased gambling risk and poorer quality of life, respectively. Social connectedness and leisure activities strongly predicted type of gambling activities and quality of life. Furthermore, Māori (NZ's indigenous population) had lower social connectedness and fewer leisure activities, and a greater gambling risk, as well as higher psychological distress, than the NZ European/Other population. These findings indicate that the risk of progressing from recreational gambling to risky gambling is relatively higher for Māori, and that social connectedness and leisure activities could be contributing factors for this increased risk. It is, therefore, important that social connectedness and leisure activities are seriously considered in public health and treatment efforts to reduce gambling harm for vulnerable populations.","container-title":"Journal of Clinical Medicine","DOI":"10.3390/jcm11237123","ISSN":"2077-0383","issue":"23","journalAbbreviation":"J Clin Med","language":"eng","note":"number: 23\nPMID: 36498695\nPMCID: PMC9737315","page":"7123","source":"PubMed","title":"Social Connectedness and Associations with Gambling Risk in New Zealand","volume":"11","author":[{"family":"Wang","given":"Grace Y."},{"family":"Bellringer","given":"Maria E."}],"issued":{"date-parts":[["2022",11,30]]}},"label":"page","suppress-author":true}],"schema":"https://github.com/citation-style-language/schema/raw/master/csl-citation.json"} </w:instrText>
      </w:r>
      <w:r w:rsidRPr="00A06DF7">
        <w:rPr>
          <w:rFonts w:cs="Calibri"/>
        </w:rPr>
        <w:fldChar w:fldCharType="separate"/>
      </w:r>
      <w:r w:rsidRPr="00A06DF7">
        <w:rPr>
          <w:rFonts w:cs="Calibri"/>
        </w:rPr>
        <w:t>(2022)</w:t>
      </w:r>
      <w:r w:rsidRPr="00A06DF7">
        <w:rPr>
          <w:rFonts w:cs="Calibri"/>
        </w:rPr>
        <w:fldChar w:fldCharType="end"/>
      </w:r>
      <w:r w:rsidR="00E3179F" w:rsidRPr="00A06DF7">
        <w:rPr>
          <w:rFonts w:cs="Calibri"/>
        </w:rPr>
        <w:t>.</w:t>
      </w:r>
      <w:r w:rsidR="00F06F8B" w:rsidRPr="00A06DF7">
        <w:rPr>
          <w:rFonts w:cs="Calibri"/>
        </w:rPr>
        <w:t xml:space="preserve"> This study utilised data from a previous New Zealand national gambling </w:t>
      </w:r>
      <w:r w:rsidR="00081E30" w:rsidRPr="00A06DF7">
        <w:rPr>
          <w:rFonts w:cs="Calibri"/>
        </w:rPr>
        <w:t>survey and</w:t>
      </w:r>
      <w:r w:rsidR="00F06F8B" w:rsidRPr="00A06DF7">
        <w:rPr>
          <w:rFonts w:cs="Calibri"/>
        </w:rPr>
        <w:t xml:space="preserve"> investigated connections between social connectedness</w:t>
      </w:r>
      <w:r w:rsidR="0052180D" w:rsidRPr="00A06DF7">
        <w:rPr>
          <w:rFonts w:cs="Calibri"/>
        </w:rPr>
        <w:t xml:space="preserve"> and </w:t>
      </w:r>
      <w:r w:rsidR="00F06F8B" w:rsidRPr="00A06DF7">
        <w:rPr>
          <w:rFonts w:cs="Calibri"/>
        </w:rPr>
        <w:t>leisure activities</w:t>
      </w:r>
      <w:r w:rsidR="0052180D" w:rsidRPr="00A06DF7">
        <w:rPr>
          <w:rFonts w:cs="Calibri"/>
        </w:rPr>
        <w:t xml:space="preserve"> with </w:t>
      </w:r>
      <w:r w:rsidR="00F06F8B" w:rsidRPr="00A06DF7">
        <w:rPr>
          <w:rFonts w:cs="Calibri"/>
        </w:rPr>
        <w:t xml:space="preserve">risky gambling behaviour and quality of life. The results revealed that </w:t>
      </w:r>
      <w:r w:rsidR="00163849" w:rsidRPr="00A06DF7">
        <w:rPr>
          <w:rFonts w:cs="Calibri"/>
        </w:rPr>
        <w:t>poorer</w:t>
      </w:r>
      <w:r w:rsidR="00F06F8B" w:rsidRPr="00A06DF7">
        <w:rPr>
          <w:rFonts w:cs="Calibri"/>
        </w:rPr>
        <w:t xml:space="preserve"> social connectedness was associated with increased gambling risk, while fewer leisure activities</w:t>
      </w:r>
      <w:r w:rsidR="00872F36" w:rsidRPr="00A06DF7">
        <w:rPr>
          <w:rFonts w:cs="Calibri"/>
        </w:rPr>
        <w:t xml:space="preserve"> were linked to poorer quality of life. </w:t>
      </w:r>
      <w:r w:rsidR="007E7918" w:rsidRPr="00A06DF7">
        <w:rPr>
          <w:rFonts w:cs="Calibri"/>
        </w:rPr>
        <w:t xml:space="preserve">Social connectedness and leisure activities emerged as strong predictors of both the type of gambling activities and overall quality of life. </w:t>
      </w:r>
    </w:p>
    <w:p w14:paraId="036A3A1C" w14:textId="32FEF97C" w:rsidR="007D7D39" w:rsidRPr="00A06DF7" w:rsidRDefault="00CB4E1A" w:rsidP="007D7D39">
      <w:pPr>
        <w:rPr>
          <w:rFonts w:cs="Calibri"/>
        </w:rPr>
      </w:pPr>
      <w:r w:rsidRPr="00A06DF7">
        <w:rPr>
          <w:rFonts w:cs="Calibri"/>
        </w:rPr>
        <w:t>Additionally, Māori exhibited lower social connectedness and fewer leisure activities, coupled with a heightened gambling risk and increased psychological distress compared to the N</w:t>
      </w:r>
      <w:r w:rsidR="00026AA1" w:rsidRPr="00A06DF7">
        <w:rPr>
          <w:rFonts w:cs="Calibri"/>
        </w:rPr>
        <w:t xml:space="preserve">Z European/Other population. These findings highlight </w:t>
      </w:r>
      <w:r w:rsidR="00342097" w:rsidRPr="00A06DF7">
        <w:rPr>
          <w:rFonts w:cs="Calibri"/>
        </w:rPr>
        <w:t>that Māori have a</w:t>
      </w:r>
      <w:r w:rsidR="00026AA1" w:rsidRPr="00A06DF7">
        <w:rPr>
          <w:rFonts w:cs="Calibri"/>
        </w:rPr>
        <w:t xml:space="preserve"> </w:t>
      </w:r>
      <w:r w:rsidR="00A3465B" w:rsidRPr="00A06DF7">
        <w:rPr>
          <w:rFonts w:cs="Calibri"/>
        </w:rPr>
        <w:t>greater</w:t>
      </w:r>
      <w:r w:rsidR="00026AA1" w:rsidRPr="00A06DF7">
        <w:rPr>
          <w:rFonts w:cs="Calibri"/>
        </w:rPr>
        <w:t xml:space="preserve"> risk of transitioning from recreational to risky </w:t>
      </w:r>
      <w:r w:rsidR="00521EA9" w:rsidRPr="00A06DF7">
        <w:rPr>
          <w:rFonts w:cs="Calibri"/>
        </w:rPr>
        <w:t xml:space="preserve">gambling, with social connectedness and leisure activities potentially </w:t>
      </w:r>
      <w:r w:rsidR="00586E80" w:rsidRPr="00A06DF7">
        <w:rPr>
          <w:rFonts w:cs="Calibri"/>
        </w:rPr>
        <w:t>contributing</w:t>
      </w:r>
      <w:r w:rsidR="00521EA9" w:rsidRPr="00A06DF7">
        <w:rPr>
          <w:rFonts w:cs="Calibri"/>
        </w:rPr>
        <w:t xml:space="preserve"> to this </w:t>
      </w:r>
      <w:r w:rsidR="00081E30" w:rsidRPr="00A06DF7">
        <w:rPr>
          <w:rFonts w:cs="Calibri"/>
        </w:rPr>
        <w:t>greater</w:t>
      </w:r>
      <w:r w:rsidR="00521EA9" w:rsidRPr="00A06DF7">
        <w:rPr>
          <w:rFonts w:cs="Calibri"/>
        </w:rPr>
        <w:t xml:space="preserve"> risk. </w:t>
      </w:r>
      <w:r w:rsidR="00081E30" w:rsidRPr="00A06DF7">
        <w:rPr>
          <w:rFonts w:cs="Calibri"/>
        </w:rPr>
        <w:t>They</w:t>
      </w:r>
      <w:r w:rsidR="00586E80" w:rsidRPr="00A06DF7">
        <w:rPr>
          <w:rFonts w:cs="Calibri"/>
        </w:rPr>
        <w:t xml:space="preserve"> concluded that it is</w:t>
      </w:r>
      <w:r w:rsidR="00521EA9" w:rsidRPr="00A06DF7">
        <w:rPr>
          <w:rFonts w:cs="Calibri"/>
        </w:rPr>
        <w:t xml:space="preserve"> crucial to </w:t>
      </w:r>
      <w:r w:rsidR="00785C32" w:rsidRPr="00A06DF7">
        <w:rPr>
          <w:rFonts w:cs="Calibri"/>
        </w:rPr>
        <w:t xml:space="preserve">prioritise </w:t>
      </w:r>
      <w:r w:rsidR="00586E80" w:rsidRPr="00A06DF7">
        <w:rPr>
          <w:rFonts w:cs="Calibri"/>
        </w:rPr>
        <w:t>these</w:t>
      </w:r>
      <w:r w:rsidR="00521EA9" w:rsidRPr="00A06DF7">
        <w:rPr>
          <w:rFonts w:cs="Calibri"/>
        </w:rPr>
        <w:t xml:space="preserve"> factors in public health and </w:t>
      </w:r>
      <w:r w:rsidR="00586E80" w:rsidRPr="00A06DF7">
        <w:rPr>
          <w:rFonts w:cs="Calibri"/>
        </w:rPr>
        <w:t>treatment initiatives aimed at reducing gambling harm for vulnerable populations</w:t>
      </w:r>
      <w:r w:rsidR="007E419E" w:rsidRPr="00A06DF7">
        <w:rPr>
          <w:rFonts w:cs="Calibri"/>
        </w:rPr>
        <w:t>.</w:t>
      </w:r>
    </w:p>
    <w:p w14:paraId="0271775C" w14:textId="51F069B5" w:rsidR="007B0639" w:rsidRPr="00A06DF7" w:rsidRDefault="007B0639" w:rsidP="007B0639">
      <w:pPr>
        <w:pStyle w:val="Heading6"/>
        <w:rPr>
          <w:rFonts w:cs="Calibri"/>
        </w:rPr>
      </w:pPr>
      <w:bookmarkStart w:id="198" w:name="_Toc166507400"/>
      <w:r w:rsidRPr="00A06DF7">
        <w:rPr>
          <w:rFonts w:cs="Calibri"/>
        </w:rPr>
        <w:t>Continuous gambling</w:t>
      </w:r>
      <w:r w:rsidR="00DF2342" w:rsidRPr="00A06DF7">
        <w:rPr>
          <w:rFonts w:cs="Calibri"/>
        </w:rPr>
        <w:t xml:space="preserve"> </w:t>
      </w:r>
      <w:r w:rsidR="00CA61FB" w:rsidRPr="00A06DF7">
        <w:rPr>
          <w:rFonts w:cs="Calibri"/>
        </w:rPr>
        <w:t>is</w:t>
      </w:r>
      <w:r w:rsidR="00B77B46" w:rsidRPr="00A06DF7">
        <w:rPr>
          <w:rFonts w:cs="Calibri"/>
        </w:rPr>
        <w:t xml:space="preserve"> the most harmful form</w:t>
      </w:r>
      <w:r w:rsidR="00CA61FB" w:rsidRPr="00A06DF7">
        <w:rPr>
          <w:rFonts w:cs="Calibri"/>
        </w:rPr>
        <w:t xml:space="preserve"> of gambling</w:t>
      </w:r>
      <w:bookmarkEnd w:id="198"/>
    </w:p>
    <w:p w14:paraId="4E4BD9D9" w14:textId="1F5372C0" w:rsidR="007C6BE9" w:rsidRPr="00A06DF7" w:rsidRDefault="007C6BE9" w:rsidP="007C6BE9">
      <w:pPr>
        <w:rPr>
          <w:rFonts w:cs="Calibri"/>
        </w:rPr>
      </w:pPr>
      <w:r w:rsidRPr="00A06DF7">
        <w:rPr>
          <w:rFonts w:cs="Calibri"/>
        </w:rPr>
        <w:t xml:space="preserve">Continuous forms of gambling </w:t>
      </w:r>
      <w:r w:rsidR="00D97F47" w:rsidRPr="00A06DF7">
        <w:rPr>
          <w:rFonts w:cs="Calibri"/>
        </w:rPr>
        <w:t>enable</w:t>
      </w:r>
      <w:r w:rsidR="00C76456" w:rsidRPr="00A06DF7">
        <w:rPr>
          <w:rFonts w:cs="Calibri"/>
        </w:rPr>
        <w:t xml:space="preserve"> winnings to be immediately reinvested, and the result </w:t>
      </w:r>
      <w:r w:rsidR="0022490F" w:rsidRPr="00A06DF7">
        <w:rPr>
          <w:rFonts w:cs="Calibri"/>
        </w:rPr>
        <w:t xml:space="preserve">of the game is </w:t>
      </w:r>
      <w:r w:rsidR="009147FF" w:rsidRPr="00A06DF7">
        <w:rPr>
          <w:rFonts w:cs="Calibri"/>
        </w:rPr>
        <w:t>in</w:t>
      </w:r>
      <w:r w:rsidR="0022490F" w:rsidRPr="00A06DF7">
        <w:rPr>
          <w:rFonts w:cs="Calibri"/>
        </w:rPr>
        <w:t>stant, which is</w:t>
      </w:r>
      <w:r w:rsidR="009147FF" w:rsidRPr="00A06DF7">
        <w:rPr>
          <w:rFonts w:cs="Calibri"/>
        </w:rPr>
        <w:t xml:space="preserve"> in</w:t>
      </w:r>
      <w:r w:rsidR="0022490F" w:rsidRPr="00A06DF7">
        <w:rPr>
          <w:rFonts w:cs="Calibri"/>
        </w:rPr>
        <w:t xml:space="preserve"> contrast to less harmful forms like </w:t>
      </w:r>
      <w:r w:rsidR="007E6209" w:rsidRPr="00A06DF7">
        <w:rPr>
          <w:rFonts w:cs="Calibri"/>
        </w:rPr>
        <w:t>l</w:t>
      </w:r>
      <w:r w:rsidR="0022490F" w:rsidRPr="00A06DF7">
        <w:rPr>
          <w:rFonts w:cs="Calibri"/>
        </w:rPr>
        <w:t xml:space="preserve">otto </w:t>
      </w:r>
      <w:r w:rsidR="009147FF" w:rsidRPr="00A06DF7">
        <w:rPr>
          <w:rFonts w:cs="Calibri"/>
        </w:rPr>
        <w:t>where p</w:t>
      </w:r>
      <w:r w:rsidR="00401DFA" w:rsidRPr="00A06DF7">
        <w:rPr>
          <w:rFonts w:cs="Calibri"/>
        </w:rPr>
        <w:t>l</w:t>
      </w:r>
      <w:r w:rsidR="009147FF" w:rsidRPr="00A06DF7">
        <w:rPr>
          <w:rFonts w:cs="Calibri"/>
        </w:rPr>
        <w:t>ayers wait up to a week for the result</w:t>
      </w:r>
      <w:r w:rsidR="00480A50" w:rsidRPr="00A06DF7">
        <w:rPr>
          <w:rFonts w:cs="Calibri"/>
        </w:rPr>
        <w:t xml:space="preserve"> </w:t>
      </w:r>
      <w:r w:rsidR="007C6809" w:rsidRPr="00A06DF7">
        <w:rPr>
          <w:rFonts w:cs="Calibri"/>
        </w:rPr>
        <w:fldChar w:fldCharType="begin"/>
      </w:r>
      <w:r w:rsidR="00715B07" w:rsidRPr="00A06DF7">
        <w:rPr>
          <w:rFonts w:cs="Calibri"/>
        </w:rPr>
        <w:instrText xml:space="preserve"> ADDIN ZOTERO_ITEM CSL_CITATION {"citationID":"ZPfajvtd","properties":{"formattedCitation":"(Problem Gambling Foundation, 2020b)","plainCitation":"(Problem Gambling Foundation, 2020b)","noteIndex":0},"citationItems":[{"id":1539,"uris":["http://zotero.org/users/11111291/items/2Z68V58U"],"itemData":{"id":1539,"type":"webpage","title":"Pokies","URL":"https://www.pgf.nz/understand-gambling/pokies#:~:text=Pokies%20are%20a%20continuous%20form,a%20week%20for%20the%20result.","author":[{"literal":"Problem Gambling Foundation"}],"accessed":{"date-parts":[["2024",1,18]]},"issued":{"date-parts":[["2020"]]}}}],"schema":"https://github.com/citation-style-language/schema/raw/master/csl-citation.json"} </w:instrText>
      </w:r>
      <w:r w:rsidR="007C6809" w:rsidRPr="00A06DF7">
        <w:rPr>
          <w:rFonts w:cs="Calibri"/>
        </w:rPr>
        <w:fldChar w:fldCharType="separate"/>
      </w:r>
      <w:r w:rsidR="007C6809" w:rsidRPr="00A06DF7">
        <w:rPr>
          <w:rFonts w:cs="Calibri"/>
        </w:rPr>
        <w:t>(Problem Gambling Foundation, 2020b)</w:t>
      </w:r>
      <w:r w:rsidR="007C6809" w:rsidRPr="00A06DF7">
        <w:rPr>
          <w:rFonts w:cs="Calibri"/>
        </w:rPr>
        <w:fldChar w:fldCharType="end"/>
      </w:r>
      <w:r w:rsidR="009147FF" w:rsidRPr="00A06DF7">
        <w:rPr>
          <w:rFonts w:cs="Calibri"/>
        </w:rPr>
        <w:t>.</w:t>
      </w:r>
      <w:r w:rsidR="00DA1677" w:rsidRPr="00A06DF7">
        <w:rPr>
          <w:rFonts w:cs="Calibri"/>
        </w:rPr>
        <w:t xml:space="preserve"> Pokies </w:t>
      </w:r>
      <w:r w:rsidR="00F2160A" w:rsidRPr="00A06DF7">
        <w:rPr>
          <w:rFonts w:cs="Calibri"/>
        </w:rPr>
        <w:t>are the most prominent</w:t>
      </w:r>
      <w:r w:rsidR="006F29BC" w:rsidRPr="00A06DF7">
        <w:rPr>
          <w:rFonts w:cs="Calibri"/>
        </w:rPr>
        <w:t xml:space="preserve"> form of continuous gambling</w:t>
      </w:r>
      <w:r w:rsidR="005A0B03" w:rsidRPr="00A06DF7">
        <w:rPr>
          <w:rFonts w:cs="Calibri"/>
        </w:rPr>
        <w:t xml:space="preserve">, but other continuous forms </w:t>
      </w:r>
      <w:r w:rsidR="00AB3A92" w:rsidRPr="00A06DF7">
        <w:rPr>
          <w:rFonts w:cs="Calibri"/>
        </w:rPr>
        <w:t xml:space="preserve">are arguably more accessible and </w:t>
      </w:r>
      <w:r w:rsidR="000B7058" w:rsidRPr="00A06DF7">
        <w:rPr>
          <w:rFonts w:cs="Calibri"/>
        </w:rPr>
        <w:t xml:space="preserve">potentially </w:t>
      </w:r>
      <w:r w:rsidR="00AB3A92" w:rsidRPr="00A06DF7">
        <w:rPr>
          <w:rFonts w:cs="Calibri"/>
        </w:rPr>
        <w:t xml:space="preserve">go under the radar when </w:t>
      </w:r>
      <w:r w:rsidR="000B7058" w:rsidRPr="00A06DF7">
        <w:rPr>
          <w:rFonts w:cs="Calibri"/>
        </w:rPr>
        <w:t>public health initiatives a</w:t>
      </w:r>
      <w:r w:rsidR="00B002BC" w:rsidRPr="00A06DF7">
        <w:rPr>
          <w:rFonts w:cs="Calibri"/>
        </w:rPr>
        <w:t xml:space="preserve">ssess </w:t>
      </w:r>
      <w:r w:rsidR="000B7058" w:rsidRPr="00A06DF7">
        <w:rPr>
          <w:rFonts w:cs="Calibri"/>
        </w:rPr>
        <w:t>harm.</w:t>
      </w:r>
      <w:r w:rsidR="0041474A" w:rsidRPr="00A06DF7">
        <w:rPr>
          <w:rFonts w:cs="Calibri"/>
        </w:rPr>
        <w:t xml:space="preserve"> In 2018, Lotto </w:t>
      </w:r>
      <w:r w:rsidR="00D913C5" w:rsidRPr="00A06DF7">
        <w:rPr>
          <w:rFonts w:cs="Calibri"/>
        </w:rPr>
        <w:t xml:space="preserve">introduced online games </w:t>
      </w:r>
      <w:r w:rsidR="001B7A96" w:rsidRPr="00A06DF7">
        <w:rPr>
          <w:rFonts w:cs="Calibri"/>
        </w:rPr>
        <w:t>marketed as</w:t>
      </w:r>
      <w:r w:rsidR="00D913C5" w:rsidRPr="00A06DF7">
        <w:rPr>
          <w:rFonts w:cs="Calibri"/>
        </w:rPr>
        <w:t xml:space="preserve"> digital, animated </w:t>
      </w:r>
      <w:r w:rsidR="001B7A96" w:rsidRPr="00A06DF7">
        <w:rPr>
          <w:rFonts w:cs="Calibri"/>
        </w:rPr>
        <w:t xml:space="preserve">versions of scratchie tickets. </w:t>
      </w:r>
      <w:r w:rsidR="00D31DBC" w:rsidRPr="00A06DF7">
        <w:rPr>
          <w:rFonts w:cs="Calibri"/>
        </w:rPr>
        <w:t xml:space="preserve">The online games </w:t>
      </w:r>
      <w:r w:rsidR="005B62C3" w:rsidRPr="00A06DF7">
        <w:rPr>
          <w:rFonts w:cs="Calibri"/>
        </w:rPr>
        <w:t>manifest</w:t>
      </w:r>
      <w:r w:rsidR="00E10570" w:rsidRPr="00A06DF7">
        <w:rPr>
          <w:rFonts w:cs="Calibri"/>
        </w:rPr>
        <w:t xml:space="preserve"> two characteristics </w:t>
      </w:r>
      <w:r w:rsidR="0004211D" w:rsidRPr="00A06DF7">
        <w:rPr>
          <w:rFonts w:cs="Calibri"/>
        </w:rPr>
        <w:t>of</w:t>
      </w:r>
      <w:r w:rsidR="00E10570" w:rsidRPr="00A06DF7">
        <w:rPr>
          <w:rFonts w:cs="Calibri"/>
        </w:rPr>
        <w:t xml:space="preserve"> harmful </w:t>
      </w:r>
      <w:r w:rsidR="002323F1" w:rsidRPr="00A06DF7">
        <w:rPr>
          <w:rFonts w:cs="Calibri"/>
        </w:rPr>
        <w:t>gambling:</w:t>
      </w:r>
      <w:r w:rsidR="00E10570" w:rsidRPr="00A06DF7">
        <w:rPr>
          <w:rFonts w:cs="Calibri"/>
        </w:rPr>
        <w:t xml:space="preserve"> </w:t>
      </w:r>
      <w:r w:rsidR="005B62C3" w:rsidRPr="00A06DF7">
        <w:rPr>
          <w:rFonts w:cs="Calibri"/>
        </w:rPr>
        <w:t>continuity</w:t>
      </w:r>
      <w:r w:rsidR="00E10570" w:rsidRPr="00A06DF7">
        <w:rPr>
          <w:rFonts w:cs="Calibri"/>
        </w:rPr>
        <w:t xml:space="preserve"> </w:t>
      </w:r>
      <w:r w:rsidR="0004211D" w:rsidRPr="00A06DF7">
        <w:rPr>
          <w:rFonts w:cs="Calibri"/>
        </w:rPr>
        <w:t xml:space="preserve">from their </w:t>
      </w:r>
      <w:r w:rsidR="005647F8" w:rsidRPr="00A06DF7">
        <w:rPr>
          <w:rFonts w:cs="Calibri"/>
        </w:rPr>
        <w:t>immediate</w:t>
      </w:r>
      <w:r w:rsidR="0004211D" w:rsidRPr="00A06DF7">
        <w:rPr>
          <w:rFonts w:cs="Calibri"/>
        </w:rPr>
        <w:t xml:space="preserve"> outcome, and </w:t>
      </w:r>
      <w:r w:rsidR="005647F8" w:rsidRPr="00A06DF7">
        <w:rPr>
          <w:rFonts w:cs="Calibri"/>
        </w:rPr>
        <w:t>high accessibility</w:t>
      </w:r>
      <w:r w:rsidR="0004211D" w:rsidRPr="00A06DF7">
        <w:rPr>
          <w:rFonts w:cs="Calibri"/>
        </w:rPr>
        <w:t xml:space="preserve"> through </w:t>
      </w:r>
      <w:r w:rsidR="00662B5C" w:rsidRPr="00A06DF7">
        <w:rPr>
          <w:rFonts w:cs="Calibri"/>
        </w:rPr>
        <w:t xml:space="preserve">their online </w:t>
      </w:r>
      <w:r w:rsidR="001D2814" w:rsidRPr="00A06DF7">
        <w:rPr>
          <w:rFonts w:cs="Calibri"/>
        </w:rPr>
        <w:t>interface</w:t>
      </w:r>
      <w:r w:rsidR="00662B5C" w:rsidRPr="00A06DF7">
        <w:rPr>
          <w:rFonts w:cs="Calibri"/>
        </w:rPr>
        <w:t>.</w:t>
      </w:r>
      <w:r w:rsidR="001D2814" w:rsidRPr="00A06DF7">
        <w:rPr>
          <w:rFonts w:cs="Calibri"/>
        </w:rPr>
        <w:t xml:space="preserve"> </w:t>
      </w:r>
      <w:r w:rsidR="00D87394" w:rsidRPr="00A06DF7">
        <w:rPr>
          <w:rFonts w:cs="Calibri"/>
        </w:rPr>
        <w:t xml:space="preserve">Lotto’s online games have </w:t>
      </w:r>
      <w:r w:rsidR="00176838" w:rsidRPr="00A06DF7">
        <w:rPr>
          <w:rFonts w:cs="Calibri"/>
        </w:rPr>
        <w:t xml:space="preserve">similar </w:t>
      </w:r>
      <w:r w:rsidR="00AD294B" w:rsidRPr="00A06DF7">
        <w:rPr>
          <w:rFonts w:cs="Calibri"/>
        </w:rPr>
        <w:t>addictive qualities</w:t>
      </w:r>
      <w:r w:rsidR="00176838" w:rsidRPr="00A06DF7">
        <w:rPr>
          <w:rFonts w:cs="Calibri"/>
        </w:rPr>
        <w:t xml:space="preserve"> </w:t>
      </w:r>
      <w:r w:rsidR="00A51FE1" w:rsidRPr="00A06DF7">
        <w:rPr>
          <w:rFonts w:cs="Calibri"/>
        </w:rPr>
        <w:t>to</w:t>
      </w:r>
      <w:r w:rsidR="00176838" w:rsidRPr="00A06DF7">
        <w:rPr>
          <w:rFonts w:cs="Calibri"/>
        </w:rPr>
        <w:t xml:space="preserve"> pokie machines </w:t>
      </w:r>
      <w:r w:rsidR="00313E37" w:rsidRPr="00A06DF7">
        <w:rPr>
          <w:rFonts w:cs="Calibri"/>
        </w:rPr>
        <w:t>such as</w:t>
      </w:r>
      <w:r w:rsidR="00AD294B" w:rsidRPr="00A06DF7">
        <w:rPr>
          <w:rFonts w:cs="Calibri"/>
        </w:rPr>
        <w:t xml:space="preserve"> </w:t>
      </w:r>
      <w:r w:rsidR="00666C4E" w:rsidRPr="00A06DF7">
        <w:rPr>
          <w:rFonts w:cs="Calibri"/>
        </w:rPr>
        <w:t>vibrant</w:t>
      </w:r>
      <w:r w:rsidR="00AD294B" w:rsidRPr="00A06DF7">
        <w:rPr>
          <w:rFonts w:cs="Calibri"/>
        </w:rPr>
        <w:t xml:space="preserve"> colours, sounds and illusion of skill</w:t>
      </w:r>
      <w:r w:rsidR="00F26A79" w:rsidRPr="00A06DF7">
        <w:rPr>
          <w:rFonts w:cs="Calibri"/>
        </w:rPr>
        <w:t xml:space="preserve">. </w:t>
      </w:r>
      <w:r w:rsidR="00CA58DF" w:rsidRPr="00A06DF7">
        <w:rPr>
          <w:rFonts w:cs="Calibri"/>
        </w:rPr>
        <w:t>Researchers have expressed concern about these features</w:t>
      </w:r>
      <w:r w:rsidR="00787134" w:rsidRPr="00A06DF7">
        <w:rPr>
          <w:rFonts w:cs="Calibri"/>
        </w:rPr>
        <w:t xml:space="preserve"> and the online accessibility, and advocate </w:t>
      </w:r>
      <w:r w:rsidR="006A5A34" w:rsidRPr="00A06DF7">
        <w:rPr>
          <w:rFonts w:cs="Calibri"/>
        </w:rPr>
        <w:t>for regulation to minimise harm</w:t>
      </w:r>
      <w:r w:rsidR="00D56DA2" w:rsidRPr="00A06DF7">
        <w:rPr>
          <w:rFonts w:cs="Calibri"/>
        </w:rPr>
        <w:t xml:space="preserve"> </w:t>
      </w:r>
      <w:r w:rsidR="003A2653" w:rsidRPr="00A06DF7">
        <w:rPr>
          <w:rFonts w:cs="Calibri"/>
        </w:rPr>
        <w:fldChar w:fldCharType="begin"/>
      </w:r>
      <w:r w:rsidR="00715B07" w:rsidRPr="00A06DF7">
        <w:rPr>
          <w:rFonts w:cs="Calibri"/>
        </w:rPr>
        <w:instrText xml:space="preserve"> ADDIN ZOTERO_ITEM CSL_CITATION {"citationID":"w9xlWiTt","properties":{"formattedCitation":"(Marcetic, 2018)","plainCitation":"(Marcetic, 2018)","noteIndex":0},"citationItems":[{"id":1540,"uris":["http://zotero.org/users/11111291/items/XMVTUJD7"],"itemData":{"id":1540,"type":"webpage","abstract":"Online gaming is broadly illegal to operate in NZ, so how come government controlled Lotto NZ is running virtual betting with games like Texas Hold'Em?","container-title":"The Spinoff","language":"en","note":"section: Society","title":"The problem with Lotto’s move into online scratch cards","URL":"https://thespinoff.co.nz/society/29-06-2018/the-problem-with-lottos-move-into-online-scratch-cards","author":[{"family":"Marcetic","given":"Branko"}],"accessed":{"date-parts":[["2024",1,31]]},"issued":{"date-parts":[["2018",6,29]]}}}],"schema":"https://github.com/citation-style-language/schema/raw/master/csl-citation.json"} </w:instrText>
      </w:r>
      <w:r w:rsidR="003A2653" w:rsidRPr="00A06DF7">
        <w:rPr>
          <w:rFonts w:cs="Calibri"/>
        </w:rPr>
        <w:fldChar w:fldCharType="separate"/>
      </w:r>
      <w:r w:rsidR="003A2653" w:rsidRPr="00A06DF7">
        <w:rPr>
          <w:rFonts w:cs="Calibri"/>
        </w:rPr>
        <w:t>(Marcetic, 2018)</w:t>
      </w:r>
      <w:r w:rsidR="003A2653" w:rsidRPr="00A06DF7">
        <w:rPr>
          <w:rFonts w:cs="Calibri"/>
        </w:rPr>
        <w:fldChar w:fldCharType="end"/>
      </w:r>
      <w:r w:rsidR="00FF0211" w:rsidRPr="00A06DF7">
        <w:rPr>
          <w:rFonts w:cs="Calibri"/>
        </w:rPr>
        <w:t xml:space="preserve">. </w:t>
      </w:r>
      <w:r w:rsidR="00D0514A" w:rsidRPr="00A06DF7">
        <w:rPr>
          <w:rFonts w:cs="Calibri"/>
        </w:rPr>
        <w:t>Lotto ha</w:t>
      </w:r>
      <w:r w:rsidR="001E7CA2" w:rsidRPr="00A06DF7">
        <w:rPr>
          <w:rFonts w:cs="Calibri"/>
        </w:rPr>
        <w:t>s</w:t>
      </w:r>
      <w:r w:rsidR="00D0514A" w:rsidRPr="00A06DF7">
        <w:rPr>
          <w:rFonts w:cs="Calibri"/>
        </w:rPr>
        <w:t xml:space="preserve"> implemented some harm-minimising measures, including $50 weekly spending limits and </w:t>
      </w:r>
      <w:r w:rsidR="00B86062" w:rsidRPr="00A06DF7">
        <w:rPr>
          <w:rFonts w:cs="Calibri"/>
        </w:rPr>
        <w:t>time restrictions (6</w:t>
      </w:r>
      <w:r w:rsidR="003B73B9" w:rsidRPr="00A06DF7">
        <w:rPr>
          <w:rFonts w:cs="Calibri"/>
        </w:rPr>
        <w:t>:</w:t>
      </w:r>
      <w:r w:rsidR="00B86062" w:rsidRPr="00A06DF7">
        <w:rPr>
          <w:rFonts w:cs="Calibri"/>
        </w:rPr>
        <w:t>30am – 10:10pm)</w:t>
      </w:r>
      <w:r w:rsidR="0088628C" w:rsidRPr="00A06DF7">
        <w:rPr>
          <w:rFonts w:cs="Calibri"/>
        </w:rPr>
        <w:t xml:space="preserve"> </w:t>
      </w:r>
      <w:r w:rsidR="0088628C" w:rsidRPr="00A06DF7">
        <w:rPr>
          <w:rFonts w:cs="Calibri"/>
        </w:rPr>
        <w:fldChar w:fldCharType="begin"/>
      </w:r>
      <w:r w:rsidR="00715B07" w:rsidRPr="00A06DF7">
        <w:rPr>
          <w:rFonts w:cs="Calibri"/>
        </w:rPr>
        <w:instrText xml:space="preserve"> ADDIN ZOTERO_ITEM CSL_CITATION {"citationID":"Dkiww8Ph","properties":{"formattedCitation":"(Lotto New Zealand, n.d.)","plainCitation":"(Lotto New Zealand, n.d.)","noteIndex":0},"citationItems":[{"id":1541,"uris":["http://zotero.org/users/11111291/items/S7Y4TUX9"],"itemData":{"id":1541,"type":"webpage","title":"Instant Kiwi Online FAQs","URL":"https://mylotto.co.nz/instant-kiwi/how-to-play","author":[{"literal":"Lotto New Zealand"}],"accessed":{"date-parts":[["2024",1,31]]}}}],"schema":"https://github.com/citation-style-language/schema/raw/master/csl-citation.json"} </w:instrText>
      </w:r>
      <w:r w:rsidR="0088628C" w:rsidRPr="00A06DF7">
        <w:rPr>
          <w:rFonts w:cs="Calibri"/>
        </w:rPr>
        <w:fldChar w:fldCharType="separate"/>
      </w:r>
      <w:r w:rsidR="0088628C" w:rsidRPr="00A06DF7">
        <w:rPr>
          <w:rFonts w:cs="Calibri"/>
        </w:rPr>
        <w:t>(Lotto New Zealand, n.d.)</w:t>
      </w:r>
      <w:r w:rsidR="0088628C" w:rsidRPr="00A06DF7">
        <w:rPr>
          <w:rFonts w:cs="Calibri"/>
        </w:rPr>
        <w:fldChar w:fldCharType="end"/>
      </w:r>
      <w:r w:rsidR="00401DFA" w:rsidRPr="00A06DF7">
        <w:rPr>
          <w:rFonts w:cs="Calibri"/>
        </w:rPr>
        <w:t xml:space="preserve">, </w:t>
      </w:r>
      <w:r w:rsidR="009B5DB2" w:rsidRPr="00A06DF7">
        <w:rPr>
          <w:rFonts w:cs="Calibri"/>
        </w:rPr>
        <w:t xml:space="preserve">but there </w:t>
      </w:r>
      <w:r w:rsidR="00577B4B" w:rsidRPr="00A06DF7">
        <w:rPr>
          <w:rFonts w:cs="Calibri"/>
        </w:rPr>
        <w:t>are recommendations</w:t>
      </w:r>
      <w:r w:rsidR="00692F94" w:rsidRPr="00A06DF7">
        <w:rPr>
          <w:rFonts w:cs="Calibri"/>
        </w:rPr>
        <w:t xml:space="preserve"> to explore </w:t>
      </w:r>
      <w:r w:rsidR="005165A8" w:rsidRPr="00A06DF7">
        <w:rPr>
          <w:rFonts w:cs="Calibri"/>
        </w:rPr>
        <w:t xml:space="preserve">further harm-minimising approaches </w:t>
      </w:r>
      <w:r w:rsidR="002439B5" w:rsidRPr="00A06DF7">
        <w:rPr>
          <w:rFonts w:cs="Calibri"/>
        </w:rPr>
        <w:fldChar w:fldCharType="begin"/>
      </w:r>
      <w:r w:rsidR="00715B07" w:rsidRPr="00A06DF7">
        <w:rPr>
          <w:rFonts w:cs="Calibri"/>
        </w:rPr>
        <w:instrText xml:space="preserve"> ADDIN ZOTERO_ITEM CSL_CITATION {"citationID":"bgBj326x","properties":{"formattedCitation":"(Marcetic, 2018)","plainCitation":"(Marcetic, 2018)","noteIndex":0},"citationItems":[{"id":1540,"uris":["http://zotero.org/users/11111291/items/XMVTUJD7"],"itemData":{"id":1540,"type":"webpage","abstract":"Online gaming is broadly illegal to operate in NZ, so how come government controlled Lotto NZ is running virtual betting with games like Texas Hold'Em?","container-title":"The Spinoff","language":"en","note":"section: Society","title":"The problem with Lotto’s move into online scratch cards","URL":"https://thespinoff.co.nz/society/29-06-2018/the-problem-with-lottos-move-into-online-scratch-cards","author":[{"family":"Marcetic","given":"Branko"}],"accessed":{"date-parts":[["2024",1,31]]},"issued":{"date-parts":[["2018",6,29]]}}}],"schema":"https://github.com/citation-style-language/schema/raw/master/csl-citation.json"} </w:instrText>
      </w:r>
      <w:r w:rsidR="002439B5" w:rsidRPr="00A06DF7">
        <w:rPr>
          <w:rFonts w:cs="Calibri"/>
        </w:rPr>
        <w:fldChar w:fldCharType="separate"/>
      </w:r>
      <w:r w:rsidR="002439B5" w:rsidRPr="00A06DF7">
        <w:rPr>
          <w:rFonts w:cs="Calibri"/>
        </w:rPr>
        <w:t>(Marcetic, 2018)</w:t>
      </w:r>
      <w:r w:rsidR="002439B5" w:rsidRPr="00A06DF7">
        <w:rPr>
          <w:rFonts w:cs="Calibri"/>
        </w:rPr>
        <w:fldChar w:fldCharType="end"/>
      </w:r>
      <w:r w:rsidR="002439B5" w:rsidRPr="00A06DF7">
        <w:rPr>
          <w:rFonts w:cs="Calibri"/>
        </w:rPr>
        <w:t>.</w:t>
      </w:r>
      <w:r w:rsidR="00724074" w:rsidRPr="00A06DF7">
        <w:rPr>
          <w:rFonts w:cs="Calibri"/>
        </w:rPr>
        <w:t xml:space="preserve"> </w:t>
      </w:r>
    </w:p>
    <w:p w14:paraId="7AB9222E" w14:textId="7F6ACC2A" w:rsidR="007D7D39" w:rsidRPr="00A06DF7" w:rsidRDefault="007D7D39">
      <w:pPr>
        <w:pStyle w:val="Heading5"/>
        <w:rPr>
          <w:rFonts w:cs="Calibri"/>
        </w:rPr>
      </w:pPr>
      <w:bookmarkStart w:id="199" w:name="_Toc166507401"/>
      <w:r w:rsidRPr="00A06DF7">
        <w:rPr>
          <w:rFonts w:cs="Calibri"/>
        </w:rPr>
        <w:lastRenderedPageBreak/>
        <w:t>Gambling harm minimisation approaches</w:t>
      </w:r>
      <w:bookmarkEnd w:id="199"/>
    </w:p>
    <w:p w14:paraId="119A985F" w14:textId="7FA6B8A5" w:rsidR="00240170" w:rsidRPr="00A06DF7" w:rsidRDefault="00155AAD" w:rsidP="009624AA">
      <w:pPr>
        <w:rPr>
          <w:rFonts w:cs="Calibri"/>
        </w:rPr>
      </w:pPr>
      <w:r w:rsidRPr="00A06DF7">
        <w:rPr>
          <w:rFonts w:cs="Calibri"/>
        </w:rPr>
        <w:t>The prevention and</w:t>
      </w:r>
      <w:r w:rsidR="008F3209" w:rsidRPr="00A06DF7">
        <w:rPr>
          <w:rFonts w:cs="Calibri"/>
        </w:rPr>
        <w:t xml:space="preserve"> minimis</w:t>
      </w:r>
      <w:r w:rsidRPr="00A06DF7">
        <w:rPr>
          <w:rFonts w:cs="Calibri"/>
        </w:rPr>
        <w:t>ation of</w:t>
      </w:r>
      <w:r w:rsidR="008F3209" w:rsidRPr="00A06DF7">
        <w:rPr>
          <w:rFonts w:cs="Calibri"/>
        </w:rPr>
        <w:t xml:space="preserve"> gambling harm </w:t>
      </w:r>
      <w:r w:rsidRPr="00A06DF7">
        <w:rPr>
          <w:rFonts w:cs="Calibri"/>
        </w:rPr>
        <w:t>are key pri</w:t>
      </w:r>
      <w:r w:rsidR="009B76B9" w:rsidRPr="00A06DF7">
        <w:rPr>
          <w:rFonts w:cs="Calibri"/>
        </w:rPr>
        <w:t>orities</w:t>
      </w:r>
      <w:r w:rsidR="008F3209" w:rsidRPr="00A06DF7">
        <w:rPr>
          <w:rFonts w:cs="Calibri"/>
        </w:rPr>
        <w:t xml:space="preserve"> </w:t>
      </w:r>
      <w:r w:rsidR="00944303" w:rsidRPr="00A06DF7">
        <w:rPr>
          <w:rFonts w:cs="Calibri"/>
        </w:rPr>
        <w:t>set out in the</w:t>
      </w:r>
      <w:r w:rsidR="008F3209" w:rsidRPr="00A06DF7">
        <w:rPr>
          <w:rFonts w:cs="Calibri"/>
        </w:rPr>
        <w:t xml:space="preserve"> Gambling Act </w:t>
      </w:r>
      <w:r w:rsidR="00BB49ED" w:rsidRPr="00A06DF7">
        <w:rPr>
          <w:rFonts w:cs="Calibri"/>
        </w:rPr>
        <w:t>(</w:t>
      </w:r>
      <w:r w:rsidR="008F3209" w:rsidRPr="00A06DF7">
        <w:rPr>
          <w:rFonts w:cs="Calibri"/>
        </w:rPr>
        <w:t>2003</w:t>
      </w:r>
      <w:r w:rsidR="00BB49ED" w:rsidRPr="00A06DF7">
        <w:rPr>
          <w:rFonts w:cs="Calibri"/>
        </w:rPr>
        <w:t>)</w:t>
      </w:r>
      <w:r w:rsidR="00944303" w:rsidRPr="00A06DF7">
        <w:rPr>
          <w:rFonts w:cs="Calibri"/>
        </w:rPr>
        <w:t xml:space="preserve">, </w:t>
      </w:r>
      <w:r w:rsidR="00A324D3" w:rsidRPr="00A06DF7">
        <w:rPr>
          <w:rFonts w:cs="Calibri"/>
        </w:rPr>
        <w:t xml:space="preserve">which </w:t>
      </w:r>
      <w:r w:rsidR="0004040C" w:rsidRPr="00A06DF7">
        <w:rPr>
          <w:rFonts w:cs="Calibri"/>
        </w:rPr>
        <w:t xml:space="preserve">includes establishing an integrated </w:t>
      </w:r>
      <w:r w:rsidR="00CC291F" w:rsidRPr="00A06DF7">
        <w:rPr>
          <w:rFonts w:cs="Calibri"/>
        </w:rPr>
        <w:t xml:space="preserve">problem gambling strategy </w:t>
      </w:r>
      <w:r w:rsidR="00354903" w:rsidRPr="00A06DF7">
        <w:rPr>
          <w:rFonts w:cs="Calibri"/>
        </w:rPr>
        <w:t xml:space="preserve">with a strong public health focus. </w:t>
      </w:r>
      <w:r w:rsidR="0028470D" w:rsidRPr="00A06DF7">
        <w:rPr>
          <w:rFonts w:cs="Calibri"/>
        </w:rPr>
        <w:t>The strategy is required to incorporate public health ini</w:t>
      </w:r>
      <w:r w:rsidR="00232E5D" w:rsidRPr="00A06DF7">
        <w:rPr>
          <w:rFonts w:cs="Calibri"/>
        </w:rPr>
        <w:t>tiatives and intervention services</w:t>
      </w:r>
      <w:r w:rsidR="00000B86" w:rsidRPr="00A06DF7">
        <w:rPr>
          <w:rFonts w:cs="Calibri"/>
        </w:rPr>
        <w:t xml:space="preserve"> which</w:t>
      </w:r>
      <w:r w:rsidR="00094DAC" w:rsidRPr="00A06DF7">
        <w:rPr>
          <w:rFonts w:cs="Calibri"/>
        </w:rPr>
        <w:t xml:space="preserve"> are funded by a </w:t>
      </w:r>
      <w:r w:rsidR="00E01A30" w:rsidRPr="00A06DF7">
        <w:rPr>
          <w:rFonts w:cs="Calibri"/>
        </w:rPr>
        <w:t>levy on the gambling industry.</w:t>
      </w:r>
    </w:p>
    <w:p w14:paraId="4A5D53C9" w14:textId="38B9A81C" w:rsidR="00177E8A" w:rsidRPr="00A06DF7" w:rsidRDefault="000605EE" w:rsidP="009624AA">
      <w:pPr>
        <w:rPr>
          <w:rFonts w:cs="Calibri"/>
        </w:rPr>
      </w:pPr>
      <w:r w:rsidRPr="00A06DF7">
        <w:rPr>
          <w:rFonts w:cs="Calibri"/>
        </w:rPr>
        <w:t xml:space="preserve">The Act also </w:t>
      </w:r>
      <w:r w:rsidR="00DE467A" w:rsidRPr="00A06DF7">
        <w:rPr>
          <w:rFonts w:cs="Calibri"/>
        </w:rPr>
        <w:t xml:space="preserve">sets out </w:t>
      </w:r>
      <w:r w:rsidR="00E7240F" w:rsidRPr="00A06DF7">
        <w:rPr>
          <w:rFonts w:cs="Calibri"/>
        </w:rPr>
        <w:t xml:space="preserve">the </w:t>
      </w:r>
      <w:r w:rsidR="00DE467A" w:rsidRPr="00A06DF7">
        <w:rPr>
          <w:rFonts w:cs="Calibri"/>
        </w:rPr>
        <w:t xml:space="preserve">requirements for Class 4 venues </w:t>
      </w:r>
      <w:r w:rsidR="00F64DCA" w:rsidRPr="00A06DF7">
        <w:rPr>
          <w:rFonts w:cs="Calibri"/>
        </w:rPr>
        <w:t>to minimise gambling harm</w:t>
      </w:r>
      <w:r w:rsidR="00041A5C" w:rsidRPr="00A06DF7">
        <w:rPr>
          <w:rFonts w:cs="Calibri"/>
        </w:rPr>
        <w:t xml:space="preserve"> (see </w:t>
      </w:r>
      <w:r w:rsidR="008B72FF" w:rsidRPr="00A06DF7">
        <w:rPr>
          <w:rFonts w:cs="Calibri"/>
        </w:rPr>
        <w:t xml:space="preserve">section </w:t>
      </w:r>
      <w:r w:rsidR="00041A5C" w:rsidRPr="00A06DF7">
        <w:rPr>
          <w:rFonts w:cs="Calibri"/>
        </w:rPr>
        <w:fldChar w:fldCharType="begin"/>
      </w:r>
      <w:r w:rsidR="00041A5C" w:rsidRPr="00A06DF7">
        <w:rPr>
          <w:rFonts w:cs="Calibri"/>
        </w:rPr>
        <w:instrText xml:space="preserve"> REF _Ref157521820 \r \h </w:instrText>
      </w:r>
      <w:r w:rsidR="00A06DF7">
        <w:rPr>
          <w:rFonts w:cs="Calibri"/>
        </w:rPr>
        <w:instrText xml:space="preserve"> \* MERGEFORMAT </w:instrText>
      </w:r>
      <w:r w:rsidR="00041A5C" w:rsidRPr="00A06DF7">
        <w:rPr>
          <w:rFonts w:cs="Calibri"/>
        </w:rPr>
      </w:r>
      <w:r w:rsidR="00041A5C" w:rsidRPr="00A06DF7">
        <w:rPr>
          <w:rFonts w:cs="Calibri"/>
        </w:rPr>
        <w:fldChar w:fldCharType="separate"/>
      </w:r>
      <w:r w:rsidR="004F4DA7">
        <w:rPr>
          <w:rFonts w:cs="Calibri"/>
        </w:rPr>
        <w:t>3.3</w:t>
      </w:r>
      <w:r w:rsidR="00041A5C" w:rsidRPr="00A06DF7">
        <w:rPr>
          <w:rFonts w:cs="Calibri"/>
        </w:rPr>
        <w:fldChar w:fldCharType="end"/>
      </w:r>
      <w:r w:rsidR="0068060E" w:rsidRPr="00A06DF7">
        <w:rPr>
          <w:rFonts w:cs="Calibri"/>
        </w:rPr>
        <w:t xml:space="preserve">), </w:t>
      </w:r>
      <w:r w:rsidR="0050211C" w:rsidRPr="00A06DF7">
        <w:rPr>
          <w:rFonts w:cs="Calibri"/>
        </w:rPr>
        <w:t xml:space="preserve">and </w:t>
      </w:r>
      <w:r w:rsidR="008B72FF" w:rsidRPr="00A06DF7">
        <w:rPr>
          <w:rFonts w:cs="Calibri"/>
        </w:rPr>
        <w:t xml:space="preserve">casino licence </w:t>
      </w:r>
      <w:r w:rsidR="00782DDE" w:rsidRPr="00A06DF7">
        <w:rPr>
          <w:rFonts w:cs="Calibri"/>
        </w:rPr>
        <w:t>conditions</w:t>
      </w:r>
      <w:r w:rsidR="003C5870" w:rsidRPr="00A06DF7">
        <w:rPr>
          <w:rFonts w:cs="Calibri"/>
        </w:rPr>
        <w:t xml:space="preserve"> outline </w:t>
      </w:r>
      <w:r w:rsidR="008B72FF" w:rsidRPr="00A06DF7">
        <w:rPr>
          <w:rFonts w:cs="Calibri"/>
        </w:rPr>
        <w:t>host</w:t>
      </w:r>
      <w:r w:rsidR="003C5870" w:rsidRPr="00A06DF7">
        <w:rPr>
          <w:rFonts w:cs="Calibri"/>
        </w:rPr>
        <w:t xml:space="preserve"> r</w:t>
      </w:r>
      <w:r w:rsidR="00555FBF" w:rsidRPr="00A06DF7">
        <w:rPr>
          <w:rFonts w:cs="Calibri"/>
        </w:rPr>
        <w:t>esponsibility programmes</w:t>
      </w:r>
      <w:r w:rsidR="000972A6" w:rsidRPr="00A06DF7">
        <w:rPr>
          <w:rFonts w:cs="Calibri"/>
        </w:rPr>
        <w:t>.</w:t>
      </w:r>
      <w:r w:rsidR="00C66356" w:rsidRPr="00A06DF7">
        <w:rPr>
          <w:rFonts w:cs="Calibri"/>
        </w:rPr>
        <w:t xml:space="preserve"> </w:t>
      </w:r>
      <w:r w:rsidR="00B0702F" w:rsidRPr="00A06DF7">
        <w:rPr>
          <w:rFonts w:cs="Calibri"/>
        </w:rPr>
        <w:t xml:space="preserve">These responsibilities </w:t>
      </w:r>
      <w:r w:rsidR="00C66356" w:rsidRPr="00A06DF7">
        <w:rPr>
          <w:rFonts w:cs="Calibri"/>
        </w:rPr>
        <w:t xml:space="preserve">include </w:t>
      </w:r>
      <w:r w:rsidR="00DA684B" w:rsidRPr="00A06DF7">
        <w:rPr>
          <w:rFonts w:cs="Calibri"/>
        </w:rPr>
        <w:t xml:space="preserve">harm minimisation </w:t>
      </w:r>
      <w:r w:rsidR="004970B1" w:rsidRPr="00A06DF7">
        <w:rPr>
          <w:rFonts w:cs="Calibri"/>
        </w:rPr>
        <w:t xml:space="preserve">signage, </w:t>
      </w:r>
      <w:r w:rsidR="004A6AE7" w:rsidRPr="00A06DF7">
        <w:rPr>
          <w:rFonts w:cs="Calibri"/>
        </w:rPr>
        <w:t>harm</w:t>
      </w:r>
      <w:r w:rsidR="00B51C2E" w:rsidRPr="00A06DF7">
        <w:rPr>
          <w:rFonts w:cs="Calibri"/>
        </w:rPr>
        <w:t xml:space="preserve"> </w:t>
      </w:r>
      <w:r w:rsidR="004A6AE7" w:rsidRPr="00A06DF7">
        <w:rPr>
          <w:rFonts w:cs="Calibri"/>
        </w:rPr>
        <w:t>identification</w:t>
      </w:r>
      <w:r w:rsidR="00B51C2E" w:rsidRPr="00A06DF7">
        <w:rPr>
          <w:rFonts w:cs="Calibri"/>
        </w:rPr>
        <w:t xml:space="preserve"> policies, staff training, </w:t>
      </w:r>
      <w:r w:rsidR="006D4CD6" w:rsidRPr="00A06DF7">
        <w:rPr>
          <w:rFonts w:cs="Calibri"/>
        </w:rPr>
        <w:t xml:space="preserve">support for staff with potential </w:t>
      </w:r>
      <w:r w:rsidR="005B6CE8" w:rsidRPr="00A06DF7">
        <w:rPr>
          <w:rFonts w:cs="Calibri"/>
        </w:rPr>
        <w:t>harmful gambling</w:t>
      </w:r>
      <w:r w:rsidR="008D0C8B" w:rsidRPr="00A06DF7">
        <w:rPr>
          <w:rFonts w:cs="Calibri"/>
        </w:rPr>
        <w:t xml:space="preserve">, tailored cultural support, </w:t>
      </w:r>
      <w:r w:rsidR="00EC1031" w:rsidRPr="00A06DF7">
        <w:rPr>
          <w:rFonts w:cs="Calibri"/>
        </w:rPr>
        <w:t>responsible marketing and advertising</w:t>
      </w:r>
      <w:r w:rsidR="00FE4EC6" w:rsidRPr="00A06DF7">
        <w:rPr>
          <w:rFonts w:cs="Calibri"/>
        </w:rPr>
        <w:t>, liaison with</w:t>
      </w:r>
      <w:r w:rsidR="00025C54" w:rsidRPr="00A06DF7">
        <w:rPr>
          <w:rFonts w:cs="Calibri"/>
        </w:rPr>
        <w:t xml:space="preserve"> </w:t>
      </w:r>
      <w:r w:rsidR="00B85641" w:rsidRPr="00A06DF7">
        <w:rPr>
          <w:rFonts w:cs="Calibri"/>
        </w:rPr>
        <w:t>providers of harmful gambling services</w:t>
      </w:r>
      <w:r w:rsidR="0098742E" w:rsidRPr="00A06DF7">
        <w:rPr>
          <w:rFonts w:cs="Calibri"/>
        </w:rPr>
        <w:t xml:space="preserve"> and self-exclusion orders</w:t>
      </w:r>
      <w:r w:rsidR="002A289C" w:rsidRPr="00A06DF7">
        <w:rPr>
          <w:rFonts w:cs="Calibri"/>
        </w:rPr>
        <w:t xml:space="preserve"> </w:t>
      </w:r>
      <w:r w:rsidR="002A289C" w:rsidRPr="00A06DF7">
        <w:rPr>
          <w:rFonts w:cs="Calibri"/>
        </w:rPr>
        <w:fldChar w:fldCharType="begin"/>
      </w:r>
      <w:r w:rsidR="00715B07" w:rsidRPr="00A06DF7">
        <w:rPr>
          <w:rFonts w:cs="Calibri"/>
        </w:rPr>
        <w:instrText xml:space="preserve"> ADDIN ZOTERO_ITEM CSL_CITATION {"citationID":"GkOGIodE","properties":{"formattedCitation":"(Gambling Commission, n.d.)","plainCitation":"(Gambling Commission, n.d.)","noteIndex":0},"citationItems":[{"id":1516,"uris":["http://zotero.org/users/11111291/items/VEITCGYM"],"itemData":{"id":1516,"type":"webpage","abstract":"Licence conditions for New Zealand casinos issued by the Gambling Commission of New Zealand.","language":"en","note":"publisher: Gambling Commission","title":"Casino Licence Conditions","URL":"https://www.gamblingcommission.govt.nz/GCwebsite.nsf/wpg_URL/Casino-Licence-Conditions-Index!OpenDocument","author":[{"literal":"Gambling Commission"}],"accessed":{"date-parts":[["2024",1,23]]}}}],"schema":"https://github.com/citation-style-language/schema/raw/master/csl-citation.json"} </w:instrText>
      </w:r>
      <w:r w:rsidR="002A289C" w:rsidRPr="00A06DF7">
        <w:rPr>
          <w:rFonts w:cs="Calibri"/>
        </w:rPr>
        <w:fldChar w:fldCharType="separate"/>
      </w:r>
      <w:r w:rsidR="002A289C" w:rsidRPr="00A06DF7">
        <w:rPr>
          <w:rFonts w:cs="Calibri"/>
        </w:rPr>
        <w:t>(Gambling Commission, n.d.)</w:t>
      </w:r>
      <w:r w:rsidR="002A289C" w:rsidRPr="00A06DF7">
        <w:rPr>
          <w:rFonts w:cs="Calibri"/>
        </w:rPr>
        <w:fldChar w:fldCharType="end"/>
      </w:r>
      <w:r w:rsidR="0098742E" w:rsidRPr="00A06DF7">
        <w:rPr>
          <w:rFonts w:cs="Calibri"/>
        </w:rPr>
        <w:t>.</w:t>
      </w:r>
      <w:r w:rsidR="0012360B" w:rsidRPr="00A06DF7">
        <w:rPr>
          <w:rFonts w:cs="Calibri"/>
        </w:rPr>
        <w:t xml:space="preserve"> </w:t>
      </w:r>
      <w:r w:rsidR="0012771D" w:rsidRPr="00A06DF7">
        <w:rPr>
          <w:rFonts w:cs="Calibri"/>
        </w:rPr>
        <w:t xml:space="preserve">In September 2023, SkyCity faced a </w:t>
      </w:r>
      <w:r w:rsidR="00B874B3" w:rsidRPr="00A06DF7">
        <w:rPr>
          <w:rFonts w:cs="Calibri"/>
        </w:rPr>
        <w:t xml:space="preserve">suspension of its casino </w:t>
      </w:r>
      <w:r w:rsidR="008B72FF" w:rsidRPr="00A06DF7">
        <w:rPr>
          <w:rFonts w:cs="Calibri"/>
        </w:rPr>
        <w:t>licence</w:t>
      </w:r>
      <w:r w:rsidR="00B874B3" w:rsidRPr="00A06DF7">
        <w:rPr>
          <w:rFonts w:cs="Calibri"/>
        </w:rPr>
        <w:t xml:space="preserve"> </w:t>
      </w:r>
      <w:r w:rsidR="00AB3363" w:rsidRPr="00A06DF7">
        <w:rPr>
          <w:rFonts w:cs="Calibri"/>
        </w:rPr>
        <w:t>for failing to comply</w:t>
      </w:r>
      <w:r w:rsidR="00C93043" w:rsidRPr="00A06DF7">
        <w:rPr>
          <w:rFonts w:cs="Calibri"/>
        </w:rPr>
        <w:t xml:space="preserve"> with requirements in its host responsibility programme </w:t>
      </w:r>
      <w:r w:rsidR="005460DA" w:rsidRPr="00A06DF7">
        <w:rPr>
          <w:rFonts w:cs="Calibri"/>
        </w:rPr>
        <w:t>to detect</w:t>
      </w:r>
      <w:r w:rsidR="008625B3" w:rsidRPr="00A06DF7">
        <w:rPr>
          <w:rFonts w:cs="Calibri"/>
        </w:rPr>
        <w:t xml:space="preserve"> incidences of continuous play </w:t>
      </w:r>
      <w:r w:rsidR="00BD1C4E" w:rsidRPr="00A06DF7">
        <w:rPr>
          <w:rFonts w:cs="Calibri"/>
        </w:rPr>
        <w:fldChar w:fldCharType="begin"/>
      </w:r>
      <w:r w:rsidR="00715B07" w:rsidRPr="00A06DF7">
        <w:rPr>
          <w:rFonts w:cs="Calibri"/>
        </w:rPr>
        <w:instrText xml:space="preserve"> ADDIN ZOTERO_ITEM CSL_CITATION {"citationID":"YekAwZt8","properties":{"formattedCitation":"(Edmunds, 2023)","plainCitation":"(Edmunds, 2023)","noteIndex":0},"citationItems":[{"id":1536,"uris":["http://zotero.org/users/11111291/items/ZLRJ65TN"],"itemData":{"id":1536,"type":"webpage","abstract":"Casino operator says Department of Internal Affairs is applying to suspend its licence.","container-title":"Stuff","language":"en","title":"SkyCity faces suspension of casino licence","URL":"https://www.stuff.co.nz/business/300963636/skycity-faces-suspension-of-casino-licence","author":[{"family":"Edmunds","given":"Susan"}],"accessed":{"date-parts":[["2024",1,30]]},"issued":{"date-parts":[["2023",9,3]]}}}],"schema":"https://github.com/citation-style-language/schema/raw/master/csl-citation.json"} </w:instrText>
      </w:r>
      <w:r w:rsidR="00BD1C4E" w:rsidRPr="00A06DF7">
        <w:rPr>
          <w:rFonts w:cs="Calibri"/>
        </w:rPr>
        <w:fldChar w:fldCharType="separate"/>
      </w:r>
      <w:r w:rsidR="00BD1C4E" w:rsidRPr="00A06DF7">
        <w:rPr>
          <w:rFonts w:cs="Calibri"/>
        </w:rPr>
        <w:t>(Edmunds, 2023)</w:t>
      </w:r>
      <w:r w:rsidR="00BD1C4E" w:rsidRPr="00A06DF7">
        <w:rPr>
          <w:rFonts w:cs="Calibri"/>
        </w:rPr>
        <w:fldChar w:fldCharType="end"/>
      </w:r>
      <w:r w:rsidR="003D1247" w:rsidRPr="00A06DF7">
        <w:rPr>
          <w:rFonts w:cs="Calibri"/>
        </w:rPr>
        <w:t>.</w:t>
      </w:r>
      <w:r w:rsidR="000661BA" w:rsidRPr="00A06DF7">
        <w:rPr>
          <w:rFonts w:cs="Calibri"/>
        </w:rPr>
        <w:t xml:space="preserve"> The </w:t>
      </w:r>
      <w:r w:rsidR="003A235B" w:rsidRPr="00A06DF7">
        <w:rPr>
          <w:rFonts w:cs="Calibri"/>
        </w:rPr>
        <w:t>S</w:t>
      </w:r>
      <w:r w:rsidR="000661BA" w:rsidRPr="00A06DF7">
        <w:rPr>
          <w:rFonts w:cs="Calibri"/>
        </w:rPr>
        <w:t xml:space="preserve">ecretary for the Department of Internal Affairs </w:t>
      </w:r>
      <w:r w:rsidR="00FC119D" w:rsidRPr="00A06DF7">
        <w:rPr>
          <w:rFonts w:cs="Calibri"/>
        </w:rPr>
        <w:t>stated that SkyCity breached its harm</w:t>
      </w:r>
      <w:r w:rsidR="00632464" w:rsidRPr="00A06DF7">
        <w:rPr>
          <w:rFonts w:cs="Calibri"/>
        </w:rPr>
        <w:t>-minimisation obligations</w:t>
      </w:r>
      <w:r w:rsidR="004E502C" w:rsidRPr="00A06DF7">
        <w:rPr>
          <w:rFonts w:cs="Calibri"/>
        </w:rPr>
        <w:t xml:space="preserve">, and </w:t>
      </w:r>
      <w:r w:rsidR="00A82791" w:rsidRPr="00A06DF7">
        <w:rPr>
          <w:rFonts w:cs="Calibri"/>
        </w:rPr>
        <w:t xml:space="preserve">the Problem Gambling </w:t>
      </w:r>
      <w:r w:rsidR="00A711BB" w:rsidRPr="00A06DF7">
        <w:rPr>
          <w:rFonts w:cs="Calibri"/>
        </w:rPr>
        <w:t>Foundation</w:t>
      </w:r>
      <w:r w:rsidR="00A82791" w:rsidRPr="00A06DF7">
        <w:rPr>
          <w:rFonts w:cs="Calibri"/>
        </w:rPr>
        <w:t xml:space="preserve"> </w:t>
      </w:r>
      <w:r w:rsidR="00657D75" w:rsidRPr="00A06DF7">
        <w:rPr>
          <w:rFonts w:cs="Calibri"/>
        </w:rPr>
        <w:fldChar w:fldCharType="begin"/>
      </w:r>
      <w:r w:rsidR="00715B07" w:rsidRPr="00A06DF7">
        <w:rPr>
          <w:rFonts w:cs="Calibri"/>
        </w:rPr>
        <w:instrText xml:space="preserve"> ADDIN ZOTERO_ITEM CSL_CITATION {"citationID":"bDr7UtUh","properties":{"formattedCitation":"(Problem Gambling Foundation, 2023a)","plainCitation":"(Problem Gambling Foundation, 2023a)","dontUpdate":true,"noteIndex":0},"citationItems":[{"id":1537,"uris":["http://zotero.org/users/11111291/items/UE6Y8ZSX"],"itemData":{"id":1537,"type":"webpage","abstract":"Problem Gambling Foundation","language":"en","title":"Possible SkyCity suspension: “I just don't want to see anyone else put themselves in debt the way that I did”","URL":"https://www.pgf.nz/blog/possible-skycity-suspension-i-just-dont-want-to-see-anyone-else-put-themselves-in-debt-the-way-that-i-did","author":[{"literal":"Problem Gambling Foundation"}],"accessed":{"date-parts":[["2024",1,30]]},"issued":{"date-parts":[["2023"]]}}}],"schema":"https://github.com/citation-style-language/schema/raw/master/csl-citation.json"} </w:instrText>
      </w:r>
      <w:r w:rsidR="00657D75" w:rsidRPr="00A06DF7">
        <w:rPr>
          <w:rFonts w:cs="Calibri"/>
        </w:rPr>
        <w:fldChar w:fldCharType="separate"/>
      </w:r>
      <w:r w:rsidR="00657D75" w:rsidRPr="00A06DF7">
        <w:rPr>
          <w:rFonts w:cs="Calibri"/>
        </w:rPr>
        <w:t>(2023a)</w:t>
      </w:r>
      <w:r w:rsidR="00657D75" w:rsidRPr="00A06DF7">
        <w:rPr>
          <w:rFonts w:cs="Calibri"/>
        </w:rPr>
        <w:fldChar w:fldCharType="end"/>
      </w:r>
      <w:r w:rsidR="00A82791" w:rsidRPr="00A06DF7">
        <w:rPr>
          <w:rFonts w:cs="Calibri"/>
        </w:rPr>
        <w:t xml:space="preserve"> stressed the importance of </w:t>
      </w:r>
      <w:r w:rsidR="00B2788E" w:rsidRPr="00A06DF7">
        <w:rPr>
          <w:rFonts w:cs="Calibri"/>
        </w:rPr>
        <w:t xml:space="preserve">these repercussions to ensure </w:t>
      </w:r>
      <w:r w:rsidR="008C21CA" w:rsidRPr="00A06DF7">
        <w:rPr>
          <w:rFonts w:cs="Calibri"/>
        </w:rPr>
        <w:t xml:space="preserve">that casinos comply with </w:t>
      </w:r>
      <w:r w:rsidR="00AD1577" w:rsidRPr="00A06DF7">
        <w:rPr>
          <w:rFonts w:cs="Calibri"/>
        </w:rPr>
        <w:t>such measures</w:t>
      </w:r>
      <w:r w:rsidR="00657D75" w:rsidRPr="00A06DF7">
        <w:rPr>
          <w:rFonts w:cs="Calibri"/>
        </w:rPr>
        <w:t>.</w:t>
      </w:r>
      <w:r w:rsidR="00AD1577" w:rsidRPr="00A06DF7">
        <w:rPr>
          <w:rFonts w:cs="Calibri"/>
        </w:rPr>
        <w:t xml:space="preserve"> </w:t>
      </w:r>
    </w:p>
    <w:p w14:paraId="1E6B5D6E" w14:textId="5910E5E2" w:rsidR="000D7E80" w:rsidRPr="00A06DF7" w:rsidRDefault="00CC413C" w:rsidP="009624AA">
      <w:pPr>
        <w:rPr>
          <w:rFonts w:cs="Calibri"/>
        </w:rPr>
      </w:pPr>
      <w:r w:rsidRPr="00A06DF7">
        <w:rPr>
          <w:rFonts w:cs="Calibri"/>
        </w:rPr>
        <w:t>TAB NZ</w:t>
      </w:r>
      <w:r w:rsidR="008B72FF" w:rsidRPr="00A06DF7">
        <w:rPr>
          <w:rFonts w:cs="Calibri"/>
        </w:rPr>
        <w:t>’</w:t>
      </w:r>
      <w:r w:rsidR="00634CF4" w:rsidRPr="00A06DF7">
        <w:rPr>
          <w:rFonts w:cs="Calibri"/>
        </w:rPr>
        <w:t>s</w:t>
      </w:r>
      <w:r w:rsidR="0070205E" w:rsidRPr="00A06DF7">
        <w:rPr>
          <w:rFonts w:cs="Calibri"/>
        </w:rPr>
        <w:t xml:space="preserve"> Harm Prevention and Minimisation Policy</w:t>
      </w:r>
      <w:r w:rsidR="005539CC" w:rsidRPr="00A06DF7">
        <w:rPr>
          <w:rFonts w:cs="Calibri"/>
        </w:rPr>
        <w:t xml:space="preserve"> </w:t>
      </w:r>
      <w:r w:rsidR="005539CC" w:rsidRPr="00A06DF7">
        <w:rPr>
          <w:rFonts w:cs="Calibri"/>
        </w:rPr>
        <w:fldChar w:fldCharType="begin"/>
      </w:r>
      <w:r w:rsidR="00715B07" w:rsidRPr="00A06DF7">
        <w:rPr>
          <w:rFonts w:cs="Calibri"/>
        </w:rPr>
        <w:instrText xml:space="preserve"> ADDIN ZOTERO_ITEM CSL_CITATION {"citationID":"pJelfTrQ","properties":{"formattedCitation":"(TAB New Zealand, 2020)","plainCitation":"(TAB New Zealand, 2020)","noteIndex":0},"citationItems":[{"id":1538,"uris":["http://zotero.org/users/11111291/items/EYDS6V3P"],"itemData":{"id":1538,"type":"webpage","title":"Harm Prevention &amp; Minimisation Policy","URL":"https://fobcms.tab.co.nz/sites/default/files/2020-12/Harm_Prevention___Minimisation_Policy_2020.pdf","author":[{"literal":"TAB New Zealand"}],"accessed":{"date-parts":[["2024",1,30]]},"issued":{"date-parts":[["2020"]]}}}],"schema":"https://github.com/citation-style-language/schema/raw/master/csl-citation.json"} </w:instrText>
      </w:r>
      <w:r w:rsidR="005539CC" w:rsidRPr="00A06DF7">
        <w:rPr>
          <w:rFonts w:cs="Calibri"/>
        </w:rPr>
        <w:fldChar w:fldCharType="separate"/>
      </w:r>
      <w:r w:rsidR="005539CC" w:rsidRPr="00A06DF7">
        <w:rPr>
          <w:rFonts w:cs="Calibri"/>
        </w:rPr>
        <w:t>(TAB New Zealand, 2020)</w:t>
      </w:r>
      <w:r w:rsidR="005539CC" w:rsidRPr="00A06DF7">
        <w:rPr>
          <w:rFonts w:cs="Calibri"/>
        </w:rPr>
        <w:fldChar w:fldCharType="end"/>
      </w:r>
      <w:r w:rsidR="0070205E" w:rsidRPr="00A06DF7">
        <w:rPr>
          <w:rFonts w:cs="Calibri"/>
        </w:rPr>
        <w:t xml:space="preserve"> </w:t>
      </w:r>
      <w:r w:rsidR="005A3CB8" w:rsidRPr="00A06DF7">
        <w:rPr>
          <w:rFonts w:cs="Calibri"/>
        </w:rPr>
        <w:t xml:space="preserve">outlines its requirements </w:t>
      </w:r>
      <w:r w:rsidR="009B782E" w:rsidRPr="00A06DF7">
        <w:rPr>
          <w:rFonts w:cs="Calibri"/>
        </w:rPr>
        <w:t xml:space="preserve">under the Gambling Act </w:t>
      </w:r>
      <w:r w:rsidR="005B261C" w:rsidRPr="00A06DF7">
        <w:rPr>
          <w:rFonts w:cs="Calibri"/>
        </w:rPr>
        <w:t>(</w:t>
      </w:r>
      <w:r w:rsidR="009B782E" w:rsidRPr="00A06DF7">
        <w:rPr>
          <w:rFonts w:cs="Calibri"/>
        </w:rPr>
        <w:t>2003</w:t>
      </w:r>
      <w:r w:rsidR="005B261C" w:rsidRPr="00A06DF7">
        <w:rPr>
          <w:rFonts w:cs="Calibri"/>
        </w:rPr>
        <w:t>)</w:t>
      </w:r>
      <w:r w:rsidR="0012572E" w:rsidRPr="00A06DF7">
        <w:rPr>
          <w:rFonts w:cs="Calibri"/>
        </w:rPr>
        <w:t xml:space="preserve"> </w:t>
      </w:r>
      <w:r w:rsidR="009B782E" w:rsidRPr="00A06DF7">
        <w:rPr>
          <w:rFonts w:cs="Calibri"/>
        </w:rPr>
        <w:t xml:space="preserve">and </w:t>
      </w:r>
      <w:r w:rsidR="00C528C0" w:rsidRPr="00A06DF7">
        <w:rPr>
          <w:rFonts w:cs="Calibri"/>
        </w:rPr>
        <w:t xml:space="preserve">the Racing Industry Act </w:t>
      </w:r>
      <w:r w:rsidR="005B261C" w:rsidRPr="00A06DF7">
        <w:rPr>
          <w:rFonts w:cs="Calibri"/>
        </w:rPr>
        <w:t>(</w:t>
      </w:r>
      <w:r w:rsidR="007D17C6" w:rsidRPr="00A06DF7">
        <w:rPr>
          <w:rFonts w:cs="Calibri"/>
        </w:rPr>
        <w:t>2020</w:t>
      </w:r>
      <w:r w:rsidR="005B261C" w:rsidRPr="00A06DF7">
        <w:rPr>
          <w:rFonts w:cs="Calibri"/>
        </w:rPr>
        <w:t>)</w:t>
      </w:r>
      <w:r w:rsidR="007D17C6" w:rsidRPr="00A06DF7">
        <w:rPr>
          <w:rFonts w:cs="Calibri"/>
        </w:rPr>
        <w:t>.</w:t>
      </w:r>
      <w:r w:rsidR="00003019" w:rsidRPr="00A06DF7">
        <w:rPr>
          <w:rFonts w:cs="Calibri"/>
        </w:rPr>
        <w:t xml:space="preserve"> TAB NZ</w:t>
      </w:r>
      <w:r w:rsidR="0002128F" w:rsidRPr="00A06DF7">
        <w:rPr>
          <w:rFonts w:cs="Calibri"/>
        </w:rPr>
        <w:t xml:space="preserve"> is required to </w:t>
      </w:r>
      <w:r w:rsidR="00C31F91" w:rsidRPr="00A06DF7">
        <w:rPr>
          <w:rFonts w:cs="Calibri"/>
        </w:rPr>
        <w:t>display information on harmful gambling</w:t>
      </w:r>
      <w:r w:rsidR="00FB1CED" w:rsidRPr="00A06DF7">
        <w:rPr>
          <w:rFonts w:cs="Calibri"/>
        </w:rPr>
        <w:t xml:space="preserve"> </w:t>
      </w:r>
      <w:r w:rsidR="00C76047" w:rsidRPr="00A06DF7">
        <w:rPr>
          <w:rFonts w:cs="Calibri"/>
        </w:rPr>
        <w:t xml:space="preserve">and provide </w:t>
      </w:r>
      <w:r w:rsidR="000B1589" w:rsidRPr="00A06DF7">
        <w:rPr>
          <w:rFonts w:cs="Calibri"/>
        </w:rPr>
        <w:t>harmful gambling awareness training for staff.</w:t>
      </w:r>
    </w:p>
    <w:p w14:paraId="26C8779F" w14:textId="7BC55837" w:rsidR="00436524" w:rsidRPr="00A06DF7" w:rsidRDefault="00275FF0" w:rsidP="009624AA">
      <w:pPr>
        <w:rPr>
          <w:rFonts w:cs="Calibri"/>
        </w:rPr>
      </w:pPr>
      <w:r w:rsidRPr="00A06DF7">
        <w:rPr>
          <w:rFonts w:cs="Calibri"/>
        </w:rPr>
        <w:t xml:space="preserve">Lotto NZ established a Harm Minimisation </w:t>
      </w:r>
      <w:r w:rsidR="00024773" w:rsidRPr="00A06DF7">
        <w:rPr>
          <w:rFonts w:cs="Calibri"/>
        </w:rPr>
        <w:t>Board Committee in 2022/23</w:t>
      </w:r>
      <w:r w:rsidR="0082435B" w:rsidRPr="00A06DF7">
        <w:rPr>
          <w:rFonts w:cs="Calibri"/>
        </w:rPr>
        <w:t xml:space="preserve"> to bring </w:t>
      </w:r>
      <w:r w:rsidR="009420EE" w:rsidRPr="00A06DF7">
        <w:rPr>
          <w:rFonts w:cs="Calibri"/>
        </w:rPr>
        <w:t xml:space="preserve">further governance to its responsible gambling programme </w:t>
      </w:r>
      <w:r w:rsidR="009420EE" w:rsidRPr="00A06DF7">
        <w:rPr>
          <w:rFonts w:cs="Calibri"/>
        </w:rPr>
        <w:fldChar w:fldCharType="begin"/>
      </w:r>
      <w:r w:rsidR="00715B07" w:rsidRPr="00A06DF7">
        <w:rPr>
          <w:rFonts w:cs="Calibri"/>
        </w:rPr>
        <w:instrText xml:space="preserve"> ADDIN ZOTERO_ITEM CSL_CITATION {"citationID":"AleoPUzt","properties":{"formattedCitation":"(Lotto New Zealand, 2023)","plainCitation":"(Lotto New Zealand, 2023)","noteIndex":0},"citationItems":[{"id":1336,"uris":["http://zotero.org/users/11111291/items/84T8EE2S"],"itemData":{"id":1336,"type":"report","publisher":"New Zealand Lotteries Commission","title":"Annual Report 2022/23","URL":"https://assets.mylotto.co.nz/assets/uploads/97054b86-8738-11ee-878a-005056af723d.pdf","author":[{"literal":"Lotto New Zealand"}],"issued":{"date-parts":[["2023"]]}}}],"schema":"https://github.com/citation-style-language/schema/raw/master/csl-citation.json"} </w:instrText>
      </w:r>
      <w:r w:rsidR="009420EE" w:rsidRPr="00A06DF7">
        <w:rPr>
          <w:rFonts w:cs="Calibri"/>
        </w:rPr>
        <w:fldChar w:fldCharType="separate"/>
      </w:r>
      <w:r w:rsidR="009420EE" w:rsidRPr="00A06DF7">
        <w:rPr>
          <w:rFonts w:cs="Calibri"/>
        </w:rPr>
        <w:t>(Lotto New Zealand, 2023)</w:t>
      </w:r>
      <w:r w:rsidR="009420EE" w:rsidRPr="00A06DF7">
        <w:rPr>
          <w:rFonts w:cs="Calibri"/>
        </w:rPr>
        <w:fldChar w:fldCharType="end"/>
      </w:r>
      <w:r w:rsidR="00F6490D" w:rsidRPr="00A06DF7">
        <w:rPr>
          <w:rFonts w:cs="Calibri"/>
        </w:rPr>
        <w:t>.</w:t>
      </w:r>
      <w:r w:rsidR="000C3129" w:rsidRPr="00A06DF7">
        <w:rPr>
          <w:rFonts w:cs="Calibri"/>
        </w:rPr>
        <w:t xml:space="preserve"> </w:t>
      </w:r>
      <w:r w:rsidR="004B624C" w:rsidRPr="00A06DF7">
        <w:rPr>
          <w:rFonts w:cs="Calibri"/>
        </w:rPr>
        <w:t>Harm minimisation approaches include:</w:t>
      </w:r>
      <w:r w:rsidR="00550342" w:rsidRPr="00A06DF7">
        <w:rPr>
          <w:rFonts w:cs="Calibri"/>
        </w:rPr>
        <w:t xml:space="preserve"> </w:t>
      </w:r>
    </w:p>
    <w:p w14:paraId="076EAB45" w14:textId="66BB3690" w:rsidR="004B624C" w:rsidRPr="00A06DF7" w:rsidRDefault="00ED15A9" w:rsidP="00824A47">
      <w:pPr>
        <w:pStyle w:val="Bulleted"/>
        <w:rPr>
          <w:rFonts w:cs="Calibri"/>
        </w:rPr>
      </w:pPr>
      <w:r w:rsidRPr="00A06DF7">
        <w:rPr>
          <w:rFonts w:cs="Calibri"/>
        </w:rPr>
        <w:t>R</w:t>
      </w:r>
      <w:r w:rsidR="00CA255C" w:rsidRPr="00A06DF7">
        <w:rPr>
          <w:rFonts w:cs="Calibri"/>
        </w:rPr>
        <w:t xml:space="preserve">esponsible </w:t>
      </w:r>
      <w:r w:rsidR="00096364" w:rsidRPr="00A06DF7">
        <w:rPr>
          <w:rFonts w:cs="Calibri"/>
        </w:rPr>
        <w:t>marketing and advertising</w:t>
      </w:r>
    </w:p>
    <w:p w14:paraId="3B1DFD05" w14:textId="372914FE" w:rsidR="00096364" w:rsidRPr="00A06DF7" w:rsidRDefault="00ED15A9" w:rsidP="00824A47">
      <w:pPr>
        <w:pStyle w:val="Bulleted"/>
        <w:rPr>
          <w:rFonts w:cs="Calibri"/>
        </w:rPr>
      </w:pPr>
      <w:r w:rsidRPr="00A06DF7">
        <w:rPr>
          <w:rFonts w:cs="Calibri"/>
        </w:rPr>
        <w:t>M</w:t>
      </w:r>
      <w:r w:rsidR="00CA255C" w:rsidRPr="00A06DF7">
        <w:rPr>
          <w:rFonts w:cs="Calibri"/>
        </w:rPr>
        <w:t xml:space="preserve">andatory </w:t>
      </w:r>
      <w:r w:rsidR="00AA3037" w:rsidRPr="00A06DF7">
        <w:rPr>
          <w:rFonts w:cs="Calibri"/>
        </w:rPr>
        <w:t>spending limits</w:t>
      </w:r>
    </w:p>
    <w:p w14:paraId="480F7927" w14:textId="3E173694" w:rsidR="0040186F" w:rsidRPr="00A06DF7" w:rsidRDefault="00ED15A9" w:rsidP="00824A47">
      <w:pPr>
        <w:pStyle w:val="Bulleted"/>
        <w:rPr>
          <w:rFonts w:cs="Calibri"/>
        </w:rPr>
      </w:pPr>
      <w:r w:rsidRPr="00A06DF7">
        <w:rPr>
          <w:rFonts w:cs="Calibri"/>
        </w:rPr>
        <w:t>S</w:t>
      </w:r>
      <w:r w:rsidR="00CA255C" w:rsidRPr="00A06DF7">
        <w:rPr>
          <w:rFonts w:cs="Calibri"/>
        </w:rPr>
        <w:t>elf</w:t>
      </w:r>
      <w:r w:rsidR="0040186F" w:rsidRPr="00A06DF7">
        <w:rPr>
          <w:rFonts w:cs="Calibri"/>
        </w:rPr>
        <w:t>-exclusion opportunities</w:t>
      </w:r>
      <w:r w:rsidR="00F0745F" w:rsidRPr="00A06DF7">
        <w:rPr>
          <w:rFonts w:cs="Calibri"/>
        </w:rPr>
        <w:t xml:space="preserve"> for players</w:t>
      </w:r>
    </w:p>
    <w:p w14:paraId="6669117D" w14:textId="1B95B199" w:rsidR="0040186F" w:rsidRPr="00A06DF7" w:rsidRDefault="00ED15A9" w:rsidP="00824A47">
      <w:pPr>
        <w:pStyle w:val="Bulleted"/>
        <w:rPr>
          <w:rFonts w:cs="Calibri"/>
        </w:rPr>
      </w:pPr>
      <w:r w:rsidRPr="00A06DF7">
        <w:rPr>
          <w:rFonts w:cs="Calibri"/>
        </w:rPr>
        <w:t>R</w:t>
      </w:r>
      <w:r w:rsidR="00CA255C" w:rsidRPr="00A06DF7">
        <w:rPr>
          <w:rFonts w:cs="Calibri"/>
        </w:rPr>
        <w:t xml:space="preserve">eview </w:t>
      </w:r>
      <w:r w:rsidR="00DF5783" w:rsidRPr="00A06DF7">
        <w:rPr>
          <w:rFonts w:cs="Calibri"/>
        </w:rPr>
        <w:t>and approval of new games by the Department of Internal Affairs</w:t>
      </w:r>
    </w:p>
    <w:p w14:paraId="797553B2" w14:textId="76C7EA87" w:rsidR="00EF7846" w:rsidRPr="00A06DF7" w:rsidRDefault="00ED15A9" w:rsidP="00824A47">
      <w:pPr>
        <w:pStyle w:val="Bulleted"/>
        <w:rPr>
          <w:rFonts w:cs="Calibri"/>
        </w:rPr>
      </w:pPr>
      <w:r w:rsidRPr="00A06DF7">
        <w:rPr>
          <w:rFonts w:cs="Calibri"/>
        </w:rPr>
        <w:t>S</w:t>
      </w:r>
      <w:r w:rsidR="00CA255C" w:rsidRPr="00A06DF7">
        <w:rPr>
          <w:rFonts w:cs="Calibri"/>
        </w:rPr>
        <w:t xml:space="preserve">takeholder </w:t>
      </w:r>
      <w:r w:rsidR="00F0745F" w:rsidRPr="00A06DF7">
        <w:rPr>
          <w:rFonts w:cs="Calibri"/>
        </w:rPr>
        <w:t>engagement and staff training</w:t>
      </w:r>
    </w:p>
    <w:p w14:paraId="069DEDCD" w14:textId="106CD371" w:rsidR="00BC24E5" w:rsidRPr="00A06DF7" w:rsidRDefault="00ED15A9" w:rsidP="00824A47">
      <w:pPr>
        <w:pStyle w:val="Bulleted"/>
        <w:rPr>
          <w:rFonts w:cs="Calibri"/>
        </w:rPr>
      </w:pPr>
      <w:r w:rsidRPr="00A06DF7">
        <w:rPr>
          <w:rFonts w:cs="Calibri"/>
        </w:rPr>
        <w:t>I</w:t>
      </w:r>
      <w:r w:rsidR="00CA255C" w:rsidRPr="00A06DF7">
        <w:rPr>
          <w:rFonts w:cs="Calibri"/>
        </w:rPr>
        <w:t xml:space="preserve">nformation </w:t>
      </w:r>
      <w:r w:rsidR="00BC24E5" w:rsidRPr="00A06DF7">
        <w:rPr>
          <w:rFonts w:cs="Calibri"/>
        </w:rPr>
        <w:t>about responsible play</w:t>
      </w:r>
      <w:r w:rsidR="00CA255C" w:rsidRPr="00A06DF7">
        <w:rPr>
          <w:rFonts w:cs="Calibri"/>
        </w:rPr>
        <w:t>.</w:t>
      </w:r>
    </w:p>
    <w:p w14:paraId="6C3F1617" w14:textId="4AFD86FF" w:rsidR="007D7D39" w:rsidRPr="00A06DF7" w:rsidRDefault="007D7D39">
      <w:pPr>
        <w:pStyle w:val="Heading6"/>
        <w:rPr>
          <w:rFonts w:cs="Calibri"/>
        </w:rPr>
      </w:pPr>
      <w:bookmarkStart w:id="200" w:name="_Toc65250324"/>
      <w:bookmarkStart w:id="201" w:name="_Toc76469799"/>
      <w:bookmarkStart w:id="202" w:name="_Toc166507402"/>
      <w:r w:rsidRPr="00A06DF7">
        <w:rPr>
          <w:rFonts w:cs="Calibri"/>
        </w:rPr>
        <w:lastRenderedPageBreak/>
        <w:t xml:space="preserve">The </w:t>
      </w:r>
      <w:r w:rsidR="006507B6" w:rsidRPr="00A06DF7">
        <w:rPr>
          <w:rFonts w:cs="Calibri"/>
        </w:rPr>
        <w:t>number</w:t>
      </w:r>
      <w:r w:rsidRPr="00A06DF7">
        <w:rPr>
          <w:rFonts w:cs="Calibri"/>
        </w:rPr>
        <w:t xml:space="preserve"> of clients accessing </w:t>
      </w:r>
      <w:r w:rsidR="00DA67AF">
        <w:rPr>
          <w:rFonts w:cs="Calibri"/>
        </w:rPr>
        <w:t>all</w:t>
      </w:r>
      <w:r w:rsidRPr="00A06DF7">
        <w:rPr>
          <w:rFonts w:cs="Calibri"/>
        </w:rPr>
        <w:t xml:space="preserve"> intervention services </w:t>
      </w:r>
      <w:bookmarkEnd w:id="200"/>
      <w:bookmarkEnd w:id="201"/>
      <w:r w:rsidR="00F072E7" w:rsidRPr="00A06DF7">
        <w:rPr>
          <w:rFonts w:cs="Calibri"/>
        </w:rPr>
        <w:t xml:space="preserve">has </w:t>
      </w:r>
      <w:r w:rsidR="006507B6" w:rsidRPr="00A06DF7">
        <w:rPr>
          <w:rFonts w:cs="Calibri"/>
        </w:rPr>
        <w:t xml:space="preserve">slightly </w:t>
      </w:r>
      <w:r w:rsidR="00DA67AF">
        <w:rPr>
          <w:rFonts w:cs="Calibri"/>
        </w:rPr>
        <w:t>increased</w:t>
      </w:r>
      <w:r w:rsidR="00596FA2">
        <w:rPr>
          <w:rFonts w:cs="Calibri"/>
        </w:rPr>
        <w:t xml:space="preserve"> </w:t>
      </w:r>
      <w:r w:rsidR="006507B6" w:rsidRPr="00A06DF7">
        <w:rPr>
          <w:rFonts w:cs="Calibri"/>
        </w:rPr>
        <w:t>in the most recent period</w:t>
      </w:r>
      <w:bookmarkEnd w:id="202"/>
    </w:p>
    <w:p w14:paraId="3AF9A436" w14:textId="20757440" w:rsidR="0076491C" w:rsidRPr="00A06DF7" w:rsidRDefault="0076491C" w:rsidP="009624AA">
      <w:pPr>
        <w:rPr>
          <w:rFonts w:cs="Calibri"/>
        </w:rPr>
      </w:pPr>
      <w:r w:rsidRPr="00A06DF7">
        <w:rPr>
          <w:rFonts w:cs="Calibri"/>
        </w:rPr>
        <w:t>The Ministry of Health intervention data for the period between July 202</w:t>
      </w:r>
      <w:r w:rsidR="005A51D3" w:rsidRPr="00A06DF7">
        <w:rPr>
          <w:rFonts w:cs="Calibri"/>
        </w:rPr>
        <w:t>2</w:t>
      </w:r>
      <w:r w:rsidRPr="00A06DF7">
        <w:rPr>
          <w:rFonts w:cs="Calibri"/>
        </w:rPr>
        <w:t xml:space="preserve"> and June 202</w:t>
      </w:r>
      <w:r w:rsidR="005A51D3" w:rsidRPr="00A06DF7">
        <w:rPr>
          <w:rFonts w:cs="Calibri"/>
        </w:rPr>
        <w:t>3</w:t>
      </w:r>
      <w:r w:rsidRPr="00A06DF7">
        <w:rPr>
          <w:rFonts w:cs="Calibri"/>
        </w:rPr>
        <w:t xml:space="preserve"> </w:t>
      </w:r>
      <w:r w:rsidR="00ED7AB1" w:rsidRPr="00A06DF7">
        <w:rPr>
          <w:rFonts w:cs="Calibri"/>
        </w:rPr>
        <w:fldChar w:fldCharType="begin"/>
      </w:r>
      <w:r w:rsidR="004F5D54" w:rsidRPr="00A06DF7">
        <w:rPr>
          <w:rFonts w:cs="Calibri"/>
        </w:rPr>
        <w:instrText xml:space="preserve"> ADDIN ZOTERO_ITEM CSL_CITATION {"citationID":"YEWuMNnj","properties":{"formattedCitation":"(Ministry of Health, 2023a)","plainCitation":"(Ministry of Health, 2023a)","noteIndex":0},"citationItems":[{"id":1499,"uris":["http://zotero.org/users/11111291/items/K8SSJ6JS"],"itemData":{"id":1499,"type":"dataset","abstract":"Data on the number of people who have received gambling harm treatment services and have identified a primary problem gambling mode causing them harm.","language":"en","title":"Intervention services data","URL":"https://www.health.govt.nz/our-work/mental-health-and-addiction/addiction/gambling-harm/service-user-data/intervention-services-data","author":[{"literal":"Ministry of Health"}],"accessed":{"date-parts":[["2024",1,9]]},"issued":{"date-parts":[["2023"]]}}}],"schema":"https://github.com/citation-style-language/schema/raw/master/csl-citation.json"} </w:instrText>
      </w:r>
      <w:r w:rsidR="00ED7AB1" w:rsidRPr="00A06DF7">
        <w:rPr>
          <w:rFonts w:cs="Calibri"/>
        </w:rPr>
        <w:fldChar w:fldCharType="separate"/>
      </w:r>
      <w:r w:rsidR="004F5D54" w:rsidRPr="00A06DF7">
        <w:rPr>
          <w:rFonts w:cs="Calibri"/>
        </w:rPr>
        <w:t>(Ministry of Health, 2023a)</w:t>
      </w:r>
      <w:r w:rsidR="00ED7AB1" w:rsidRPr="00A06DF7">
        <w:rPr>
          <w:rFonts w:cs="Calibri"/>
        </w:rPr>
        <w:fldChar w:fldCharType="end"/>
      </w:r>
      <w:r w:rsidRPr="00A06DF7">
        <w:rPr>
          <w:rFonts w:cs="Calibri"/>
        </w:rPr>
        <w:t xml:space="preserve"> documented the counts of clients who </w:t>
      </w:r>
      <w:r w:rsidR="00CD4761" w:rsidRPr="00A06DF7">
        <w:rPr>
          <w:rFonts w:cs="Calibri"/>
        </w:rPr>
        <w:t>received</w:t>
      </w:r>
      <w:r w:rsidRPr="00A06DF7">
        <w:rPr>
          <w:rFonts w:cs="Calibri"/>
        </w:rPr>
        <w:t xml:space="preserve"> treatment services for harmful gambling</w:t>
      </w:r>
      <w:r w:rsidR="009A5781">
        <w:rPr>
          <w:rStyle w:val="FootnoteReference"/>
          <w:rFonts w:cs="Calibri"/>
        </w:rPr>
        <w:footnoteReference w:id="25"/>
      </w:r>
      <w:r w:rsidR="00CD4761" w:rsidRPr="00A06DF7">
        <w:rPr>
          <w:rFonts w:cs="Calibri"/>
        </w:rPr>
        <w:t xml:space="preserve">. </w:t>
      </w:r>
      <w:r w:rsidR="00403201" w:rsidRPr="00A06DF7">
        <w:rPr>
          <w:rFonts w:cs="Calibri"/>
        </w:rPr>
        <w:t xml:space="preserve">The results showed a slight </w:t>
      </w:r>
      <w:r w:rsidR="005A51D3" w:rsidRPr="00A06DF7">
        <w:rPr>
          <w:rFonts w:cs="Calibri"/>
        </w:rPr>
        <w:t>in</w:t>
      </w:r>
      <w:r w:rsidR="00403201" w:rsidRPr="00A06DF7">
        <w:rPr>
          <w:rFonts w:cs="Calibri"/>
        </w:rPr>
        <w:t>crease from the previous p</w:t>
      </w:r>
      <w:r w:rsidR="002568D0" w:rsidRPr="00A06DF7">
        <w:rPr>
          <w:rFonts w:cs="Calibri"/>
        </w:rPr>
        <w:t>eriod:</w:t>
      </w:r>
    </w:p>
    <w:p w14:paraId="3C81B6D1" w14:textId="6E7D3D18" w:rsidR="004E5FAF" w:rsidRPr="00A06DF7" w:rsidRDefault="00ED15A9" w:rsidP="00824A47">
      <w:pPr>
        <w:pStyle w:val="Bulleted"/>
        <w:rPr>
          <w:rFonts w:cs="Calibri"/>
        </w:rPr>
      </w:pPr>
      <w:r w:rsidRPr="00A06DF7">
        <w:rPr>
          <w:rFonts w:cs="Calibri"/>
        </w:rPr>
        <w:t>T</w:t>
      </w:r>
      <w:r w:rsidR="00AE436A" w:rsidRPr="00A06DF7">
        <w:rPr>
          <w:rFonts w:cs="Calibri"/>
        </w:rPr>
        <w:t>he total number of clients for all interventions</w:t>
      </w:r>
      <w:r w:rsidR="00E911EE" w:rsidRPr="00A06DF7">
        <w:rPr>
          <w:rFonts w:cs="Calibri"/>
        </w:rPr>
        <w:t xml:space="preserve"> was </w:t>
      </w:r>
      <w:r w:rsidR="005A51D3" w:rsidRPr="00A06DF7">
        <w:rPr>
          <w:rFonts w:cs="Calibri"/>
        </w:rPr>
        <w:t>10,386</w:t>
      </w:r>
      <w:r w:rsidR="00E911EE" w:rsidRPr="00A06DF7">
        <w:rPr>
          <w:rFonts w:cs="Calibri"/>
        </w:rPr>
        <w:t xml:space="preserve"> (including 2,</w:t>
      </w:r>
      <w:r w:rsidR="005A51D3" w:rsidRPr="00A06DF7">
        <w:rPr>
          <w:rFonts w:cs="Calibri"/>
        </w:rPr>
        <w:t>672</w:t>
      </w:r>
      <w:r w:rsidR="00E911EE" w:rsidRPr="00A06DF7">
        <w:rPr>
          <w:rFonts w:cs="Calibri"/>
        </w:rPr>
        <w:t xml:space="preserve"> existing clients and </w:t>
      </w:r>
      <w:r w:rsidR="00B06E12" w:rsidRPr="00A06DF7">
        <w:rPr>
          <w:rFonts w:cs="Calibri"/>
        </w:rPr>
        <w:t>7,714</w:t>
      </w:r>
      <w:r w:rsidR="00521FA5" w:rsidRPr="00A06DF7">
        <w:rPr>
          <w:rFonts w:cs="Calibri"/>
        </w:rPr>
        <w:t xml:space="preserve"> new clients</w:t>
      </w:r>
      <w:r w:rsidR="0007624F" w:rsidRPr="00A06DF7">
        <w:rPr>
          <w:rFonts w:cs="Calibri"/>
        </w:rPr>
        <w:t xml:space="preserve"> </w:t>
      </w:r>
      <w:r w:rsidR="00CA255C" w:rsidRPr="00A06DF7">
        <w:rPr>
          <w:rFonts w:cs="Calibri"/>
        </w:rPr>
        <w:t xml:space="preserve">– </w:t>
      </w:r>
      <w:r w:rsidR="00521FA5" w:rsidRPr="00A06DF7">
        <w:rPr>
          <w:rFonts w:cs="Calibri"/>
        </w:rPr>
        <w:t>a</w:t>
      </w:r>
      <w:r w:rsidR="00B06E12" w:rsidRPr="00A06DF7">
        <w:rPr>
          <w:rFonts w:cs="Calibri"/>
        </w:rPr>
        <w:t>n</w:t>
      </w:r>
      <w:r w:rsidR="00521FA5" w:rsidRPr="00A06DF7">
        <w:rPr>
          <w:rFonts w:cs="Calibri"/>
        </w:rPr>
        <w:t xml:space="preserve"> </w:t>
      </w:r>
      <w:r w:rsidR="00B06E12" w:rsidRPr="00A06DF7">
        <w:rPr>
          <w:rFonts w:cs="Calibri"/>
        </w:rPr>
        <w:t>in</w:t>
      </w:r>
      <w:r w:rsidR="00521FA5" w:rsidRPr="00A06DF7">
        <w:rPr>
          <w:rFonts w:cs="Calibri"/>
        </w:rPr>
        <w:t xml:space="preserve">crease of </w:t>
      </w:r>
      <w:r w:rsidR="00BF5739" w:rsidRPr="00A06DF7">
        <w:rPr>
          <w:rFonts w:cs="Calibri"/>
        </w:rPr>
        <w:t>7.3</w:t>
      </w:r>
      <w:r w:rsidR="00D9625C" w:rsidRPr="00A06DF7">
        <w:rPr>
          <w:rFonts w:cs="Calibri"/>
        </w:rPr>
        <w:t xml:space="preserve"> per cent</w:t>
      </w:r>
      <w:r w:rsidR="00BC27F9" w:rsidRPr="00A06DF7">
        <w:rPr>
          <w:rFonts w:cs="Calibri"/>
        </w:rPr>
        <w:t xml:space="preserve"> (</w:t>
      </w:r>
      <w:r w:rsidR="00BF5739" w:rsidRPr="00A06DF7">
        <w:rPr>
          <w:rFonts w:cs="Calibri"/>
        </w:rPr>
        <w:t>703</w:t>
      </w:r>
      <w:r w:rsidR="004E5FAF" w:rsidRPr="00A06DF7">
        <w:rPr>
          <w:rFonts w:cs="Calibri"/>
        </w:rPr>
        <w:t xml:space="preserve"> clients) compared with the previous year</w:t>
      </w:r>
    </w:p>
    <w:p w14:paraId="4F327CFC" w14:textId="01ADBEC7" w:rsidR="00811611" w:rsidRPr="00A06DF7" w:rsidRDefault="00ED15A9" w:rsidP="00824A47">
      <w:pPr>
        <w:pStyle w:val="Bulleted"/>
        <w:rPr>
          <w:rFonts w:cs="Calibri"/>
        </w:rPr>
      </w:pPr>
      <w:r w:rsidRPr="00A06DF7">
        <w:rPr>
          <w:rFonts w:cs="Calibri"/>
        </w:rPr>
        <w:t>T</w:t>
      </w:r>
      <w:r w:rsidR="00811611" w:rsidRPr="00A06DF7">
        <w:rPr>
          <w:rFonts w:cs="Calibri"/>
        </w:rPr>
        <w:t xml:space="preserve">he total number of clients excluding brief interventions was </w:t>
      </w:r>
      <w:r w:rsidR="00285F89">
        <w:rPr>
          <w:rFonts w:cs="Calibri"/>
        </w:rPr>
        <w:t>4,411</w:t>
      </w:r>
      <w:r w:rsidR="00811611" w:rsidRPr="00A06DF7">
        <w:rPr>
          <w:rFonts w:cs="Calibri"/>
        </w:rPr>
        <w:t xml:space="preserve"> (including 2,</w:t>
      </w:r>
      <w:r w:rsidR="002474A3" w:rsidRPr="00A06DF7">
        <w:rPr>
          <w:rFonts w:cs="Calibri"/>
        </w:rPr>
        <w:t>240</w:t>
      </w:r>
      <w:r w:rsidR="00811611" w:rsidRPr="00A06DF7">
        <w:rPr>
          <w:rFonts w:cs="Calibri"/>
        </w:rPr>
        <w:t xml:space="preserve"> existing clients and </w:t>
      </w:r>
      <w:r w:rsidR="002474A3" w:rsidRPr="00A06DF7">
        <w:rPr>
          <w:rFonts w:cs="Calibri"/>
        </w:rPr>
        <w:t>2,171</w:t>
      </w:r>
      <w:r w:rsidR="00811611" w:rsidRPr="00A06DF7">
        <w:rPr>
          <w:rFonts w:cs="Calibri"/>
        </w:rPr>
        <w:t xml:space="preserve"> new clients) – a decrease of </w:t>
      </w:r>
      <w:r w:rsidR="00317C33" w:rsidRPr="00A06DF7">
        <w:rPr>
          <w:rFonts w:cs="Calibri"/>
        </w:rPr>
        <w:t>2.7</w:t>
      </w:r>
      <w:r w:rsidR="00D9625C" w:rsidRPr="00A06DF7">
        <w:rPr>
          <w:rFonts w:cs="Calibri"/>
        </w:rPr>
        <w:t xml:space="preserve"> per cent</w:t>
      </w:r>
      <w:r w:rsidR="00811611" w:rsidRPr="00A06DF7">
        <w:rPr>
          <w:rFonts w:cs="Calibri"/>
        </w:rPr>
        <w:t xml:space="preserve"> (-</w:t>
      </w:r>
      <w:r w:rsidR="00317C33" w:rsidRPr="00A06DF7">
        <w:rPr>
          <w:rFonts w:cs="Calibri"/>
        </w:rPr>
        <w:t>123</w:t>
      </w:r>
      <w:r w:rsidR="00811611" w:rsidRPr="00A06DF7">
        <w:rPr>
          <w:rFonts w:cs="Calibri"/>
        </w:rPr>
        <w:t xml:space="preserve"> clients) compared with the previous year</w:t>
      </w:r>
    </w:p>
    <w:p w14:paraId="664C71AC" w14:textId="1F9272B2" w:rsidR="00F50E42" w:rsidRPr="00A06DF7" w:rsidRDefault="00ED15A9" w:rsidP="00824A47">
      <w:pPr>
        <w:pStyle w:val="Bulleted"/>
        <w:rPr>
          <w:rFonts w:cs="Calibri"/>
        </w:rPr>
      </w:pPr>
      <w:r w:rsidRPr="00A06DF7">
        <w:rPr>
          <w:rFonts w:cs="Calibri"/>
        </w:rPr>
        <w:t>T</w:t>
      </w:r>
      <w:r w:rsidR="00F50E42" w:rsidRPr="00A06DF7">
        <w:rPr>
          <w:rFonts w:cs="Calibri"/>
        </w:rPr>
        <w:t>he proportion of clients receiving support (all interventions) for their gambling behaviour (</w:t>
      </w:r>
      <w:r w:rsidR="00C21FB3" w:rsidRPr="00A06DF7">
        <w:rPr>
          <w:rFonts w:cs="Calibri"/>
        </w:rPr>
        <w:t>6</w:t>
      </w:r>
      <w:r w:rsidR="00223691" w:rsidRPr="00A06DF7">
        <w:rPr>
          <w:rFonts w:cs="Calibri"/>
        </w:rPr>
        <w:t>2.7</w:t>
      </w:r>
      <w:r w:rsidR="00E36C48" w:rsidRPr="00A06DF7">
        <w:rPr>
          <w:rFonts w:cs="Calibri"/>
        </w:rPr>
        <w:t>%</w:t>
      </w:r>
      <w:r w:rsidR="00F50E42" w:rsidRPr="00A06DF7">
        <w:rPr>
          <w:rFonts w:cs="Calibri"/>
        </w:rPr>
        <w:t>) was higher than those identifying as family/affected others (</w:t>
      </w:r>
      <w:r w:rsidR="00FB75F2" w:rsidRPr="00A06DF7">
        <w:rPr>
          <w:rFonts w:cs="Calibri"/>
        </w:rPr>
        <w:t>3</w:t>
      </w:r>
      <w:r w:rsidR="00223691" w:rsidRPr="00A06DF7">
        <w:rPr>
          <w:rFonts w:cs="Calibri"/>
        </w:rPr>
        <w:t>7.3</w:t>
      </w:r>
      <w:r w:rsidR="00E36C48" w:rsidRPr="00A06DF7">
        <w:rPr>
          <w:rFonts w:cs="Calibri"/>
        </w:rPr>
        <w:t>%</w:t>
      </w:r>
      <w:r w:rsidR="00F50E42" w:rsidRPr="00A06DF7">
        <w:rPr>
          <w:rFonts w:cs="Calibri"/>
        </w:rPr>
        <w:t>)</w:t>
      </w:r>
    </w:p>
    <w:p w14:paraId="3BB4088B" w14:textId="2D164F30" w:rsidR="006F729E" w:rsidRPr="00A06DF7" w:rsidRDefault="00ED15A9" w:rsidP="00824A47">
      <w:pPr>
        <w:pStyle w:val="Bulleted"/>
        <w:rPr>
          <w:rFonts w:cs="Calibri"/>
        </w:rPr>
      </w:pPr>
      <w:r w:rsidRPr="00A06DF7">
        <w:rPr>
          <w:rFonts w:cs="Calibri"/>
        </w:rPr>
        <w:t>T</w:t>
      </w:r>
      <w:r w:rsidR="006F729E" w:rsidRPr="00A06DF7">
        <w:rPr>
          <w:rFonts w:cs="Calibri"/>
        </w:rPr>
        <w:t xml:space="preserve">he highest proportion of clients receiving support (all interventions) </w:t>
      </w:r>
      <w:r w:rsidR="008C53A5" w:rsidRPr="00A06DF7">
        <w:rPr>
          <w:rFonts w:cs="Calibri"/>
        </w:rPr>
        <w:t>were</w:t>
      </w:r>
      <w:r w:rsidR="006F729E" w:rsidRPr="00A06DF7">
        <w:rPr>
          <w:rFonts w:cs="Calibri"/>
        </w:rPr>
        <w:t xml:space="preserve"> </w:t>
      </w:r>
      <w:r w:rsidR="008C53A5" w:rsidRPr="00A06DF7">
        <w:rPr>
          <w:rFonts w:cs="Calibri"/>
        </w:rPr>
        <w:t>Māori</w:t>
      </w:r>
      <w:r w:rsidR="006F729E" w:rsidRPr="00A06DF7">
        <w:rPr>
          <w:rFonts w:cs="Calibri"/>
        </w:rPr>
        <w:t xml:space="preserve"> (3</w:t>
      </w:r>
      <w:r w:rsidR="008C53A5" w:rsidRPr="00A06DF7">
        <w:rPr>
          <w:rFonts w:cs="Calibri"/>
        </w:rPr>
        <w:t>2.6</w:t>
      </w:r>
      <w:r w:rsidR="00E36C48" w:rsidRPr="00A06DF7">
        <w:rPr>
          <w:rFonts w:cs="Calibri"/>
        </w:rPr>
        <w:t>%</w:t>
      </w:r>
      <w:r w:rsidR="006F729E" w:rsidRPr="00A06DF7">
        <w:rPr>
          <w:rFonts w:cs="Calibri"/>
        </w:rPr>
        <w:t xml:space="preserve">) followed by </w:t>
      </w:r>
      <w:r w:rsidR="008C53A5" w:rsidRPr="00A06DF7">
        <w:rPr>
          <w:rFonts w:cs="Calibri"/>
        </w:rPr>
        <w:t>Other</w:t>
      </w:r>
      <w:r w:rsidR="006F729E" w:rsidRPr="00A06DF7">
        <w:rPr>
          <w:rFonts w:cs="Calibri"/>
        </w:rPr>
        <w:t xml:space="preserve"> (32.</w:t>
      </w:r>
      <w:r w:rsidR="008C53A5" w:rsidRPr="00A06DF7">
        <w:rPr>
          <w:rFonts w:cs="Calibri"/>
        </w:rPr>
        <w:t>3</w:t>
      </w:r>
      <w:r w:rsidR="00E36C48" w:rsidRPr="00A06DF7">
        <w:rPr>
          <w:rFonts w:cs="Calibri"/>
        </w:rPr>
        <w:t>%</w:t>
      </w:r>
      <w:r w:rsidR="006F729E" w:rsidRPr="00A06DF7">
        <w:rPr>
          <w:rFonts w:cs="Calibri"/>
        </w:rPr>
        <w:t>), Pacific (</w:t>
      </w:r>
      <w:r w:rsidR="008C53A5" w:rsidRPr="00A06DF7">
        <w:rPr>
          <w:rFonts w:cs="Calibri"/>
        </w:rPr>
        <w:t>20.7</w:t>
      </w:r>
      <w:r w:rsidR="00E36C48" w:rsidRPr="00A06DF7">
        <w:rPr>
          <w:rFonts w:cs="Calibri"/>
        </w:rPr>
        <w:t>%</w:t>
      </w:r>
      <w:r w:rsidR="006F729E" w:rsidRPr="00A06DF7">
        <w:rPr>
          <w:rFonts w:cs="Calibri"/>
        </w:rPr>
        <w:t>) and Asian (</w:t>
      </w:r>
      <w:r w:rsidR="00717979" w:rsidRPr="00A06DF7">
        <w:rPr>
          <w:rFonts w:cs="Calibri"/>
        </w:rPr>
        <w:t>1</w:t>
      </w:r>
      <w:r w:rsidR="008C53A5" w:rsidRPr="00A06DF7">
        <w:rPr>
          <w:rFonts w:cs="Calibri"/>
        </w:rPr>
        <w:t>4.3</w:t>
      </w:r>
      <w:r w:rsidR="00E36C48" w:rsidRPr="00A06DF7">
        <w:rPr>
          <w:rFonts w:cs="Calibri"/>
        </w:rPr>
        <w:t>%</w:t>
      </w:r>
      <w:r w:rsidR="006F729E" w:rsidRPr="00A06DF7">
        <w:rPr>
          <w:rFonts w:cs="Calibri"/>
        </w:rPr>
        <w:t>)</w:t>
      </w:r>
    </w:p>
    <w:p w14:paraId="7893452F" w14:textId="4BE8B37D" w:rsidR="002D6D72" w:rsidRPr="00A06DF7" w:rsidRDefault="00ED15A9" w:rsidP="00824A47">
      <w:pPr>
        <w:pStyle w:val="Bulleted"/>
        <w:rPr>
          <w:rFonts w:cs="Calibri"/>
        </w:rPr>
      </w:pPr>
      <w:r w:rsidRPr="00A06DF7">
        <w:rPr>
          <w:rFonts w:cs="Calibri"/>
        </w:rPr>
        <w:t>T</w:t>
      </w:r>
      <w:r w:rsidR="002D6D72" w:rsidRPr="00A06DF7">
        <w:rPr>
          <w:rFonts w:cs="Calibri"/>
        </w:rPr>
        <w:t>he highest proportion of clients receiving support excluding brief interventions identified as Other (</w:t>
      </w:r>
      <w:r w:rsidR="001637C0" w:rsidRPr="00A06DF7">
        <w:rPr>
          <w:rFonts w:cs="Calibri"/>
        </w:rPr>
        <w:t>37.2</w:t>
      </w:r>
      <w:r w:rsidR="00E36C48" w:rsidRPr="00A06DF7">
        <w:rPr>
          <w:rFonts w:cs="Calibri"/>
        </w:rPr>
        <w:t>%</w:t>
      </w:r>
      <w:r w:rsidR="002D6D72" w:rsidRPr="00A06DF7">
        <w:rPr>
          <w:rFonts w:cs="Calibri"/>
        </w:rPr>
        <w:t>) followed by Māori (</w:t>
      </w:r>
      <w:r w:rsidR="00766F89" w:rsidRPr="00A06DF7">
        <w:rPr>
          <w:rFonts w:cs="Calibri"/>
        </w:rPr>
        <w:t>30</w:t>
      </w:r>
      <w:r w:rsidR="00E36C48" w:rsidRPr="00A06DF7">
        <w:rPr>
          <w:rFonts w:cs="Calibri"/>
        </w:rPr>
        <w:t>%</w:t>
      </w:r>
      <w:r w:rsidR="002D6D72" w:rsidRPr="00A06DF7">
        <w:rPr>
          <w:rFonts w:cs="Calibri"/>
        </w:rPr>
        <w:t xml:space="preserve">), </w:t>
      </w:r>
      <w:r w:rsidR="00507D67" w:rsidRPr="00A06DF7">
        <w:rPr>
          <w:rFonts w:cs="Calibri"/>
        </w:rPr>
        <w:t>Pacific</w:t>
      </w:r>
      <w:r w:rsidR="002D6D72" w:rsidRPr="00A06DF7">
        <w:rPr>
          <w:rFonts w:cs="Calibri"/>
        </w:rPr>
        <w:t xml:space="preserve"> (1</w:t>
      </w:r>
      <w:r w:rsidR="00507D67" w:rsidRPr="00A06DF7">
        <w:rPr>
          <w:rFonts w:cs="Calibri"/>
        </w:rPr>
        <w:t>6.7</w:t>
      </w:r>
      <w:r w:rsidR="00E36C48" w:rsidRPr="00A06DF7">
        <w:rPr>
          <w:rFonts w:cs="Calibri"/>
        </w:rPr>
        <w:t>%</w:t>
      </w:r>
      <w:r w:rsidR="002D6D72" w:rsidRPr="00A06DF7">
        <w:rPr>
          <w:rFonts w:cs="Calibri"/>
        </w:rPr>
        <w:t xml:space="preserve">) and </w:t>
      </w:r>
      <w:r w:rsidR="00507D67" w:rsidRPr="00A06DF7">
        <w:rPr>
          <w:rFonts w:cs="Calibri"/>
        </w:rPr>
        <w:t>Asian</w:t>
      </w:r>
      <w:r w:rsidR="002D6D72" w:rsidRPr="00A06DF7">
        <w:rPr>
          <w:rFonts w:cs="Calibri"/>
        </w:rPr>
        <w:t xml:space="preserve"> (1</w:t>
      </w:r>
      <w:r w:rsidR="00507D67" w:rsidRPr="00A06DF7">
        <w:rPr>
          <w:rFonts w:cs="Calibri"/>
        </w:rPr>
        <w:t>6.1</w:t>
      </w:r>
      <w:r w:rsidR="00E36C48" w:rsidRPr="00A06DF7">
        <w:rPr>
          <w:rFonts w:cs="Calibri"/>
        </w:rPr>
        <w:t>%</w:t>
      </w:r>
      <w:r w:rsidR="002D6D72" w:rsidRPr="00A06DF7">
        <w:rPr>
          <w:rFonts w:cs="Calibri"/>
        </w:rPr>
        <w:t>)</w:t>
      </w:r>
    </w:p>
    <w:p w14:paraId="7A414F2F" w14:textId="393A8E17" w:rsidR="004F537A" w:rsidRPr="00A06DF7" w:rsidRDefault="00ED15A9" w:rsidP="00824A47">
      <w:pPr>
        <w:pStyle w:val="Bulleted"/>
        <w:rPr>
          <w:rFonts w:cs="Calibri"/>
        </w:rPr>
      </w:pPr>
      <w:r w:rsidRPr="00A06DF7">
        <w:rPr>
          <w:rFonts w:cs="Calibri"/>
        </w:rPr>
        <w:t>O</w:t>
      </w:r>
      <w:r w:rsidR="00612565" w:rsidRPr="00A06DF7">
        <w:rPr>
          <w:rFonts w:cs="Calibri"/>
        </w:rPr>
        <w:t>f the total</w:t>
      </w:r>
      <w:r w:rsidR="00751CC2" w:rsidRPr="00A06DF7">
        <w:rPr>
          <w:rFonts w:cs="Calibri"/>
        </w:rPr>
        <w:t xml:space="preserve"> number of clients for all interventions, </w:t>
      </w:r>
      <w:r w:rsidR="00036514" w:rsidRPr="00A06DF7">
        <w:rPr>
          <w:rFonts w:cs="Calibri"/>
        </w:rPr>
        <w:t>51.1</w:t>
      </w:r>
      <w:r w:rsidR="00D9625C" w:rsidRPr="00A06DF7">
        <w:rPr>
          <w:rFonts w:cs="Calibri"/>
        </w:rPr>
        <w:t xml:space="preserve"> per cent</w:t>
      </w:r>
      <w:r w:rsidR="00751CC2" w:rsidRPr="00A06DF7">
        <w:rPr>
          <w:rFonts w:cs="Calibri"/>
        </w:rPr>
        <w:t xml:space="preserve"> were male and </w:t>
      </w:r>
      <w:r w:rsidR="00036514" w:rsidRPr="00A06DF7">
        <w:rPr>
          <w:rFonts w:cs="Calibri"/>
        </w:rPr>
        <w:t>48.9</w:t>
      </w:r>
      <w:r w:rsidR="00D9625C" w:rsidRPr="00A06DF7">
        <w:rPr>
          <w:rFonts w:cs="Calibri"/>
        </w:rPr>
        <w:t xml:space="preserve"> per cent</w:t>
      </w:r>
      <w:r w:rsidR="00751CC2" w:rsidRPr="00A06DF7">
        <w:rPr>
          <w:rFonts w:cs="Calibri"/>
        </w:rPr>
        <w:t xml:space="preserve"> were female</w:t>
      </w:r>
    </w:p>
    <w:p w14:paraId="10626374" w14:textId="1669CD5E" w:rsidR="004E5FAF" w:rsidRPr="00A06DF7" w:rsidRDefault="00ED15A9" w:rsidP="00824A47">
      <w:pPr>
        <w:pStyle w:val="Bulleted"/>
        <w:rPr>
          <w:rFonts w:cs="Calibri"/>
        </w:rPr>
      </w:pPr>
      <w:r w:rsidRPr="00A06DF7">
        <w:rPr>
          <w:rFonts w:cs="Calibri"/>
        </w:rPr>
        <w:t>O</w:t>
      </w:r>
      <w:r w:rsidR="00751CC2" w:rsidRPr="00A06DF7">
        <w:rPr>
          <w:rFonts w:cs="Calibri"/>
        </w:rPr>
        <w:t xml:space="preserve">f the total number of clients (excluding brief interventions), </w:t>
      </w:r>
      <w:r w:rsidR="00C57200" w:rsidRPr="00A06DF7">
        <w:rPr>
          <w:rFonts w:cs="Calibri"/>
        </w:rPr>
        <w:t>60.3</w:t>
      </w:r>
      <w:r w:rsidR="00D9625C" w:rsidRPr="00A06DF7">
        <w:rPr>
          <w:rFonts w:cs="Calibri"/>
        </w:rPr>
        <w:t xml:space="preserve"> per cent</w:t>
      </w:r>
      <w:r w:rsidR="00751CC2" w:rsidRPr="00A06DF7">
        <w:rPr>
          <w:rFonts w:cs="Calibri"/>
        </w:rPr>
        <w:t xml:space="preserve"> were male and </w:t>
      </w:r>
      <w:r w:rsidR="00C57200" w:rsidRPr="00A06DF7">
        <w:rPr>
          <w:rFonts w:cs="Calibri"/>
        </w:rPr>
        <w:t>39.7</w:t>
      </w:r>
      <w:r w:rsidR="00D9625C" w:rsidRPr="00A06DF7">
        <w:rPr>
          <w:rFonts w:cs="Calibri"/>
        </w:rPr>
        <w:t xml:space="preserve"> per cent</w:t>
      </w:r>
      <w:r w:rsidR="00751CC2" w:rsidRPr="00A06DF7">
        <w:rPr>
          <w:rFonts w:cs="Calibri"/>
        </w:rPr>
        <w:t xml:space="preserve"> were female</w:t>
      </w:r>
    </w:p>
    <w:p w14:paraId="658766EE" w14:textId="1EB4D732" w:rsidR="00DF07BF" w:rsidRPr="00A06DF7" w:rsidRDefault="00ED15A9" w:rsidP="00824A47">
      <w:pPr>
        <w:pStyle w:val="Bulleted"/>
        <w:rPr>
          <w:rFonts w:cs="Calibri"/>
        </w:rPr>
      </w:pPr>
      <w:r w:rsidRPr="00A06DF7">
        <w:rPr>
          <w:rFonts w:cs="Calibri"/>
        </w:rPr>
        <w:t>T</w:t>
      </w:r>
      <w:r w:rsidR="00401CE2" w:rsidRPr="00A06DF7">
        <w:rPr>
          <w:rFonts w:cs="Calibri"/>
        </w:rPr>
        <w:t>he</w:t>
      </w:r>
      <w:r w:rsidR="00FE3683" w:rsidRPr="00A06DF7">
        <w:rPr>
          <w:rFonts w:cs="Calibri"/>
        </w:rPr>
        <w:t xml:space="preserve"> distribution of clients across age groups for all interventions remained relatively</w:t>
      </w:r>
      <w:r w:rsidR="00D51E4D" w:rsidRPr="00A06DF7">
        <w:rPr>
          <w:rFonts w:cs="Calibri"/>
        </w:rPr>
        <w:t xml:space="preserve"> constant, with 52</w:t>
      </w:r>
      <w:r w:rsidR="001E7950" w:rsidRPr="00A06DF7">
        <w:rPr>
          <w:rFonts w:cs="Calibri"/>
        </w:rPr>
        <w:t>.5</w:t>
      </w:r>
      <w:r w:rsidR="00D9625C" w:rsidRPr="00A06DF7">
        <w:rPr>
          <w:rFonts w:cs="Calibri"/>
        </w:rPr>
        <w:t xml:space="preserve"> per cent</w:t>
      </w:r>
      <w:r w:rsidR="00D51E4D" w:rsidRPr="00A06DF7">
        <w:rPr>
          <w:rFonts w:cs="Calibri"/>
        </w:rPr>
        <w:t xml:space="preserve"> falling within the 25-44 age range, </w:t>
      </w:r>
      <w:r w:rsidR="001E7950" w:rsidRPr="00A06DF7">
        <w:rPr>
          <w:rFonts w:cs="Calibri"/>
        </w:rPr>
        <w:t>29.7</w:t>
      </w:r>
      <w:r w:rsidR="00D9625C" w:rsidRPr="00A06DF7">
        <w:rPr>
          <w:rFonts w:cs="Calibri"/>
        </w:rPr>
        <w:t xml:space="preserve"> per cent</w:t>
      </w:r>
      <w:r w:rsidR="00D51E4D" w:rsidRPr="00A06DF7">
        <w:rPr>
          <w:rFonts w:cs="Calibri"/>
        </w:rPr>
        <w:t xml:space="preserve"> within 45-64, </w:t>
      </w:r>
      <w:r w:rsidR="001E7950" w:rsidRPr="00A06DF7">
        <w:rPr>
          <w:rFonts w:cs="Calibri"/>
        </w:rPr>
        <w:t>10.6</w:t>
      </w:r>
      <w:r w:rsidR="00D9625C" w:rsidRPr="00A06DF7">
        <w:rPr>
          <w:rFonts w:cs="Calibri"/>
        </w:rPr>
        <w:t xml:space="preserve"> per cent</w:t>
      </w:r>
      <w:r w:rsidR="00D51E4D" w:rsidRPr="00A06DF7">
        <w:rPr>
          <w:rFonts w:cs="Calibri"/>
        </w:rPr>
        <w:t xml:space="preserve"> within 15-24, and 7</w:t>
      </w:r>
      <w:r w:rsidR="001E7950" w:rsidRPr="00A06DF7">
        <w:rPr>
          <w:rFonts w:cs="Calibri"/>
        </w:rPr>
        <w:t>.1</w:t>
      </w:r>
      <w:r w:rsidR="00D9625C" w:rsidRPr="00A06DF7">
        <w:rPr>
          <w:rFonts w:cs="Calibri"/>
        </w:rPr>
        <w:t xml:space="preserve"> per cent</w:t>
      </w:r>
      <w:r w:rsidR="00D51E4D" w:rsidRPr="00A06DF7">
        <w:rPr>
          <w:rFonts w:cs="Calibri"/>
        </w:rPr>
        <w:t xml:space="preserve"> aged 65 and over</w:t>
      </w:r>
    </w:p>
    <w:p w14:paraId="77D5A088" w14:textId="64B15AA0" w:rsidR="00FE3683" w:rsidRPr="00A06DF7" w:rsidRDefault="00ED15A9" w:rsidP="00824A47">
      <w:pPr>
        <w:pStyle w:val="Bulleted"/>
        <w:rPr>
          <w:rFonts w:cs="Calibri"/>
        </w:rPr>
      </w:pPr>
      <w:r w:rsidRPr="00A06DF7">
        <w:rPr>
          <w:rFonts w:cs="Calibri"/>
        </w:rPr>
        <w:t>T</w:t>
      </w:r>
      <w:r w:rsidR="005A35BE" w:rsidRPr="00A06DF7">
        <w:rPr>
          <w:rFonts w:cs="Calibri"/>
        </w:rPr>
        <w:t>he distribution of clients across age groups (excluding brief interventions) also remained relatively constant, with 5</w:t>
      </w:r>
      <w:r w:rsidR="00053697" w:rsidRPr="00A06DF7">
        <w:rPr>
          <w:rFonts w:cs="Calibri"/>
        </w:rPr>
        <w:t>8.6</w:t>
      </w:r>
      <w:r w:rsidR="00D9625C" w:rsidRPr="00A06DF7">
        <w:rPr>
          <w:rFonts w:cs="Calibri"/>
        </w:rPr>
        <w:t xml:space="preserve"> per cent</w:t>
      </w:r>
      <w:r w:rsidR="005A35BE" w:rsidRPr="00A06DF7">
        <w:rPr>
          <w:rFonts w:cs="Calibri"/>
        </w:rPr>
        <w:t xml:space="preserve"> falling within the 25-44 age range, </w:t>
      </w:r>
      <w:r w:rsidR="00053697" w:rsidRPr="00A06DF7">
        <w:rPr>
          <w:rFonts w:cs="Calibri"/>
        </w:rPr>
        <w:t>27.3</w:t>
      </w:r>
      <w:r w:rsidR="00D9625C" w:rsidRPr="00A06DF7">
        <w:rPr>
          <w:rFonts w:cs="Calibri"/>
        </w:rPr>
        <w:t xml:space="preserve"> per cent</w:t>
      </w:r>
      <w:r w:rsidR="005A35BE" w:rsidRPr="00A06DF7">
        <w:rPr>
          <w:rFonts w:cs="Calibri"/>
        </w:rPr>
        <w:t xml:space="preserve"> within 45-64, </w:t>
      </w:r>
      <w:r w:rsidR="00BE73BB" w:rsidRPr="00A06DF7">
        <w:rPr>
          <w:rFonts w:cs="Calibri"/>
        </w:rPr>
        <w:t>7.7</w:t>
      </w:r>
      <w:r w:rsidR="00D9625C" w:rsidRPr="00A06DF7">
        <w:rPr>
          <w:rFonts w:cs="Calibri"/>
        </w:rPr>
        <w:t xml:space="preserve"> per cent</w:t>
      </w:r>
      <w:r w:rsidR="005A35BE" w:rsidRPr="00A06DF7">
        <w:rPr>
          <w:rFonts w:cs="Calibri"/>
        </w:rPr>
        <w:t xml:space="preserve"> within 15-24, and </w:t>
      </w:r>
      <w:r w:rsidR="003673C0" w:rsidRPr="00A06DF7">
        <w:rPr>
          <w:rFonts w:cs="Calibri"/>
        </w:rPr>
        <w:t>6.4</w:t>
      </w:r>
      <w:r w:rsidR="00D9625C" w:rsidRPr="00A06DF7">
        <w:rPr>
          <w:rFonts w:cs="Calibri"/>
        </w:rPr>
        <w:t xml:space="preserve"> per cent</w:t>
      </w:r>
      <w:r w:rsidR="005A35BE" w:rsidRPr="00A06DF7">
        <w:rPr>
          <w:rFonts w:cs="Calibri"/>
        </w:rPr>
        <w:t xml:space="preserve"> aged 65 and</w:t>
      </w:r>
      <w:r w:rsidR="000E0B99" w:rsidRPr="00A06DF7">
        <w:rPr>
          <w:rFonts w:cs="Calibri"/>
        </w:rPr>
        <w:t xml:space="preserve"> over.</w:t>
      </w:r>
      <w:r w:rsidR="00C129A5" w:rsidRPr="00A06DF7">
        <w:rPr>
          <w:rFonts w:cs="Calibri"/>
        </w:rPr>
        <w:t xml:space="preserve"> </w:t>
      </w:r>
      <w:r w:rsidR="00500735" w:rsidRPr="00A06DF7">
        <w:rPr>
          <w:rFonts w:cs="Calibri"/>
        </w:rPr>
        <w:t xml:space="preserve"> </w:t>
      </w:r>
    </w:p>
    <w:p w14:paraId="709ADD9B" w14:textId="77777777" w:rsidR="007D7D39" w:rsidRPr="00A06DF7" w:rsidRDefault="007D7D39">
      <w:pPr>
        <w:pStyle w:val="Heading6"/>
        <w:rPr>
          <w:rFonts w:cs="Calibri"/>
        </w:rPr>
      </w:pPr>
      <w:bookmarkStart w:id="203" w:name="_Toc65250325"/>
      <w:bookmarkStart w:id="204" w:name="_Toc76469800"/>
      <w:bookmarkStart w:id="205" w:name="_Toc166507403"/>
      <w:r w:rsidRPr="00A06DF7">
        <w:rPr>
          <w:rFonts w:cs="Calibri"/>
        </w:rPr>
        <w:t>Class 4 EGMs remain the most common primary gambling mode for clients accessing intervention services</w:t>
      </w:r>
      <w:bookmarkEnd w:id="203"/>
      <w:bookmarkEnd w:id="204"/>
      <w:bookmarkEnd w:id="205"/>
      <w:r w:rsidRPr="00A06DF7">
        <w:rPr>
          <w:rFonts w:cs="Calibri"/>
        </w:rPr>
        <w:t xml:space="preserve"> </w:t>
      </w:r>
    </w:p>
    <w:p w14:paraId="2B83E5DB" w14:textId="3CE0E9A4" w:rsidR="00697A6E" w:rsidRPr="00A06DF7" w:rsidRDefault="00CD6E10" w:rsidP="00697A6E">
      <w:pPr>
        <w:rPr>
          <w:rFonts w:cs="Calibri"/>
        </w:rPr>
      </w:pPr>
      <w:r w:rsidRPr="00A06DF7">
        <w:rPr>
          <w:rFonts w:cs="Calibri"/>
        </w:rPr>
        <w:t xml:space="preserve">In </w:t>
      </w:r>
      <w:r w:rsidR="002E13B0" w:rsidRPr="00A06DF7">
        <w:rPr>
          <w:rFonts w:cs="Calibri"/>
        </w:rPr>
        <w:t>2022</w:t>
      </w:r>
      <w:r w:rsidRPr="00A06DF7">
        <w:rPr>
          <w:rFonts w:cs="Calibri"/>
        </w:rPr>
        <w:t>/</w:t>
      </w:r>
      <w:r w:rsidR="002E13B0" w:rsidRPr="00A06DF7">
        <w:rPr>
          <w:rFonts w:cs="Calibri"/>
        </w:rPr>
        <w:t>23</w:t>
      </w:r>
      <w:r w:rsidR="004025C0" w:rsidRPr="00A06DF7">
        <w:rPr>
          <w:rFonts w:cs="Calibri"/>
        </w:rPr>
        <w:t>, the most common gambling mode</w:t>
      </w:r>
      <w:r w:rsidR="00213946">
        <w:rPr>
          <w:rFonts w:cs="Calibri"/>
        </w:rPr>
        <w:t>,</w:t>
      </w:r>
      <w:r w:rsidR="004025C0" w:rsidRPr="00A06DF7">
        <w:rPr>
          <w:rFonts w:cs="Calibri"/>
        </w:rPr>
        <w:t xml:space="preserve"> </w:t>
      </w:r>
      <w:r w:rsidR="00785C13">
        <w:rPr>
          <w:rFonts w:cs="Calibri"/>
        </w:rPr>
        <w:t>reported by</w:t>
      </w:r>
      <w:r w:rsidR="006B3BD6" w:rsidRPr="00A06DF7">
        <w:rPr>
          <w:rFonts w:cs="Calibri"/>
        </w:rPr>
        <w:t xml:space="preserve"> almost half of all clients receiving intervention services</w:t>
      </w:r>
      <w:r w:rsidR="00785C13">
        <w:rPr>
          <w:rFonts w:cs="Calibri"/>
        </w:rPr>
        <w:t>,</w:t>
      </w:r>
      <w:r w:rsidR="006B3BD6" w:rsidRPr="00A06DF7">
        <w:rPr>
          <w:rFonts w:cs="Calibri"/>
        </w:rPr>
        <w:t xml:space="preserve"> was </w:t>
      </w:r>
      <w:r w:rsidR="001021F5" w:rsidRPr="00A06DF7">
        <w:rPr>
          <w:rFonts w:cs="Calibri"/>
        </w:rPr>
        <w:t>Class 4 EGMs (</w:t>
      </w:r>
      <w:r w:rsidR="002E13B0" w:rsidRPr="00A06DF7">
        <w:rPr>
          <w:rFonts w:cs="Calibri"/>
        </w:rPr>
        <w:t>4</w:t>
      </w:r>
      <w:r w:rsidR="00903E7E" w:rsidRPr="00A06DF7">
        <w:rPr>
          <w:rFonts w:cs="Calibri"/>
        </w:rPr>
        <w:t>5.6</w:t>
      </w:r>
      <w:r w:rsidR="00E36C48" w:rsidRPr="00A06DF7">
        <w:rPr>
          <w:rFonts w:cs="Calibri"/>
        </w:rPr>
        <w:t>%</w:t>
      </w:r>
      <w:r w:rsidR="001021F5" w:rsidRPr="00A06DF7">
        <w:rPr>
          <w:rFonts w:cs="Calibri"/>
        </w:rPr>
        <w:t xml:space="preserve">), followed by </w:t>
      </w:r>
      <w:r w:rsidR="00651043" w:rsidRPr="00A06DF7">
        <w:rPr>
          <w:rFonts w:cs="Calibri"/>
        </w:rPr>
        <w:t>Lotto NZ products (</w:t>
      </w:r>
      <w:r w:rsidR="00903E7E" w:rsidRPr="00A06DF7">
        <w:rPr>
          <w:rFonts w:cs="Calibri"/>
        </w:rPr>
        <w:t>11.8</w:t>
      </w:r>
      <w:r w:rsidR="00E36C48" w:rsidRPr="00A06DF7">
        <w:rPr>
          <w:rFonts w:cs="Calibri"/>
        </w:rPr>
        <w:t>%</w:t>
      </w:r>
      <w:r w:rsidR="00651043" w:rsidRPr="00A06DF7">
        <w:rPr>
          <w:rFonts w:cs="Calibri"/>
        </w:rPr>
        <w:t xml:space="preserve">), </w:t>
      </w:r>
      <w:r w:rsidR="00F21798" w:rsidRPr="00A06DF7">
        <w:rPr>
          <w:rFonts w:cs="Calibri"/>
        </w:rPr>
        <w:t>TAB NZ</w:t>
      </w:r>
      <w:r w:rsidR="00651043" w:rsidRPr="00A06DF7">
        <w:rPr>
          <w:rFonts w:cs="Calibri"/>
        </w:rPr>
        <w:t xml:space="preserve"> (</w:t>
      </w:r>
      <w:r w:rsidR="0092336B" w:rsidRPr="00A06DF7">
        <w:rPr>
          <w:rFonts w:cs="Calibri"/>
        </w:rPr>
        <w:t>10.</w:t>
      </w:r>
      <w:r w:rsidR="00CE7195" w:rsidRPr="00A06DF7">
        <w:rPr>
          <w:rFonts w:cs="Calibri"/>
        </w:rPr>
        <w:t>4</w:t>
      </w:r>
      <w:r w:rsidR="00E36C48" w:rsidRPr="00A06DF7">
        <w:rPr>
          <w:rFonts w:cs="Calibri"/>
        </w:rPr>
        <w:t>%</w:t>
      </w:r>
      <w:r w:rsidR="0092336B" w:rsidRPr="00A06DF7">
        <w:rPr>
          <w:rFonts w:cs="Calibri"/>
        </w:rPr>
        <w:t>),</w:t>
      </w:r>
      <w:r w:rsidR="00651043" w:rsidRPr="00A06DF7">
        <w:rPr>
          <w:rFonts w:cs="Calibri"/>
        </w:rPr>
        <w:t xml:space="preserve"> Casino EGM (</w:t>
      </w:r>
      <w:r w:rsidR="00CE7195" w:rsidRPr="00A06DF7">
        <w:rPr>
          <w:rFonts w:cs="Calibri"/>
        </w:rPr>
        <w:t>9.2</w:t>
      </w:r>
      <w:r w:rsidR="00E36C48" w:rsidRPr="00A06DF7">
        <w:rPr>
          <w:rFonts w:cs="Calibri"/>
        </w:rPr>
        <w:t>%</w:t>
      </w:r>
      <w:r w:rsidR="00651043" w:rsidRPr="00A06DF7">
        <w:rPr>
          <w:rFonts w:cs="Calibri"/>
        </w:rPr>
        <w:t>),</w:t>
      </w:r>
      <w:r w:rsidR="000D3C2C" w:rsidRPr="00A06DF7">
        <w:rPr>
          <w:rFonts w:cs="Calibri"/>
        </w:rPr>
        <w:t xml:space="preserve"> Overseas (</w:t>
      </w:r>
      <w:r w:rsidR="00AE4529" w:rsidRPr="00A06DF7">
        <w:rPr>
          <w:rFonts w:cs="Calibri"/>
        </w:rPr>
        <w:t>9.1</w:t>
      </w:r>
      <w:r w:rsidR="00E36C48" w:rsidRPr="00A06DF7">
        <w:rPr>
          <w:rFonts w:cs="Calibri"/>
        </w:rPr>
        <w:t>%</w:t>
      </w:r>
      <w:r w:rsidR="00651043" w:rsidRPr="00A06DF7">
        <w:rPr>
          <w:rFonts w:cs="Calibri"/>
        </w:rPr>
        <w:t xml:space="preserve">), </w:t>
      </w:r>
      <w:r w:rsidR="00377F8C" w:rsidRPr="00A06DF7">
        <w:rPr>
          <w:rFonts w:cs="Calibri"/>
        </w:rPr>
        <w:t>Casino Table (6.1</w:t>
      </w:r>
      <w:r w:rsidR="00E36C48" w:rsidRPr="00A06DF7">
        <w:rPr>
          <w:rFonts w:cs="Calibri"/>
        </w:rPr>
        <w:t>%</w:t>
      </w:r>
      <w:r w:rsidR="00377F8C" w:rsidRPr="00A06DF7">
        <w:rPr>
          <w:rFonts w:cs="Calibri"/>
        </w:rPr>
        <w:t xml:space="preserve">), </w:t>
      </w:r>
      <w:r w:rsidR="00AE4529" w:rsidRPr="00A06DF7">
        <w:rPr>
          <w:rFonts w:cs="Calibri"/>
        </w:rPr>
        <w:t xml:space="preserve">NZ Other (3.9%), </w:t>
      </w:r>
      <w:r w:rsidR="00651043" w:rsidRPr="00A06DF7">
        <w:rPr>
          <w:rFonts w:cs="Calibri"/>
        </w:rPr>
        <w:t>Housie (</w:t>
      </w:r>
      <w:r w:rsidR="00CE7195" w:rsidRPr="00A06DF7">
        <w:rPr>
          <w:rFonts w:cs="Calibri"/>
        </w:rPr>
        <w:t>3</w:t>
      </w:r>
      <w:r w:rsidR="00E36C48" w:rsidRPr="00A06DF7">
        <w:rPr>
          <w:rFonts w:cs="Calibri"/>
        </w:rPr>
        <w:t>%</w:t>
      </w:r>
      <w:r w:rsidR="00651043" w:rsidRPr="00A06DF7">
        <w:rPr>
          <w:rFonts w:cs="Calibri"/>
        </w:rPr>
        <w:t xml:space="preserve">) and </w:t>
      </w:r>
      <w:r w:rsidR="00651043" w:rsidRPr="00A06DF7">
        <w:rPr>
          <w:rFonts w:cs="Calibri"/>
        </w:rPr>
        <w:lastRenderedPageBreak/>
        <w:t>Cards (1.</w:t>
      </w:r>
      <w:r w:rsidR="00CE7195" w:rsidRPr="00A06DF7">
        <w:rPr>
          <w:rFonts w:cs="Calibri"/>
        </w:rPr>
        <w:t>0</w:t>
      </w:r>
      <w:r w:rsidR="00E36C48" w:rsidRPr="00A06DF7">
        <w:rPr>
          <w:rFonts w:cs="Calibri"/>
        </w:rPr>
        <w:t>%</w:t>
      </w:r>
      <w:r w:rsidR="00651043" w:rsidRPr="00A06DF7">
        <w:rPr>
          <w:rFonts w:cs="Calibri"/>
        </w:rPr>
        <w:t>)</w:t>
      </w:r>
      <w:r w:rsidR="00377F8C" w:rsidRPr="00A06DF7">
        <w:rPr>
          <w:rFonts w:cs="Calibri"/>
        </w:rPr>
        <w:t xml:space="preserve"> </w:t>
      </w:r>
      <w:r w:rsidR="00377F8C" w:rsidRPr="00A06DF7">
        <w:rPr>
          <w:rFonts w:cs="Calibri"/>
        </w:rPr>
        <w:fldChar w:fldCharType="begin"/>
      </w:r>
      <w:r w:rsidR="004F5D54" w:rsidRPr="00A06DF7">
        <w:rPr>
          <w:rFonts w:cs="Calibri"/>
        </w:rPr>
        <w:instrText xml:space="preserve"> ADDIN ZOTERO_ITEM CSL_CITATION {"citationID":"OMsRgFFJ","properties":{"formattedCitation":"(Ministry of Health, 2023a)","plainCitation":"(Ministry of Health, 2023a)","noteIndex":0},"citationItems":[{"id":1499,"uris":["http://zotero.org/users/11111291/items/K8SSJ6JS"],"itemData":{"id":1499,"type":"dataset","abstract":"Data on the number of people who have received gambling harm treatment services and have identified a primary problem gambling mode causing them harm.","language":"en","title":"Intervention services data","URL":"https://www.health.govt.nz/our-work/mental-health-and-addiction/addiction/gambling-harm/service-user-data/intervention-services-data","author":[{"literal":"Ministry of Health"}],"accessed":{"date-parts":[["2024",1,9]]},"issued":{"date-parts":[["2023"]]}}}],"schema":"https://github.com/citation-style-language/schema/raw/master/csl-citation.json"} </w:instrText>
      </w:r>
      <w:r w:rsidR="00377F8C" w:rsidRPr="00A06DF7">
        <w:rPr>
          <w:rFonts w:cs="Calibri"/>
        </w:rPr>
        <w:fldChar w:fldCharType="separate"/>
      </w:r>
      <w:r w:rsidR="004F5D54" w:rsidRPr="00A06DF7">
        <w:rPr>
          <w:rFonts w:cs="Calibri"/>
        </w:rPr>
        <w:t>(Ministry of Health, 2023a)</w:t>
      </w:r>
      <w:r w:rsidR="00377F8C" w:rsidRPr="00A06DF7">
        <w:rPr>
          <w:rFonts w:cs="Calibri"/>
        </w:rPr>
        <w:fldChar w:fldCharType="end"/>
      </w:r>
      <w:r w:rsidR="00224C36" w:rsidRPr="00A06DF7">
        <w:rPr>
          <w:rFonts w:cs="Calibri"/>
        </w:rPr>
        <w:t>.</w:t>
      </w:r>
      <w:r w:rsidR="00294B84" w:rsidRPr="00A06DF7">
        <w:rPr>
          <w:rFonts w:cs="Calibri"/>
        </w:rPr>
        <w:t xml:space="preserve"> This distribution has remained relatively constant </w:t>
      </w:r>
      <w:r w:rsidR="00A735E3" w:rsidRPr="00A06DF7">
        <w:rPr>
          <w:rFonts w:cs="Calibri"/>
        </w:rPr>
        <w:t>since</w:t>
      </w:r>
      <w:r w:rsidR="00294B84" w:rsidRPr="00A06DF7">
        <w:rPr>
          <w:rFonts w:cs="Calibri"/>
        </w:rPr>
        <w:t xml:space="preserve"> </w:t>
      </w:r>
      <w:r w:rsidR="00D83379" w:rsidRPr="00A06DF7">
        <w:rPr>
          <w:rFonts w:cs="Calibri"/>
        </w:rPr>
        <w:t>2020/21.</w:t>
      </w:r>
    </w:p>
    <w:p w14:paraId="3D5EAA49" w14:textId="6649E871" w:rsidR="00CD2F9E" w:rsidRPr="00A06DF7" w:rsidRDefault="00CD2F9E" w:rsidP="00CD2F9E">
      <w:pPr>
        <w:pStyle w:val="Heading6"/>
        <w:rPr>
          <w:rFonts w:cs="Calibri"/>
        </w:rPr>
      </w:pPr>
      <w:bookmarkStart w:id="206" w:name="_Toc166507404"/>
      <w:r w:rsidRPr="00A06DF7">
        <w:rPr>
          <w:rFonts w:cs="Calibri"/>
        </w:rPr>
        <w:t>The implementation of a Just-In-Time Adaptive Intervention service has proven beneficial</w:t>
      </w:r>
      <w:bookmarkEnd w:id="206"/>
      <w:r w:rsidRPr="00A06DF7">
        <w:rPr>
          <w:rFonts w:cs="Calibri"/>
        </w:rPr>
        <w:t xml:space="preserve"> </w:t>
      </w:r>
    </w:p>
    <w:p w14:paraId="73B792F3" w14:textId="1CD1B498" w:rsidR="00CD2F9E" w:rsidRPr="00A06DF7" w:rsidRDefault="00CD2F9E" w:rsidP="00CD2F9E">
      <w:pPr>
        <w:rPr>
          <w:rFonts w:cs="Calibri"/>
        </w:rPr>
      </w:pPr>
      <w:r w:rsidRPr="00A06DF7">
        <w:rPr>
          <w:rFonts w:cs="Calibri"/>
        </w:rPr>
        <w:t>A recent paper by</w:t>
      </w:r>
      <w:r w:rsidR="00D71567" w:rsidRPr="00A06DF7">
        <w:rPr>
          <w:rFonts w:cs="Calibri"/>
        </w:rPr>
        <w:t xml:space="preserve"> Rodda et al.</w:t>
      </w:r>
      <w:r w:rsidRPr="00A06DF7">
        <w:rPr>
          <w:rFonts w:cs="Calibri"/>
        </w:rPr>
        <w:t xml:space="preserve"> </w:t>
      </w:r>
      <w:r w:rsidRPr="00A06DF7">
        <w:rPr>
          <w:rFonts w:cs="Calibri"/>
        </w:rPr>
        <w:fldChar w:fldCharType="begin"/>
      </w:r>
      <w:r w:rsidR="00715B07" w:rsidRPr="00A06DF7">
        <w:rPr>
          <w:rFonts w:cs="Calibri"/>
        </w:rPr>
        <w:instrText xml:space="preserve"> ADDIN ZOTERO_ITEM CSL_CITATION {"citationID":"71ahNMTT","properties":{"formattedCitation":"(2022)","plainCitation":"(2022)","noteIndex":0},"citationItems":[{"id":1453,"uris":["http://zotero.org/users/11111291/items/VZDF5J7J"],"itemData":{"id":1453,"type":"article-journal","abstract":"BACKGROUND: People with gambling problems frequently report repeated unsuccessful attempts to change their behavior. Although many behavior change techniques are available to individuals to reduce gambling harm, they can be challenging to implement or maintain. The provision of implementation support tailored for immediate, real-time, individualized circumstances may improve attempts at behavior change.\nOBJECTIVE: We aimed to develop and evaluate a Just-In-Time Adaptive Intervention (JITAI) for individuals who require support to adhere to their gambling limits. JITAI development is based on the principles of the Health Action Process Approach with delivery, in alignment with the principles of self-determination theory. The primary objective was to determine the effect of action- and coping planning compared with no intervention on the goal of subsequently adhering to gambling expenditure limits.\nMETHODS: Gambling Habit Hacker is delivered as a JITAI providing in-the-moment support for adhering to gambling expenditure limits (primary proximal outcome). Delivered via a smartphone app, this JITAI delivers tailored behavior change techniques related to goal setting, action planning, coping planning, and self-monitoring. The Gambling Habit Hacker app will be evaluated using a 28-day microrandomized trial. Up to 200 individuals seeking support for their own gambling from Australia and New Zealand will set a gambling expenditure limit (ie, goal). They will then be asked to complete 3 time-based ecological momentary assessments (EMAs) per day over a 28-day period. EMAs will assess real-time adherence to gambling limits, strength of intention to adhere to goals, goal self-efficacy, urge self-efficacy, and being in high-risk situations. On the basis of the responses to each EMA, participants will be randomized to the control (a set of 25 self-enactable strategies containing names only and no implementation information) or intervention (self-enactable strategy implementation information with facilitated action- and coping planning) conditions. This microrandomized trial will be supplemented with a 6-month within-group follow-up that explores the long-term impact of the app on gambling expenditure (primary distal outcome) and a range of secondary outcomes, as well as an evaluation of the acceptability of the JITAI via postintervention surveys, app use and engagement indices, and semistructured interviews. This trial has been approved by the Deakin University Human Research Ethics Committee (2020-304).\nRESULTS: The intervention has been subject to expert user testing, with high acceptability scores. The results will inform a more nuanced version of the Gambling Habit Hacker app for wider use.\nCONCLUSIONS: Gambling Habit Hacker is part of a suite of interventions for addictive behaviors that deliver implementation support grounded in lived experience. This study may inform the usefulness of delivering implementation intentions in real time and in real-world settings. It potentially offers people with gambling problems new support to set their gambling intentions and adhere to their limits.\nTRIAL REGISTRATION: Australian New Zealand Clinical Trials Registry ACTRN12622000497707; www.anzctr.org.au/Trial/Registration/TrialReview.aspx?id=383568.\nINTERNATIONAL REGISTERED REPORT IDENTIFIER (IRRID): DERR1-10.2196/38919.","container-title":"JMIR research protocols","DOI":"10.2196/38919","ISSN":"1929-0748","issue":"7","journalAbbreviation":"JMIR Res Protoc","language":"eng","note":"number: 7\nPMID: 35881441\nPMCID: PMC9364163","page":"e38919","source":"PubMed","title":"Smartphone App Delivery of a Just-In-Time Adaptive Intervention for Adult Gamblers (Gambling Habit Hacker): Protocol for a Microrandomized Trial","title-short":"Smartphone App Delivery of a Just-In-Time Adaptive Intervention for Adult Gamblers (Gambling Habit Hacker)","volume":"11","author":[{"family":"Rodda","given":"Simone N."},{"family":"Bagot","given":"Kathleen L."},{"family":"Merkouris","given":"Stephanie S."},{"family":"Youssef","given":"George"},{"family":"Lubman","given":"Dan I."},{"family":"Thomas","given":"Anna C."},{"family":"Dowling","given":"Nicki A."}],"issued":{"date-parts":[["2022",7,26]]}},"label":"page","suppress-author":true}],"schema":"https://github.com/citation-style-language/schema/raw/master/csl-citation.json"} </w:instrText>
      </w:r>
      <w:r w:rsidRPr="00A06DF7">
        <w:rPr>
          <w:rFonts w:cs="Calibri"/>
        </w:rPr>
        <w:fldChar w:fldCharType="separate"/>
      </w:r>
      <w:r w:rsidR="00746DB2" w:rsidRPr="00A06DF7">
        <w:rPr>
          <w:rFonts w:cs="Calibri"/>
        </w:rPr>
        <w:t>(2022)</w:t>
      </w:r>
      <w:r w:rsidRPr="00A06DF7">
        <w:rPr>
          <w:rFonts w:cs="Calibri"/>
        </w:rPr>
        <w:fldChar w:fldCharType="end"/>
      </w:r>
      <w:r w:rsidRPr="00A06DF7">
        <w:rPr>
          <w:rFonts w:cs="Calibri"/>
        </w:rPr>
        <w:t xml:space="preserve"> outlines a Just-In-Time Adaptive Intervention (JITAI) that is currently developing in New Zealand and Australia for individuals who require support to adhere to their gambling limits. It comes from the fact that problem gamblers commonly report multiple unsuccessful attempts to change their behaviour. JITAIs use algorithms to determine when and how support is provided. They adapt to dynamically changing individual needs by offering the necessary type and amount of support at the right time and only when needed. The following key components guide the design of the JITAI approach:</w:t>
      </w:r>
    </w:p>
    <w:p w14:paraId="648D6BB6" w14:textId="3B9D3329" w:rsidR="00CD2F9E" w:rsidRPr="00A06DF7" w:rsidRDefault="00824A47" w:rsidP="00824A47">
      <w:pPr>
        <w:pStyle w:val="Bulleted"/>
        <w:rPr>
          <w:rFonts w:cs="Calibri"/>
        </w:rPr>
      </w:pPr>
      <w:r w:rsidRPr="00A06DF7">
        <w:rPr>
          <w:rFonts w:cs="Calibri"/>
        </w:rPr>
        <w:t>D</w:t>
      </w:r>
      <w:r w:rsidR="00CD2F9E" w:rsidRPr="00A06DF7">
        <w:rPr>
          <w:rFonts w:cs="Calibri"/>
        </w:rPr>
        <w:t xml:space="preserve">ecision points </w:t>
      </w:r>
      <w:r w:rsidR="006770E3" w:rsidRPr="00A06DF7">
        <w:rPr>
          <w:rFonts w:cs="Calibri"/>
        </w:rPr>
        <w:t xml:space="preserve">– </w:t>
      </w:r>
      <w:r w:rsidR="00CD2F9E" w:rsidRPr="00A06DF7">
        <w:rPr>
          <w:rFonts w:cs="Calibri"/>
        </w:rPr>
        <w:t>the points in time at which decisions about intervention delivery are made</w:t>
      </w:r>
    </w:p>
    <w:p w14:paraId="206A13A3" w14:textId="26B5C5A7" w:rsidR="00CD2F9E" w:rsidRPr="00A06DF7" w:rsidRDefault="00824A47" w:rsidP="00824A47">
      <w:pPr>
        <w:pStyle w:val="Bulleted"/>
        <w:rPr>
          <w:rFonts w:cs="Calibri"/>
        </w:rPr>
      </w:pPr>
      <w:r w:rsidRPr="00A06DF7">
        <w:rPr>
          <w:rFonts w:cs="Calibri"/>
        </w:rPr>
        <w:t>I</w:t>
      </w:r>
      <w:r w:rsidR="00CD2F9E" w:rsidRPr="00A06DF7">
        <w:rPr>
          <w:rFonts w:cs="Calibri"/>
        </w:rPr>
        <w:t>ntervention options – the type, timing, dose, and delivery modes of support that can be delivered at each decision point</w:t>
      </w:r>
    </w:p>
    <w:p w14:paraId="20802AFC" w14:textId="28C5DE78" w:rsidR="00CD2F9E" w:rsidRPr="00A06DF7" w:rsidRDefault="00824A47" w:rsidP="00824A47">
      <w:pPr>
        <w:pStyle w:val="Bulleted"/>
        <w:rPr>
          <w:rFonts w:cs="Calibri"/>
        </w:rPr>
      </w:pPr>
      <w:r w:rsidRPr="00A06DF7">
        <w:rPr>
          <w:rFonts w:cs="Calibri"/>
        </w:rPr>
        <w:t>T</w:t>
      </w:r>
      <w:r w:rsidR="00CD2F9E" w:rsidRPr="00A06DF7">
        <w:rPr>
          <w:rFonts w:cs="Calibri"/>
        </w:rPr>
        <w:t>ailoring variables – variables that collect internal state or ecological context to decide when and how interventions are delivered</w:t>
      </w:r>
    </w:p>
    <w:p w14:paraId="6FFDC60F" w14:textId="0876B669" w:rsidR="00CD2F9E" w:rsidRPr="00A06DF7" w:rsidRDefault="00824A47" w:rsidP="00824A47">
      <w:pPr>
        <w:pStyle w:val="Bulleted"/>
        <w:rPr>
          <w:rFonts w:cs="Calibri"/>
        </w:rPr>
      </w:pPr>
      <w:r w:rsidRPr="00A06DF7">
        <w:rPr>
          <w:rFonts w:cs="Calibri"/>
        </w:rPr>
        <w:t>D</w:t>
      </w:r>
      <w:r w:rsidR="00CD2F9E" w:rsidRPr="00A06DF7">
        <w:rPr>
          <w:rFonts w:cs="Calibri"/>
        </w:rPr>
        <w:t>ecision rules – rules which determine which intervention options to offer, for whom, and when at different levels of each tailoring variable.</w:t>
      </w:r>
    </w:p>
    <w:p w14:paraId="1E3A9468" w14:textId="0D633A62" w:rsidR="00CD2F9E" w:rsidRPr="00A06DF7" w:rsidRDefault="00CD2F9E" w:rsidP="00697A6E">
      <w:pPr>
        <w:rPr>
          <w:rFonts w:cs="Calibri"/>
        </w:rPr>
      </w:pPr>
      <w:r w:rsidRPr="00A06DF7">
        <w:rPr>
          <w:rFonts w:cs="Calibri"/>
        </w:rPr>
        <w:t>Techniques to alter gambling behaviour can be hard to implement or maintain, and the JITAI development suggests that implementing support tailored for immediate</w:t>
      </w:r>
      <w:r w:rsidR="00994CC4" w:rsidRPr="00A06DF7">
        <w:rPr>
          <w:rFonts w:cs="Calibri"/>
        </w:rPr>
        <w:t xml:space="preserve">, </w:t>
      </w:r>
      <w:r w:rsidRPr="00A06DF7">
        <w:rPr>
          <w:rFonts w:cs="Calibri"/>
        </w:rPr>
        <w:t xml:space="preserve">real-time, individualised circumstances may improve behavioural change. </w:t>
      </w:r>
    </w:p>
    <w:p w14:paraId="3F27692F" w14:textId="77777777" w:rsidR="007D7D39" w:rsidRPr="00A06DF7" w:rsidRDefault="007D7D39" w:rsidP="007D7D39">
      <w:pPr>
        <w:rPr>
          <w:rFonts w:cs="Calibri"/>
        </w:rPr>
      </w:pPr>
    </w:p>
    <w:p w14:paraId="2327025E" w14:textId="77777777" w:rsidR="0002553F" w:rsidRPr="00A06DF7" w:rsidRDefault="0002553F" w:rsidP="007D7D39">
      <w:pPr>
        <w:rPr>
          <w:rFonts w:cs="Calibri"/>
        </w:rPr>
      </w:pPr>
    </w:p>
    <w:p w14:paraId="0C407250" w14:textId="42536853" w:rsidR="004D25B0" w:rsidRPr="00A06DF7" w:rsidRDefault="004D25B0">
      <w:pPr>
        <w:spacing w:line="259" w:lineRule="auto"/>
        <w:rPr>
          <w:rFonts w:cs="Calibri"/>
        </w:rPr>
      </w:pPr>
      <w:r w:rsidRPr="00A06DF7">
        <w:rPr>
          <w:rFonts w:cs="Calibri"/>
        </w:rPr>
        <w:br w:type="page"/>
      </w:r>
    </w:p>
    <w:p w14:paraId="5D981B99" w14:textId="763F20CD" w:rsidR="001A7046" w:rsidRPr="00A06DF7" w:rsidRDefault="00802475" w:rsidP="001A7046">
      <w:pPr>
        <w:pStyle w:val="Heading5"/>
        <w:rPr>
          <w:rFonts w:cs="Calibri"/>
        </w:rPr>
      </w:pPr>
      <w:bookmarkStart w:id="207" w:name="_Toc166507405"/>
      <w:r w:rsidRPr="00A06DF7">
        <w:rPr>
          <w:rFonts w:cs="Calibri"/>
        </w:rPr>
        <w:lastRenderedPageBreak/>
        <w:t>F</w:t>
      </w:r>
      <w:r w:rsidR="0074349E" w:rsidRPr="00A06DF7">
        <w:rPr>
          <w:rFonts w:cs="Calibri"/>
        </w:rPr>
        <w:t>unding</w:t>
      </w:r>
      <w:r w:rsidRPr="00A06DF7">
        <w:rPr>
          <w:rFonts w:cs="Calibri"/>
        </w:rPr>
        <w:t xml:space="preserve"> review</w:t>
      </w:r>
      <w:bookmarkEnd w:id="207"/>
    </w:p>
    <w:p w14:paraId="3AD1ED0C" w14:textId="40A67BB2" w:rsidR="009165C2" w:rsidRPr="00A06DF7" w:rsidRDefault="00B74ED7" w:rsidP="00114F73">
      <w:r w:rsidRPr="00A06DF7">
        <w:t>We carr</w:t>
      </w:r>
      <w:r w:rsidR="00802475" w:rsidRPr="00A06DF7">
        <w:t>ied</w:t>
      </w:r>
      <w:r w:rsidRPr="00A06DF7">
        <w:t xml:space="preserve"> out a </w:t>
      </w:r>
      <w:r w:rsidR="00FA2BD7" w:rsidRPr="00A06DF7">
        <w:t>review</w:t>
      </w:r>
      <w:r w:rsidR="00802475" w:rsidRPr="00A06DF7">
        <w:t xml:space="preserve"> of funding</w:t>
      </w:r>
      <w:r w:rsidR="00FA2BD7" w:rsidRPr="00A06DF7">
        <w:t xml:space="preserve"> </w:t>
      </w:r>
      <w:r w:rsidR="00645CF2" w:rsidRPr="00A06DF7">
        <w:t>to</w:t>
      </w:r>
      <w:r w:rsidR="00356E07" w:rsidRPr="00A06DF7">
        <w:t xml:space="preserve"> </w:t>
      </w:r>
      <w:r w:rsidR="00C00A1A" w:rsidRPr="00A06DF7">
        <w:t>establish</w:t>
      </w:r>
      <w:r w:rsidR="00354222" w:rsidRPr="00A06DF7">
        <w:t xml:space="preserve"> whether the current approach to setting the levy is fit for purpose</w:t>
      </w:r>
      <w:r w:rsidR="00C00A1A" w:rsidRPr="00A06DF7">
        <w:t>. We undertook this funding review</w:t>
      </w:r>
      <w:r w:rsidR="007A33DC" w:rsidRPr="00A06DF7">
        <w:t xml:space="preserve"> in the context of</w:t>
      </w:r>
      <w:r w:rsidR="00354222" w:rsidRPr="00A06DF7">
        <w:t xml:space="preserve"> the changes and trends identified in the literature review</w:t>
      </w:r>
      <w:r w:rsidR="00C06198" w:rsidRPr="00A06DF7">
        <w:t xml:space="preserve"> and </w:t>
      </w:r>
      <w:r w:rsidR="00F24585" w:rsidRPr="00A06DF7">
        <w:t>considering</w:t>
      </w:r>
      <w:r w:rsidR="00C06198" w:rsidRPr="00A06DF7">
        <w:t xml:space="preserve"> stakeholder feedback</w:t>
      </w:r>
      <w:r w:rsidR="00354222" w:rsidRPr="00A06DF7">
        <w:t xml:space="preserve">. </w:t>
      </w:r>
    </w:p>
    <w:p w14:paraId="64CB1AED" w14:textId="31BF0C59" w:rsidR="00054BA6" w:rsidRPr="00A06DF7" w:rsidRDefault="000B7C91" w:rsidP="00114F73">
      <w:r>
        <w:t xml:space="preserve">In </w:t>
      </w:r>
      <w:r w:rsidR="00440C73">
        <w:t xml:space="preserve">previous </w:t>
      </w:r>
      <w:r>
        <w:t>section</w:t>
      </w:r>
      <w:r w:rsidR="00AA320E">
        <w:t xml:space="preserve">s </w:t>
      </w:r>
      <w:r w:rsidR="006102E8">
        <w:t xml:space="preserve">we outlined key </w:t>
      </w:r>
      <w:r w:rsidR="009165C2">
        <w:t>industry and cost statistics</w:t>
      </w:r>
      <w:r w:rsidR="006102E8">
        <w:t xml:space="preserve"> and </w:t>
      </w:r>
      <w:r w:rsidR="009165C2">
        <w:t>trends</w:t>
      </w:r>
      <w:r w:rsidR="00617F66">
        <w:t xml:space="preserve">, which indicate </w:t>
      </w:r>
      <w:r w:rsidR="00AF4579">
        <w:t xml:space="preserve">that under the status quo </w:t>
      </w:r>
      <w:r w:rsidR="00D957F9">
        <w:t xml:space="preserve">there will </w:t>
      </w:r>
      <w:r w:rsidR="00F725B8">
        <w:t xml:space="preserve">likely </w:t>
      </w:r>
      <w:r w:rsidR="00D957F9">
        <w:t xml:space="preserve">be ongoing </w:t>
      </w:r>
      <w:r w:rsidR="0090359B">
        <w:t>pressure on harm minimisation service providers</w:t>
      </w:r>
      <w:r w:rsidR="004578FC">
        <w:t xml:space="preserve"> due to the likely increase in harm</w:t>
      </w:r>
      <w:r w:rsidR="00A2127A">
        <w:t>.</w:t>
      </w:r>
      <w:r w:rsidR="0090359B">
        <w:t xml:space="preserve"> </w:t>
      </w:r>
      <w:r w:rsidR="006D57AD">
        <w:t xml:space="preserve">There is, </w:t>
      </w:r>
      <w:r w:rsidR="00334F14">
        <w:t>moreover</w:t>
      </w:r>
      <w:r w:rsidR="006D57AD">
        <w:t xml:space="preserve">, a much larger </w:t>
      </w:r>
      <w:r w:rsidR="00797B83">
        <w:t>set of issues arising from the growth of online gambling.</w:t>
      </w:r>
      <w:r w:rsidR="00054BA6">
        <w:t xml:space="preserve"> Two key themes came through from </w:t>
      </w:r>
      <w:r w:rsidR="00ED15A9">
        <w:t xml:space="preserve">interviewed </w:t>
      </w:r>
      <w:r w:rsidR="00054BA6">
        <w:t>stakeholders:</w:t>
      </w:r>
    </w:p>
    <w:p w14:paraId="5ED4D75A" w14:textId="54C94C4D" w:rsidR="00054BA6" w:rsidRPr="00A06DF7" w:rsidRDefault="00ED15A9" w:rsidP="00054BA6">
      <w:pPr>
        <w:pStyle w:val="Bulleted"/>
        <w:rPr>
          <w:rFonts w:cs="Calibri"/>
        </w:rPr>
      </w:pPr>
      <w:r w:rsidRPr="5192E535">
        <w:rPr>
          <w:rFonts w:cs="Calibri"/>
        </w:rPr>
        <w:t>T</w:t>
      </w:r>
      <w:r w:rsidR="00054BA6" w:rsidRPr="5192E535">
        <w:rPr>
          <w:rFonts w:cs="Calibri"/>
        </w:rPr>
        <w:t>here is a need to review the levy calculations and weightings given changes in the sector in recent years</w:t>
      </w:r>
    </w:p>
    <w:p w14:paraId="26568F0F" w14:textId="17680BAC" w:rsidR="00054BA6" w:rsidRPr="00A06DF7" w:rsidRDefault="00ED15A9" w:rsidP="00054BA6">
      <w:pPr>
        <w:pStyle w:val="Bulleted"/>
        <w:rPr>
          <w:rFonts w:cs="Calibri"/>
        </w:rPr>
      </w:pPr>
      <w:r w:rsidRPr="5192E535">
        <w:rPr>
          <w:rFonts w:cs="Calibri"/>
        </w:rPr>
        <w:t>A</w:t>
      </w:r>
      <w:r w:rsidR="00054BA6" w:rsidRPr="5192E535">
        <w:rPr>
          <w:rFonts w:cs="Calibri"/>
        </w:rPr>
        <w:t xml:space="preserve"> wider policy issue regarding the scope of the requirement to pay the levy and whether this</w:t>
      </w:r>
      <w:r w:rsidR="00E616DE" w:rsidRPr="5192E535">
        <w:rPr>
          <w:rFonts w:cs="Calibri"/>
        </w:rPr>
        <w:t xml:space="preserve"> levy</w:t>
      </w:r>
      <w:r w:rsidR="00054BA6" w:rsidRPr="5192E535">
        <w:rPr>
          <w:rFonts w:cs="Calibri"/>
        </w:rPr>
        <w:t xml:space="preserve"> should apply to offshore-based online gambling websites.</w:t>
      </w:r>
    </w:p>
    <w:p w14:paraId="14EE50E6" w14:textId="15FD4164" w:rsidR="00791564" w:rsidRPr="00A06DF7" w:rsidRDefault="00356F6B" w:rsidP="00114F73">
      <w:r w:rsidRPr="00A06DF7">
        <w:t>Below</w:t>
      </w:r>
      <w:r w:rsidR="00617F66" w:rsidRPr="00A06DF7">
        <w:rPr>
          <w:bCs/>
        </w:rPr>
        <w:t>,</w:t>
      </w:r>
      <w:r w:rsidRPr="00A06DF7">
        <w:t xml:space="preserve"> we </w:t>
      </w:r>
      <w:r w:rsidR="00CE2FC9" w:rsidRPr="00A06DF7">
        <w:t>set out</w:t>
      </w:r>
      <w:r w:rsidR="009165C2" w:rsidRPr="00A06DF7">
        <w:t xml:space="preserve"> the organisational arrangements </w:t>
      </w:r>
      <w:r w:rsidR="0071259F" w:rsidRPr="00A06DF7">
        <w:t>for</w:t>
      </w:r>
      <w:r w:rsidR="009165C2" w:rsidRPr="00A06DF7">
        <w:t xml:space="preserve"> the funding </w:t>
      </w:r>
      <w:r w:rsidR="0071259F" w:rsidRPr="00A06DF7">
        <w:t>of the levy</w:t>
      </w:r>
      <w:r w:rsidR="00427DCA" w:rsidRPr="00A06DF7">
        <w:t>; and</w:t>
      </w:r>
      <w:r w:rsidR="00E457B9" w:rsidRPr="00A06DF7">
        <w:t xml:space="preserve"> then consider </w:t>
      </w:r>
      <w:r w:rsidR="00CB2B6F" w:rsidRPr="00A06DF7">
        <w:t>t</w:t>
      </w:r>
      <w:r w:rsidR="0071259F" w:rsidRPr="00A06DF7">
        <w:t>wo</w:t>
      </w:r>
      <w:r w:rsidR="00CB2B6F" w:rsidRPr="00A06DF7">
        <w:t xml:space="preserve"> possible future scenario</w:t>
      </w:r>
      <w:r w:rsidR="007A43E6" w:rsidRPr="00A06DF7">
        <w:t xml:space="preserve">s </w:t>
      </w:r>
      <w:r w:rsidR="00C07DAA" w:rsidRPr="00A06DF7">
        <w:t>considering</w:t>
      </w:r>
      <w:r w:rsidR="0080203C" w:rsidRPr="00A06DF7">
        <w:t xml:space="preserve"> the</w:t>
      </w:r>
      <w:r w:rsidR="00624554" w:rsidRPr="00A06DF7">
        <w:t xml:space="preserve"> </w:t>
      </w:r>
      <w:r w:rsidR="00D75FE1" w:rsidRPr="00A06DF7">
        <w:t xml:space="preserve">trends and growth of online </w:t>
      </w:r>
      <w:r w:rsidR="00824A47" w:rsidRPr="00A06DF7">
        <w:t>gambling</w:t>
      </w:r>
      <w:r w:rsidR="00E1657A" w:rsidRPr="00A06DF7">
        <w:t xml:space="preserve">. We </w:t>
      </w:r>
      <w:r w:rsidR="00C07DAA" w:rsidRPr="00A06DF7">
        <w:t>set out</w:t>
      </w:r>
      <w:r w:rsidR="00624554" w:rsidRPr="00A06DF7">
        <w:t xml:space="preserve"> the </w:t>
      </w:r>
      <w:r w:rsidR="00384487" w:rsidRPr="00A06DF7">
        <w:t xml:space="preserve">funding </w:t>
      </w:r>
      <w:r w:rsidR="00617F66" w:rsidRPr="00A06DF7">
        <w:t>implications of these</w:t>
      </w:r>
      <w:r w:rsidR="00C07DAA" w:rsidRPr="00A06DF7">
        <w:t xml:space="preserve"> two scenarios</w:t>
      </w:r>
      <w:r w:rsidR="00617F66" w:rsidRPr="00A06DF7">
        <w:t>.</w:t>
      </w:r>
    </w:p>
    <w:p w14:paraId="1FA88355" w14:textId="0C7EA8D4" w:rsidR="00F33600" w:rsidRPr="00A06DF7" w:rsidRDefault="00F33600" w:rsidP="00114F73">
      <w:r w:rsidRPr="00A06DF7">
        <w:t>We note that</w:t>
      </w:r>
      <w:r w:rsidR="00911A0F" w:rsidRPr="00A06DF7">
        <w:t xml:space="preserve"> </w:t>
      </w:r>
      <w:r w:rsidR="00C07DAA" w:rsidRPr="00A06DF7">
        <w:t>several of</w:t>
      </w:r>
      <w:r w:rsidR="00911A0F" w:rsidRPr="00A06DF7">
        <w:t xml:space="preserve"> the features and processes of the levy are heavily prescribed in legislation and </w:t>
      </w:r>
      <w:r w:rsidR="004A0AE4" w:rsidRPr="00A06DF7">
        <w:t xml:space="preserve">go through a </w:t>
      </w:r>
      <w:r w:rsidR="00242CC8" w:rsidRPr="00A06DF7">
        <w:t>several-</w:t>
      </w:r>
      <w:r w:rsidR="0061519A" w:rsidRPr="00A06DF7">
        <w:t>stage</w:t>
      </w:r>
      <w:r w:rsidR="004A0AE4" w:rsidRPr="00A06DF7">
        <w:t xml:space="preserve"> process before being set in regulation.</w:t>
      </w:r>
      <w:r w:rsidR="007A20DA" w:rsidRPr="00A06DF7">
        <w:t xml:space="preserve"> </w:t>
      </w:r>
      <w:r w:rsidR="00D67875" w:rsidRPr="00A06DF7">
        <w:t>Any significant change would likely require legislative amendment.</w:t>
      </w:r>
      <w:r w:rsidR="007A20DA" w:rsidRPr="00A06DF7">
        <w:t xml:space="preserve"> </w:t>
      </w:r>
    </w:p>
    <w:p w14:paraId="34BBCE51" w14:textId="04C5A024" w:rsidR="0018089B" w:rsidRPr="00A06DF7" w:rsidRDefault="0018089B" w:rsidP="00BD1050">
      <w:pPr>
        <w:pStyle w:val="Heading6"/>
        <w:rPr>
          <w:rFonts w:cs="Calibri"/>
          <w:bCs/>
        </w:rPr>
      </w:pPr>
      <w:bookmarkStart w:id="208" w:name="_Toc158892093"/>
      <w:bookmarkStart w:id="209" w:name="_Toc166507406"/>
      <w:bookmarkEnd w:id="208"/>
      <w:r w:rsidRPr="00A06DF7">
        <w:rPr>
          <w:rFonts w:cs="Calibri"/>
          <w:bCs/>
        </w:rPr>
        <w:t xml:space="preserve">Current </w:t>
      </w:r>
      <w:r w:rsidR="00D533CA" w:rsidRPr="00A06DF7">
        <w:rPr>
          <w:rFonts w:cs="Calibri"/>
          <w:bCs/>
        </w:rPr>
        <w:t>approach to setting the levy</w:t>
      </w:r>
      <w:bookmarkEnd w:id="209"/>
    </w:p>
    <w:p w14:paraId="25FD5D98" w14:textId="7EBF62BC" w:rsidR="00E82540" w:rsidRPr="00A06DF7" w:rsidRDefault="00F21E75" w:rsidP="00BD1050">
      <w:pPr>
        <w:rPr>
          <w:rFonts w:cs="Calibri"/>
        </w:rPr>
      </w:pPr>
      <w:r w:rsidRPr="00A06DF7">
        <w:rPr>
          <w:rFonts w:cs="Calibri"/>
        </w:rPr>
        <w:t>P</w:t>
      </w:r>
      <w:r w:rsidR="00E82540" w:rsidRPr="00A06DF7">
        <w:rPr>
          <w:rFonts w:cs="Calibri"/>
        </w:rPr>
        <w:t>roblem gambling services are funded through a levy on the profits made by gambling operators.</w:t>
      </w:r>
      <w:r w:rsidR="00C51151" w:rsidRPr="00A06DF7">
        <w:rPr>
          <w:rFonts w:cs="Calibri"/>
        </w:rPr>
        <w:t xml:space="preserve"> </w:t>
      </w:r>
      <w:r w:rsidR="00E82540" w:rsidRPr="00A06DF7">
        <w:rPr>
          <w:rFonts w:cs="Calibri"/>
        </w:rPr>
        <w:t xml:space="preserve">The levy is set every three years following consultation on the Ministry’s </w:t>
      </w:r>
      <w:r w:rsidR="00ED15A9" w:rsidRPr="00A06DF7">
        <w:rPr>
          <w:rFonts w:cs="Calibri"/>
        </w:rPr>
        <w:t>n</w:t>
      </w:r>
      <w:r w:rsidR="00E82540" w:rsidRPr="00A06DF7">
        <w:rPr>
          <w:rFonts w:cs="Calibri"/>
        </w:rPr>
        <w:t>eeds assessment, strategy, and service plan.</w:t>
      </w:r>
      <w:r w:rsidRPr="00A06DF7">
        <w:rPr>
          <w:rFonts w:cs="Calibri"/>
        </w:rPr>
        <w:t xml:space="preserve"> </w:t>
      </w:r>
      <w:r w:rsidR="00E82540" w:rsidRPr="00A06DF7">
        <w:rPr>
          <w:rFonts w:cs="Calibri"/>
        </w:rPr>
        <w:t xml:space="preserve">The Ministry presents its recommendations to Ministers of Health and Internal Affairs. These </w:t>
      </w:r>
      <w:r w:rsidR="00C51151" w:rsidRPr="00A06DF7">
        <w:rPr>
          <w:rFonts w:cs="Calibri"/>
        </w:rPr>
        <w:t xml:space="preserve">three </w:t>
      </w:r>
      <w:r w:rsidR="00E82540" w:rsidRPr="00A06DF7">
        <w:rPr>
          <w:rFonts w:cs="Calibri"/>
        </w:rPr>
        <w:t>pieces of work are then presented, along with the proposed levy rates for industry sectors, to the Gambling Commission.</w:t>
      </w:r>
    </w:p>
    <w:p w14:paraId="03FC5BD3" w14:textId="484CD185" w:rsidR="00E82540" w:rsidRPr="00A06DF7" w:rsidRDefault="00E82540" w:rsidP="00BD1050">
      <w:pPr>
        <w:rPr>
          <w:rFonts w:cs="Calibri"/>
        </w:rPr>
      </w:pPr>
      <w:r w:rsidRPr="00A06DF7">
        <w:rPr>
          <w:rFonts w:cs="Calibri"/>
        </w:rPr>
        <w:t>The Commission then makes its own recommendations on the problem gambling levy amount and rates to the Ministers of Health and Internal Affairs, who have the final decision on what rates to propose to Cabinet.</w:t>
      </w:r>
      <w:r w:rsidR="00C164F9" w:rsidRPr="00A06DF7">
        <w:rPr>
          <w:rFonts w:cs="Calibri"/>
        </w:rPr>
        <w:t xml:space="preserve"> </w:t>
      </w:r>
      <w:r w:rsidR="004C7E7E" w:rsidRPr="00A06DF7">
        <w:rPr>
          <w:rFonts w:cs="Calibri"/>
        </w:rPr>
        <w:t>The fin</w:t>
      </w:r>
      <w:r w:rsidR="00FB2061" w:rsidRPr="00A06DF7">
        <w:rPr>
          <w:rFonts w:cs="Calibri"/>
        </w:rPr>
        <w:t xml:space="preserve">al levy amounts are </w:t>
      </w:r>
      <w:r w:rsidR="009079DC" w:rsidRPr="00A06DF7">
        <w:rPr>
          <w:rFonts w:cs="Calibri"/>
        </w:rPr>
        <w:t xml:space="preserve">decided by Cabinet and set in regulation and </w:t>
      </w:r>
      <w:r w:rsidR="00BA4611" w:rsidRPr="00A06DF7">
        <w:rPr>
          <w:rFonts w:cs="Calibri"/>
        </w:rPr>
        <w:t>gazetted</w:t>
      </w:r>
      <w:r w:rsidR="009079DC" w:rsidRPr="00A06DF7">
        <w:rPr>
          <w:rFonts w:cs="Calibri"/>
        </w:rPr>
        <w:t xml:space="preserve"> pursuant to section 319 of the </w:t>
      </w:r>
      <w:r w:rsidR="00EE5DB5" w:rsidRPr="00A06DF7">
        <w:rPr>
          <w:rFonts w:cs="Calibri"/>
        </w:rPr>
        <w:t xml:space="preserve">Act </w:t>
      </w:r>
      <w:r w:rsidR="00FB2061" w:rsidRPr="00A06DF7">
        <w:rPr>
          <w:rFonts w:cs="Calibri"/>
        </w:rPr>
        <w:t>for the relevant period.</w:t>
      </w:r>
    </w:p>
    <w:p w14:paraId="056441FB" w14:textId="543FDEBB" w:rsidR="00E82540" w:rsidRPr="00A06DF7" w:rsidRDefault="00CC0894" w:rsidP="00BD1050">
      <w:pPr>
        <w:rPr>
          <w:rFonts w:cs="Calibri"/>
        </w:rPr>
      </w:pPr>
      <w:r w:rsidRPr="00A06DF7">
        <w:rPr>
          <w:rFonts w:cs="Calibri"/>
        </w:rPr>
        <w:t>The levy is set with the formula used for calculating the levy rates for each sector specified by the Act. The levy is calculated using rates of player expenditure (losses) and rates of people receiving problem gambling services for each gambling subsector. The levy is collected on the profits of New Zealand’s four main gambling operators: gaming machines in pubs and clubs</w:t>
      </w:r>
      <w:r w:rsidR="007702CE" w:rsidRPr="00A06DF7">
        <w:rPr>
          <w:rFonts w:cs="Calibri"/>
        </w:rPr>
        <w:t xml:space="preserve"> (Class 4)</w:t>
      </w:r>
      <w:r w:rsidRPr="00A06DF7">
        <w:rPr>
          <w:rFonts w:cs="Calibri"/>
        </w:rPr>
        <w:t>, casinos, TAB NZ and the New Zealand Lotteries Commission.</w:t>
      </w:r>
    </w:p>
    <w:p w14:paraId="3D75A958" w14:textId="460EAF03" w:rsidR="00C7694D" w:rsidRPr="00A06DF7" w:rsidRDefault="0055233C" w:rsidP="0055233C">
      <w:pPr>
        <w:rPr>
          <w:rFonts w:cs="Calibri"/>
        </w:rPr>
      </w:pPr>
      <w:r w:rsidRPr="00A06DF7">
        <w:rPr>
          <w:rFonts w:cs="Calibri"/>
        </w:rPr>
        <w:lastRenderedPageBreak/>
        <w:t xml:space="preserve">The current regime is </w:t>
      </w:r>
      <w:r w:rsidR="00A420A4" w:rsidRPr="00A06DF7">
        <w:rPr>
          <w:rFonts w:cs="Calibri"/>
        </w:rPr>
        <w:t>exclusive</w:t>
      </w:r>
      <w:r w:rsidR="00E40A66" w:rsidRPr="00A06DF7">
        <w:rPr>
          <w:rFonts w:cs="Calibri"/>
        </w:rPr>
        <w:t>;</w:t>
      </w:r>
      <w:r w:rsidR="009079DC" w:rsidRPr="00A06DF7">
        <w:rPr>
          <w:rFonts w:cs="Calibri"/>
        </w:rPr>
        <w:t xml:space="preserve"> there is an absolute prohibition on any more casinos, and</w:t>
      </w:r>
      <w:r w:rsidR="00E40A66" w:rsidRPr="00A06DF7">
        <w:rPr>
          <w:rFonts w:cs="Calibri"/>
        </w:rPr>
        <w:t xml:space="preserve"> </w:t>
      </w:r>
      <w:r w:rsidR="00DF685E" w:rsidRPr="00A06DF7">
        <w:rPr>
          <w:rFonts w:cs="Calibri"/>
        </w:rPr>
        <w:t>the status quo is that it</w:t>
      </w:r>
      <w:r w:rsidR="00E40A66" w:rsidRPr="00A06DF7">
        <w:rPr>
          <w:rFonts w:cs="Calibri"/>
        </w:rPr>
        <w:t xml:space="preserve"> is not legal to provide land-based gambling services within New Zealand without</w:t>
      </w:r>
      <w:r w:rsidR="008C5690" w:rsidRPr="00A06DF7">
        <w:rPr>
          <w:rFonts w:cs="Calibri"/>
        </w:rPr>
        <w:t xml:space="preserve"> </w:t>
      </w:r>
      <w:r w:rsidR="007C4D65" w:rsidRPr="00A06DF7">
        <w:rPr>
          <w:rFonts w:cs="Calibri"/>
        </w:rPr>
        <w:t xml:space="preserve">statutory permission (section </w:t>
      </w:r>
      <w:r w:rsidR="00F05744" w:rsidRPr="00A06DF7">
        <w:rPr>
          <w:rFonts w:cs="Calibri"/>
        </w:rPr>
        <w:t>9 of the Act)</w:t>
      </w:r>
      <w:r w:rsidR="008C5690" w:rsidRPr="00A06DF7">
        <w:rPr>
          <w:rFonts w:cs="Calibri"/>
        </w:rPr>
        <w:t>.</w:t>
      </w:r>
      <w:r w:rsidR="00FB2061" w:rsidRPr="00A06DF7">
        <w:rPr>
          <w:rFonts w:cs="Calibri"/>
        </w:rPr>
        <w:t xml:space="preserve"> Only operators </w:t>
      </w:r>
      <w:r w:rsidR="00A506CC" w:rsidRPr="00A06DF7">
        <w:rPr>
          <w:rFonts w:cs="Calibri"/>
        </w:rPr>
        <w:t>that comply with the provisions of</w:t>
      </w:r>
      <w:r w:rsidR="00FB2061" w:rsidRPr="00A06DF7">
        <w:rPr>
          <w:rFonts w:cs="Calibri"/>
        </w:rPr>
        <w:t xml:space="preserve"> the Act </w:t>
      </w:r>
      <w:r w:rsidR="00432901" w:rsidRPr="00A06DF7">
        <w:rPr>
          <w:rFonts w:cs="Calibri"/>
        </w:rPr>
        <w:t>can</w:t>
      </w:r>
      <w:r w:rsidR="00FB2061" w:rsidRPr="00A06DF7">
        <w:rPr>
          <w:rFonts w:cs="Calibri"/>
        </w:rPr>
        <w:t xml:space="preserve"> operate gambling</w:t>
      </w:r>
      <w:r w:rsidR="003F109F" w:rsidRPr="00A06DF7">
        <w:rPr>
          <w:rFonts w:cs="Calibri"/>
        </w:rPr>
        <w:t xml:space="preserve"> services based in New Zealand.</w:t>
      </w:r>
    </w:p>
    <w:p w14:paraId="6EE9452D" w14:textId="6DF33C01" w:rsidR="003F109F" w:rsidRPr="00A06DF7" w:rsidRDefault="007D1471" w:rsidP="007D1471">
      <w:pPr>
        <w:pStyle w:val="Heading6"/>
        <w:rPr>
          <w:rFonts w:cs="Calibri"/>
          <w:bCs/>
        </w:rPr>
      </w:pPr>
      <w:bookmarkStart w:id="210" w:name="_Ref157760634"/>
      <w:bookmarkStart w:id="211" w:name="_Toc166507407"/>
      <w:r w:rsidRPr="00A06DF7">
        <w:rPr>
          <w:rFonts w:cs="Calibri"/>
          <w:bCs/>
        </w:rPr>
        <w:t>Online gambling</w:t>
      </w:r>
      <w:bookmarkEnd w:id="210"/>
      <w:bookmarkEnd w:id="211"/>
    </w:p>
    <w:p w14:paraId="099B0FCC" w14:textId="24A4B34A" w:rsidR="00C605BC" w:rsidRPr="00A06DF7" w:rsidRDefault="003F672D" w:rsidP="007D1471">
      <w:pPr>
        <w:rPr>
          <w:rFonts w:cs="Calibri"/>
        </w:rPr>
      </w:pPr>
      <w:r w:rsidRPr="00A06DF7">
        <w:rPr>
          <w:rFonts w:cs="Calibri"/>
        </w:rPr>
        <w:t xml:space="preserve">The following is subject to the </w:t>
      </w:r>
      <w:r w:rsidR="00C605BC" w:rsidRPr="00A06DF7">
        <w:rPr>
          <w:rFonts w:cs="Calibri"/>
        </w:rPr>
        <w:t xml:space="preserve">announcement on 14 March </w:t>
      </w:r>
      <w:r w:rsidR="00D923A8" w:rsidRPr="00A06DF7">
        <w:rPr>
          <w:rFonts w:cs="Calibri"/>
        </w:rPr>
        <w:t xml:space="preserve">2024 </w:t>
      </w:r>
      <w:r w:rsidR="00C605BC" w:rsidRPr="00A06DF7">
        <w:rPr>
          <w:rFonts w:cs="Calibri"/>
        </w:rPr>
        <w:t>that the Government will take steps to regulate online gambling.</w:t>
      </w:r>
    </w:p>
    <w:p w14:paraId="3F82EC4C" w14:textId="3C5CDBCF" w:rsidR="007D1471" w:rsidRPr="00A06DF7" w:rsidRDefault="007D1471" w:rsidP="007D1471">
      <w:pPr>
        <w:rPr>
          <w:rFonts w:cs="Calibri"/>
        </w:rPr>
      </w:pPr>
      <w:r w:rsidRPr="00A06DF7">
        <w:rPr>
          <w:rFonts w:cs="Calibri"/>
        </w:rPr>
        <w:t xml:space="preserve">Online gambling is </w:t>
      </w:r>
      <w:r w:rsidR="00C605BC" w:rsidRPr="00A06DF7">
        <w:rPr>
          <w:rFonts w:cs="Calibri"/>
        </w:rPr>
        <w:t xml:space="preserve">currently </w:t>
      </w:r>
      <w:r w:rsidRPr="00A06DF7">
        <w:rPr>
          <w:rFonts w:cs="Calibri"/>
        </w:rPr>
        <w:t xml:space="preserve">prohibited to be provided </w:t>
      </w:r>
      <w:r w:rsidR="00150B35" w:rsidRPr="00A06DF7">
        <w:rPr>
          <w:rFonts w:cs="Calibri"/>
        </w:rPr>
        <w:t xml:space="preserve">by a provider </w:t>
      </w:r>
      <w:r w:rsidRPr="00A06DF7">
        <w:rPr>
          <w:rFonts w:cs="Calibri"/>
        </w:rPr>
        <w:t xml:space="preserve">based in New Zealand, </w:t>
      </w:r>
      <w:r w:rsidR="003576F6" w:rsidRPr="00A06DF7">
        <w:rPr>
          <w:rFonts w:cs="Calibri"/>
        </w:rPr>
        <w:t>except for</w:t>
      </w:r>
      <w:r w:rsidRPr="00A06DF7">
        <w:rPr>
          <w:rFonts w:cs="Calibri"/>
        </w:rPr>
        <w:t xml:space="preserve"> the New Zealand Lotteries Commission (TAB NZ) </w:t>
      </w:r>
      <w:r w:rsidR="00CB204D" w:rsidRPr="00A06DF7">
        <w:rPr>
          <w:rFonts w:cs="Calibri"/>
        </w:rPr>
        <w:t>and Lotto NZ</w:t>
      </w:r>
      <w:r w:rsidR="00E5202B" w:rsidRPr="00A06DF7">
        <w:rPr>
          <w:rFonts w:cs="Calibri"/>
        </w:rPr>
        <w:t xml:space="preserve"> (</w:t>
      </w:r>
      <w:r w:rsidR="004D168B" w:rsidRPr="00A06DF7">
        <w:rPr>
          <w:rFonts w:cs="Calibri"/>
        </w:rPr>
        <w:t>section 9(1)(b) of the Act</w:t>
      </w:r>
      <w:r w:rsidR="00EC3047" w:rsidRPr="00A06DF7">
        <w:rPr>
          <w:rFonts w:cs="Calibri"/>
        </w:rPr>
        <w:t>).</w:t>
      </w:r>
    </w:p>
    <w:p w14:paraId="61BE3494" w14:textId="5169663F" w:rsidR="00CB7FBD" w:rsidRPr="00A06DF7" w:rsidRDefault="004B06B2" w:rsidP="00F00FBB">
      <w:pPr>
        <w:rPr>
          <w:rFonts w:cs="Calibri"/>
        </w:rPr>
      </w:pPr>
      <w:r w:rsidRPr="00A06DF7">
        <w:rPr>
          <w:rFonts w:cs="Calibri"/>
        </w:rPr>
        <w:t>W</w:t>
      </w:r>
      <w:r w:rsidR="00F00FBB" w:rsidRPr="00A06DF7">
        <w:rPr>
          <w:rFonts w:cs="Calibri"/>
        </w:rPr>
        <w:t>hile it is illegal for online gambling to be provided domestically, except by authorised providers (Lotto NZ and TAB</w:t>
      </w:r>
      <w:r w:rsidR="00EC6680" w:rsidRPr="00A06DF7">
        <w:rPr>
          <w:rFonts w:cs="Calibri"/>
        </w:rPr>
        <w:t xml:space="preserve"> NZ</w:t>
      </w:r>
      <w:r w:rsidR="00F00FBB" w:rsidRPr="00A06DF7">
        <w:rPr>
          <w:rFonts w:cs="Calibri"/>
        </w:rPr>
        <w:t>), it is legal for New Zealanders to gamble on offshore</w:t>
      </w:r>
      <w:r w:rsidR="00844762" w:rsidRPr="00A06DF7">
        <w:rPr>
          <w:rFonts w:cs="Calibri"/>
        </w:rPr>
        <w:t>-based</w:t>
      </w:r>
      <w:r w:rsidR="00F00FBB" w:rsidRPr="00A06DF7">
        <w:rPr>
          <w:rFonts w:cs="Calibri"/>
        </w:rPr>
        <w:t xml:space="preserve"> websites</w:t>
      </w:r>
      <w:r w:rsidR="00B66BA2" w:rsidRPr="00A06DF7">
        <w:rPr>
          <w:rFonts w:cs="Calibri"/>
        </w:rPr>
        <w:t xml:space="preserve"> (section 2, definition of “remote interactive gambling”</w:t>
      </w:r>
      <w:r w:rsidR="005F5225" w:rsidRPr="00A06DF7">
        <w:rPr>
          <w:rFonts w:cs="Calibri"/>
        </w:rPr>
        <w:t xml:space="preserve">, subsection </w:t>
      </w:r>
      <w:r w:rsidR="00080B21" w:rsidRPr="00A06DF7">
        <w:rPr>
          <w:rFonts w:cs="Calibri"/>
        </w:rPr>
        <w:t>(b)(iii)</w:t>
      </w:r>
      <w:r w:rsidR="009D1559" w:rsidRPr="00A06DF7">
        <w:rPr>
          <w:rFonts w:cs="Calibri"/>
        </w:rPr>
        <w:t xml:space="preserve"> in the Act</w:t>
      </w:r>
      <w:r w:rsidR="00B66BA2" w:rsidRPr="00A06DF7">
        <w:rPr>
          <w:rFonts w:cs="Calibri"/>
        </w:rPr>
        <w:t>)</w:t>
      </w:r>
      <w:r w:rsidR="00F00FBB" w:rsidRPr="00A06DF7">
        <w:rPr>
          <w:rFonts w:cs="Calibri"/>
        </w:rPr>
        <w:t xml:space="preserve">. </w:t>
      </w:r>
    </w:p>
    <w:p w14:paraId="45F45B5F" w14:textId="67E26AA5" w:rsidR="00903395" w:rsidRPr="00A06DF7" w:rsidRDefault="00F00FBB" w:rsidP="00FB3D6A">
      <w:pPr>
        <w:rPr>
          <w:rFonts w:cs="Calibri"/>
        </w:rPr>
      </w:pPr>
      <w:r w:rsidRPr="00A06DF7">
        <w:rPr>
          <w:rFonts w:cs="Calibri"/>
        </w:rPr>
        <w:t>Offshore</w:t>
      </w:r>
      <w:r w:rsidR="001B3BEA" w:rsidRPr="00A06DF7">
        <w:rPr>
          <w:rFonts w:cs="Calibri"/>
        </w:rPr>
        <w:t>-based</w:t>
      </w:r>
      <w:r w:rsidRPr="00A06DF7">
        <w:rPr>
          <w:rFonts w:cs="Calibri"/>
        </w:rPr>
        <w:t xml:space="preserve"> gambling websites </w:t>
      </w:r>
      <w:r w:rsidR="00DE6332" w:rsidRPr="00A06DF7">
        <w:rPr>
          <w:rFonts w:cs="Calibri"/>
        </w:rPr>
        <w:t>are not</w:t>
      </w:r>
      <w:r w:rsidRPr="00A06DF7">
        <w:rPr>
          <w:rFonts w:cs="Calibri"/>
        </w:rPr>
        <w:t xml:space="preserve"> regulated</w:t>
      </w:r>
      <w:r w:rsidR="00581394" w:rsidRPr="00A06DF7">
        <w:rPr>
          <w:rFonts w:cs="Calibri"/>
        </w:rPr>
        <w:t xml:space="preserve"> in New Zealand</w:t>
      </w:r>
      <w:r w:rsidRPr="00A06DF7">
        <w:rPr>
          <w:rFonts w:cs="Calibri"/>
        </w:rPr>
        <w:t xml:space="preserve"> and </w:t>
      </w:r>
      <w:r w:rsidR="00BB0A18" w:rsidRPr="00A06DF7">
        <w:rPr>
          <w:rFonts w:cs="Calibri"/>
        </w:rPr>
        <w:t xml:space="preserve">have variable or </w:t>
      </w:r>
      <w:r w:rsidR="00FB363E" w:rsidRPr="00A06DF7">
        <w:rPr>
          <w:rFonts w:cs="Calibri"/>
        </w:rPr>
        <w:t>few</w:t>
      </w:r>
      <w:r w:rsidRPr="00A06DF7">
        <w:rPr>
          <w:rFonts w:cs="Calibri"/>
        </w:rPr>
        <w:t xml:space="preserve"> harm minimisation mechanisms in place to protect players. In addition, unlike domestic gambling, offshore</w:t>
      </w:r>
      <w:r w:rsidR="000137B8" w:rsidRPr="00A06DF7">
        <w:rPr>
          <w:rFonts w:cs="Calibri"/>
        </w:rPr>
        <w:t>-based</w:t>
      </w:r>
      <w:r w:rsidRPr="00A06DF7">
        <w:rPr>
          <w:rFonts w:cs="Calibri"/>
        </w:rPr>
        <w:t xml:space="preserve"> online gambling provides little to no return to New Zealand communities</w:t>
      </w:r>
      <w:r w:rsidR="006B593C" w:rsidRPr="00A06DF7">
        <w:rPr>
          <w:rStyle w:val="FootnoteReference"/>
          <w:rFonts w:cs="Calibri"/>
        </w:rPr>
        <w:footnoteReference w:id="26"/>
      </w:r>
      <w:r w:rsidRPr="00A06DF7">
        <w:rPr>
          <w:rFonts w:cs="Calibri"/>
        </w:rPr>
        <w:t>.</w:t>
      </w:r>
      <w:r w:rsidR="00BB6A3F" w:rsidRPr="00A06DF7">
        <w:rPr>
          <w:rFonts w:cs="Calibri"/>
        </w:rPr>
        <w:t xml:space="preserve"> Regulus estimated </w:t>
      </w:r>
      <w:r w:rsidR="00E269E5" w:rsidRPr="00A06DF7">
        <w:rPr>
          <w:rFonts w:cs="Calibri"/>
        </w:rPr>
        <w:t xml:space="preserve">New Zealanders </w:t>
      </w:r>
      <w:r w:rsidR="005527EC" w:rsidRPr="00A06DF7">
        <w:rPr>
          <w:rFonts w:cs="Calibri"/>
        </w:rPr>
        <w:t xml:space="preserve">spent </w:t>
      </w:r>
      <w:r w:rsidR="004B312A" w:rsidRPr="00A06DF7">
        <w:rPr>
          <w:rFonts w:cs="Calibri"/>
        </w:rPr>
        <w:t>NZ</w:t>
      </w:r>
      <w:r w:rsidR="00B24176" w:rsidRPr="00A06DF7">
        <w:rPr>
          <w:rFonts w:cs="Calibri"/>
        </w:rPr>
        <w:t>$</w:t>
      </w:r>
      <w:r w:rsidR="005527EC" w:rsidRPr="00A06DF7">
        <w:rPr>
          <w:rFonts w:cs="Calibri"/>
        </w:rPr>
        <w:t>332.6</w:t>
      </w:r>
      <w:r w:rsidR="004B312A" w:rsidRPr="00A06DF7">
        <w:rPr>
          <w:rFonts w:cs="Calibri"/>
        </w:rPr>
        <w:t xml:space="preserve"> million</w:t>
      </w:r>
      <w:r w:rsidR="005527EC" w:rsidRPr="00A06DF7">
        <w:rPr>
          <w:rFonts w:cs="Calibri"/>
        </w:rPr>
        <w:t xml:space="preserve"> on </w:t>
      </w:r>
      <w:r w:rsidR="005C447B" w:rsidRPr="00A06DF7">
        <w:rPr>
          <w:rFonts w:cs="Calibri"/>
        </w:rPr>
        <w:t xml:space="preserve">offshore-based </w:t>
      </w:r>
      <w:r w:rsidR="005527EC" w:rsidRPr="00A06DF7">
        <w:rPr>
          <w:rFonts w:cs="Calibri"/>
        </w:rPr>
        <w:t xml:space="preserve">gambling sites in 2022 </w:t>
      </w:r>
      <w:r w:rsidR="007D61A5" w:rsidRPr="00A06DF7">
        <w:rPr>
          <w:rFonts w:cs="Calibri"/>
        </w:rPr>
        <w:t xml:space="preserve">(see </w:t>
      </w:r>
      <w:r w:rsidR="00210B35" w:rsidRPr="00A06DF7">
        <w:rPr>
          <w:rFonts w:cs="Calibri"/>
        </w:rPr>
        <w:t xml:space="preserve">section </w:t>
      </w:r>
      <w:r w:rsidR="007D61A5" w:rsidRPr="00A06DF7">
        <w:rPr>
          <w:rFonts w:cs="Calibri"/>
        </w:rPr>
        <w:fldChar w:fldCharType="begin"/>
      </w:r>
      <w:r w:rsidR="007D61A5" w:rsidRPr="00A06DF7">
        <w:rPr>
          <w:rFonts w:cs="Calibri"/>
        </w:rPr>
        <w:instrText xml:space="preserve"> REF _Ref156466586 \r \h </w:instrText>
      </w:r>
      <w:r w:rsidR="00A06DF7">
        <w:rPr>
          <w:rFonts w:cs="Calibri"/>
        </w:rPr>
        <w:instrText xml:space="preserve"> \* MERGEFORMAT </w:instrText>
      </w:r>
      <w:r w:rsidR="007D61A5" w:rsidRPr="00A06DF7">
        <w:rPr>
          <w:rFonts w:cs="Calibri"/>
        </w:rPr>
      </w:r>
      <w:r w:rsidR="007D61A5" w:rsidRPr="00A06DF7">
        <w:rPr>
          <w:rFonts w:cs="Calibri"/>
        </w:rPr>
        <w:fldChar w:fldCharType="separate"/>
      </w:r>
      <w:r w:rsidR="004F4DA7">
        <w:rPr>
          <w:rFonts w:cs="Calibri"/>
        </w:rPr>
        <w:t>3.4</w:t>
      </w:r>
      <w:r w:rsidR="007D61A5" w:rsidRPr="00A06DF7">
        <w:rPr>
          <w:rFonts w:cs="Calibri"/>
        </w:rPr>
        <w:fldChar w:fldCharType="end"/>
      </w:r>
      <w:r w:rsidR="007D61A5" w:rsidRPr="00A06DF7">
        <w:rPr>
          <w:rFonts w:cs="Calibri"/>
        </w:rPr>
        <w:t xml:space="preserve">) </w:t>
      </w:r>
      <w:r w:rsidR="007D61A5" w:rsidRPr="00A06DF7">
        <w:rPr>
          <w:rFonts w:cs="Calibri"/>
        </w:rPr>
        <w:fldChar w:fldCharType="begin"/>
      </w:r>
      <w:r w:rsidR="00715B07" w:rsidRPr="00A06DF7">
        <w:rPr>
          <w:rFonts w:cs="Calibri"/>
        </w:rPr>
        <w:instrText xml:space="preserve"> ADDIN ZOTERO_ITEM CSL_CITATION {"citationID":"NC90ZnCb","properties":{"formattedCitation":"(Bevin, 2022)","plainCitation":"(Bevin, 2022)","noteIndex":0},"citationItems":[{"id":1535,"uris":["http://zotero.org/users/11111291/items/6C3T86E9"],"itemData":{"id":1535,"type":"webpage","abstract":"A lack of regulation has made NZ an easy target for online gambling providers, with estimated spending jumping from $139.3m in 2014 to $332.6m in 2020.","container-title":"Newsroom","language":"en-US","title":"Online gambling products 'aggressively' targeting NZ","URL":"http://newsroom.co.nz/2022/10/10/online-gambling-aggressively-targeting-new-zealand/","author":[{"family":"Bevin","given":"Andrew"}],"accessed":{"date-parts":[["2024",1,30]]},"issued":{"date-parts":[["2022",10,10]]}}}],"schema":"https://github.com/citation-style-language/schema/raw/master/csl-citation.json"} </w:instrText>
      </w:r>
      <w:r w:rsidR="007D61A5" w:rsidRPr="00A06DF7">
        <w:rPr>
          <w:rFonts w:cs="Calibri"/>
        </w:rPr>
        <w:fldChar w:fldCharType="separate"/>
      </w:r>
      <w:r w:rsidR="007D61A5" w:rsidRPr="00A06DF7">
        <w:rPr>
          <w:rFonts w:cs="Calibri"/>
        </w:rPr>
        <w:t>(Bevin, 2022)</w:t>
      </w:r>
      <w:r w:rsidR="007D61A5" w:rsidRPr="00A06DF7">
        <w:rPr>
          <w:rFonts w:cs="Calibri"/>
        </w:rPr>
        <w:fldChar w:fldCharType="end"/>
      </w:r>
      <w:r w:rsidR="00210B35" w:rsidRPr="00A06DF7">
        <w:rPr>
          <w:rFonts w:cs="Calibri"/>
        </w:rPr>
        <w:t>.</w:t>
      </w:r>
      <w:r w:rsidR="00903395" w:rsidRPr="00A06DF7">
        <w:rPr>
          <w:rFonts w:cs="Calibri"/>
        </w:rPr>
        <w:t xml:space="preserve"> For the year ended 31 March 2023, $37.8 million of GST was collected from online casino gambling providers. Since the introduction of the GST on remote services rules on 1 October 2016, the total amount of GST collected from online casino gambling providers is $170.1 million</w:t>
      </w:r>
      <w:r w:rsidR="007D6C7B" w:rsidRPr="00A06DF7">
        <w:rPr>
          <w:rStyle w:val="FootnoteReference"/>
          <w:rFonts w:cs="Calibri"/>
        </w:rPr>
        <w:footnoteReference w:id="27"/>
      </w:r>
      <w:r w:rsidR="00903395" w:rsidRPr="00A06DF7">
        <w:rPr>
          <w:rFonts w:cs="Calibri"/>
        </w:rPr>
        <w:t>.</w:t>
      </w:r>
    </w:p>
    <w:p w14:paraId="28AEF719" w14:textId="321D9E4A" w:rsidR="00A11664" w:rsidRPr="00A06DF7" w:rsidRDefault="00A11664" w:rsidP="00F00FBB">
      <w:pPr>
        <w:rPr>
          <w:rFonts w:cs="Calibri"/>
        </w:rPr>
      </w:pPr>
      <w:r w:rsidRPr="00A06DF7">
        <w:rPr>
          <w:rFonts w:cs="Calibri"/>
        </w:rPr>
        <w:t xml:space="preserve">Neither do </w:t>
      </w:r>
      <w:r w:rsidR="005C447B" w:rsidRPr="00A06DF7">
        <w:rPr>
          <w:rFonts w:cs="Calibri"/>
        </w:rPr>
        <w:t xml:space="preserve">offshore-based </w:t>
      </w:r>
      <w:r w:rsidRPr="00A06DF7">
        <w:rPr>
          <w:rFonts w:cs="Calibri"/>
        </w:rPr>
        <w:t>gambling providers provid</w:t>
      </w:r>
      <w:r w:rsidR="003167AC" w:rsidRPr="00A06DF7">
        <w:rPr>
          <w:rFonts w:cs="Calibri"/>
        </w:rPr>
        <w:t>ing</w:t>
      </w:r>
      <w:r w:rsidRPr="00A06DF7">
        <w:rPr>
          <w:rFonts w:cs="Calibri"/>
        </w:rPr>
        <w:t xml:space="preserve"> services to New Zealanders </w:t>
      </w:r>
      <w:r w:rsidR="002F1CF7" w:rsidRPr="00A06DF7">
        <w:rPr>
          <w:rFonts w:cs="Calibri"/>
        </w:rPr>
        <w:t xml:space="preserve">pay anything towards the </w:t>
      </w:r>
      <w:r w:rsidR="00F20140" w:rsidRPr="00A06DF7">
        <w:rPr>
          <w:rFonts w:cs="Calibri"/>
        </w:rPr>
        <w:t xml:space="preserve">gambling </w:t>
      </w:r>
      <w:r w:rsidR="002F1CF7" w:rsidRPr="00A06DF7">
        <w:rPr>
          <w:rFonts w:cs="Calibri"/>
        </w:rPr>
        <w:t>levy</w:t>
      </w:r>
      <w:r w:rsidR="00701AF8" w:rsidRPr="00A06DF7">
        <w:rPr>
          <w:rFonts w:cs="Calibri"/>
        </w:rPr>
        <w:t xml:space="preserve">. This non-payment is </w:t>
      </w:r>
      <w:r w:rsidR="00F20140" w:rsidRPr="00A06DF7">
        <w:rPr>
          <w:rFonts w:cs="Calibri"/>
        </w:rPr>
        <w:t>despite the gambling taking place on a device in New Zealand and potentially causing harm</w:t>
      </w:r>
      <w:r w:rsidR="004027A3" w:rsidRPr="00A06DF7">
        <w:rPr>
          <w:rFonts w:cs="Calibri"/>
        </w:rPr>
        <w:t xml:space="preserve"> </w:t>
      </w:r>
      <w:r w:rsidR="00ED772C" w:rsidRPr="00A06DF7">
        <w:rPr>
          <w:rFonts w:cs="Calibri"/>
        </w:rPr>
        <w:t xml:space="preserve">to individuals </w:t>
      </w:r>
      <w:r w:rsidR="004027A3" w:rsidRPr="00A06DF7">
        <w:rPr>
          <w:rFonts w:cs="Calibri"/>
        </w:rPr>
        <w:t>in New Zealand</w:t>
      </w:r>
      <w:r w:rsidR="0019131A" w:rsidRPr="00A06DF7">
        <w:rPr>
          <w:rFonts w:cs="Calibri"/>
        </w:rPr>
        <w:t>.</w:t>
      </w:r>
    </w:p>
    <w:p w14:paraId="1CAFE645" w14:textId="354E5586" w:rsidR="007D1471" w:rsidRPr="00A06DF7" w:rsidRDefault="007D1471" w:rsidP="007D1471">
      <w:pPr>
        <w:rPr>
          <w:rFonts w:cs="Calibri"/>
        </w:rPr>
      </w:pPr>
      <w:r w:rsidRPr="00A06DF7">
        <w:rPr>
          <w:rFonts w:cs="Calibri"/>
        </w:rPr>
        <w:t>The Act prohibits publishing or arranging to publish in New Zealand an overseas gambling advertisement (</w:t>
      </w:r>
      <w:r w:rsidR="00CF6A75" w:rsidRPr="00A06DF7">
        <w:rPr>
          <w:rFonts w:cs="Calibri"/>
        </w:rPr>
        <w:t>s</w:t>
      </w:r>
      <w:r w:rsidRPr="00A06DF7">
        <w:rPr>
          <w:rFonts w:cs="Calibri"/>
        </w:rPr>
        <w:t>16).</w:t>
      </w:r>
      <w:r w:rsidR="00146B61" w:rsidRPr="00A06DF7">
        <w:rPr>
          <w:rFonts w:cs="Calibri"/>
        </w:rPr>
        <w:t xml:space="preserve"> Some stakeholders have</w:t>
      </w:r>
      <w:r w:rsidR="00EA526A" w:rsidRPr="00A06DF7">
        <w:rPr>
          <w:rFonts w:cs="Calibri"/>
        </w:rPr>
        <w:t>,</w:t>
      </w:r>
      <w:r w:rsidR="00146B61" w:rsidRPr="00A06DF7">
        <w:rPr>
          <w:rFonts w:cs="Calibri"/>
        </w:rPr>
        <w:t xml:space="preserve"> however</w:t>
      </w:r>
      <w:r w:rsidR="00EA526A" w:rsidRPr="00A06DF7">
        <w:rPr>
          <w:rFonts w:cs="Calibri"/>
        </w:rPr>
        <w:t>,</w:t>
      </w:r>
      <w:r w:rsidR="00146B61" w:rsidRPr="00A06DF7">
        <w:rPr>
          <w:rFonts w:cs="Calibri"/>
        </w:rPr>
        <w:t xml:space="preserve"> reported instances of </w:t>
      </w:r>
      <w:r w:rsidR="00952F63" w:rsidRPr="00A06DF7">
        <w:rPr>
          <w:rFonts w:cs="Calibri"/>
        </w:rPr>
        <w:t>advertising for overseas gambling sites</w:t>
      </w:r>
      <w:r w:rsidR="00EA526A" w:rsidRPr="00A06DF7">
        <w:rPr>
          <w:rFonts w:cs="Calibri"/>
        </w:rPr>
        <w:t>,</w:t>
      </w:r>
      <w:r w:rsidR="00DF18B9" w:rsidRPr="00A06DF7">
        <w:rPr>
          <w:rFonts w:cs="Calibri"/>
        </w:rPr>
        <w:t xml:space="preserve"> for example on</w:t>
      </w:r>
      <w:r w:rsidR="008A7978" w:rsidRPr="00A06DF7">
        <w:rPr>
          <w:rFonts w:cs="Calibri"/>
        </w:rPr>
        <w:t xml:space="preserve"> international</w:t>
      </w:r>
      <w:r w:rsidR="00DF18B9" w:rsidRPr="00A06DF7">
        <w:rPr>
          <w:rFonts w:cs="Calibri"/>
        </w:rPr>
        <w:t xml:space="preserve"> </w:t>
      </w:r>
      <w:r w:rsidR="00CA15C9" w:rsidRPr="00A06DF7">
        <w:rPr>
          <w:rFonts w:cs="Calibri"/>
        </w:rPr>
        <w:t>professional sport</w:t>
      </w:r>
      <w:r w:rsidR="00397118" w:rsidRPr="00A06DF7">
        <w:rPr>
          <w:rFonts w:cs="Calibri"/>
        </w:rPr>
        <w:t xml:space="preserve">s’ uniforms, </w:t>
      </w:r>
      <w:r w:rsidR="004D67E9" w:rsidRPr="00A06DF7">
        <w:rPr>
          <w:rFonts w:cs="Calibri"/>
        </w:rPr>
        <w:t>and in social media.</w:t>
      </w:r>
      <w:r w:rsidR="00E555DF" w:rsidRPr="00A06DF7">
        <w:rPr>
          <w:rFonts w:cs="Calibri"/>
        </w:rPr>
        <w:t xml:space="preserve"> For example, on 24 March 2023, the Brumbies played the Crusaders in Christchurch. The Brumbies’ jersey included the TAB.com.au logo. DIA advised the Brumbies that this was a breach of section </w:t>
      </w:r>
      <w:hyperlink r:id="rId37" w:anchor="40292" w:tgtFrame="_blank" w:history="1">
        <w:r w:rsidR="00E555DF" w:rsidRPr="00A06DF7">
          <w:rPr>
            <w:rFonts w:cs="Calibri"/>
          </w:rPr>
          <w:t>16</w:t>
        </w:r>
      </w:hyperlink>
      <w:r w:rsidR="00E555DF" w:rsidRPr="00A06DF7">
        <w:rPr>
          <w:rFonts w:cs="Calibri"/>
        </w:rPr>
        <w:t xml:space="preserve">, and received an assurance that the logo would be removed from the Brumbies’ jersey in </w:t>
      </w:r>
      <w:r w:rsidR="00E555DF" w:rsidRPr="00A06DF7">
        <w:rPr>
          <w:rFonts w:cs="Calibri"/>
        </w:rPr>
        <w:lastRenderedPageBreak/>
        <w:t>future Super Rugby seasons when the games are played in New Zealand. More recently, Brendan Mc</w:t>
      </w:r>
      <w:r w:rsidR="00AF6E79" w:rsidRPr="00A06DF7">
        <w:rPr>
          <w:rFonts w:cs="Calibri"/>
        </w:rPr>
        <w:t xml:space="preserve">Cullum has </w:t>
      </w:r>
      <w:r w:rsidR="00A46172" w:rsidRPr="00A06DF7">
        <w:rPr>
          <w:rFonts w:cs="Calibri"/>
        </w:rPr>
        <w:t xml:space="preserve">appeared in online </w:t>
      </w:r>
      <w:r w:rsidR="00A04150" w:rsidRPr="00A06DF7">
        <w:rPr>
          <w:rFonts w:cs="Calibri"/>
        </w:rPr>
        <w:t>ad</w:t>
      </w:r>
      <w:r w:rsidR="00A46172" w:rsidRPr="00A06DF7">
        <w:rPr>
          <w:rFonts w:cs="Calibri"/>
        </w:rPr>
        <w:t>vertising as brand ambassador</w:t>
      </w:r>
      <w:r w:rsidR="00A04150" w:rsidRPr="00A06DF7">
        <w:rPr>
          <w:rFonts w:cs="Calibri"/>
        </w:rPr>
        <w:t xml:space="preserve"> for Cyprus-based gambling company 22Bet</w:t>
      </w:r>
      <w:r w:rsidR="00A46172" w:rsidRPr="00A06DF7">
        <w:rPr>
          <w:rFonts w:cs="Calibri"/>
        </w:rPr>
        <w:t>,</w:t>
      </w:r>
      <w:r w:rsidR="00645B5C" w:rsidRPr="00A06DF7">
        <w:rPr>
          <w:rFonts w:cs="Calibri"/>
        </w:rPr>
        <w:t xml:space="preserve"> </w:t>
      </w:r>
      <w:r w:rsidR="00A46172" w:rsidRPr="00A06DF7">
        <w:rPr>
          <w:rFonts w:cs="Calibri"/>
        </w:rPr>
        <w:t>however Google has removed these advertisements from YouTube citing a breach of policy</w:t>
      </w:r>
      <w:r w:rsidR="00A46172" w:rsidRPr="00A06DF7">
        <w:rPr>
          <w:rStyle w:val="FootnoteReference"/>
          <w:rFonts w:cs="Calibri"/>
        </w:rPr>
        <w:footnoteReference w:id="28"/>
      </w:r>
      <w:r w:rsidR="00A46172" w:rsidRPr="00A06DF7">
        <w:rPr>
          <w:rFonts w:cs="Calibri"/>
        </w:rPr>
        <w:t>.</w:t>
      </w:r>
    </w:p>
    <w:p w14:paraId="213B3FE5" w14:textId="677CADD4" w:rsidR="00F73F4D" w:rsidRPr="00A06DF7" w:rsidRDefault="00696CD8" w:rsidP="00BD1050">
      <w:pPr>
        <w:pStyle w:val="Heading6"/>
        <w:rPr>
          <w:rFonts w:cs="Calibri"/>
          <w:bCs/>
        </w:rPr>
      </w:pPr>
      <w:bookmarkStart w:id="212" w:name="_Toc166507408"/>
      <w:r w:rsidRPr="00A06DF7">
        <w:rPr>
          <w:rFonts w:cs="Calibri"/>
          <w:bCs/>
        </w:rPr>
        <w:t>Consultation</w:t>
      </w:r>
      <w:r w:rsidR="00F73F4D" w:rsidRPr="00A06DF7">
        <w:rPr>
          <w:rFonts w:cs="Calibri"/>
          <w:bCs/>
        </w:rPr>
        <w:t xml:space="preserve"> on online gambling</w:t>
      </w:r>
      <w:bookmarkEnd w:id="212"/>
    </w:p>
    <w:p w14:paraId="5C783C55" w14:textId="5BA4CE23" w:rsidR="00F73F4D" w:rsidRPr="00A06DF7" w:rsidRDefault="00FB07FA" w:rsidP="007D1471">
      <w:pPr>
        <w:rPr>
          <w:rFonts w:cs="Calibri"/>
        </w:rPr>
      </w:pPr>
      <w:r w:rsidRPr="00A06DF7">
        <w:rPr>
          <w:rFonts w:cs="Calibri"/>
        </w:rPr>
        <w:t>The</w:t>
      </w:r>
      <w:r w:rsidR="0072790E" w:rsidRPr="00A06DF7">
        <w:rPr>
          <w:rFonts w:cs="Calibri"/>
        </w:rPr>
        <w:t xml:space="preserve"> Department of Internal Affairs (DIA) </w:t>
      </w:r>
      <w:r w:rsidR="00696CD8" w:rsidRPr="00A06DF7">
        <w:rPr>
          <w:rFonts w:cs="Calibri"/>
        </w:rPr>
        <w:t>carried</w:t>
      </w:r>
      <w:r w:rsidR="00425B02" w:rsidRPr="00A06DF7">
        <w:rPr>
          <w:rFonts w:cs="Calibri"/>
        </w:rPr>
        <w:t xml:space="preserve"> out</w:t>
      </w:r>
      <w:r w:rsidRPr="00A06DF7">
        <w:rPr>
          <w:rFonts w:cs="Calibri"/>
        </w:rPr>
        <w:t xml:space="preserve"> a</w:t>
      </w:r>
      <w:r w:rsidR="00425B02" w:rsidRPr="00A06DF7">
        <w:rPr>
          <w:rFonts w:cs="Calibri"/>
        </w:rPr>
        <w:t xml:space="preserve"> consultation and review into online gambling in New Zealand</w:t>
      </w:r>
      <w:r w:rsidR="00F71803" w:rsidRPr="00A06DF7">
        <w:rPr>
          <w:rFonts w:cs="Calibri"/>
        </w:rPr>
        <w:t xml:space="preserve"> in 2019</w:t>
      </w:r>
      <w:r w:rsidR="00B017FA" w:rsidRPr="00A06DF7">
        <w:rPr>
          <w:rFonts w:cs="Calibri"/>
        </w:rPr>
        <w:t>;</w:t>
      </w:r>
      <w:r w:rsidR="00377E23" w:rsidRPr="00A06DF7">
        <w:rPr>
          <w:rStyle w:val="FootnoteReference"/>
          <w:rFonts w:cs="Calibri"/>
        </w:rPr>
        <w:footnoteReference w:id="29"/>
      </w:r>
      <w:r w:rsidR="00B3501B" w:rsidRPr="00A06DF7">
        <w:rPr>
          <w:rFonts w:cs="Calibri"/>
        </w:rPr>
        <w:t xml:space="preserve"> </w:t>
      </w:r>
      <w:r w:rsidR="00BD3E69" w:rsidRPr="00A06DF7">
        <w:rPr>
          <w:rFonts w:cs="Calibri"/>
        </w:rPr>
        <w:t>This has yet to result in any changes to legislation</w:t>
      </w:r>
      <w:r w:rsidR="00BD3E69" w:rsidRPr="00A06DF7" w:rsidDel="00BD3E69">
        <w:rPr>
          <w:rFonts w:cs="Calibri"/>
        </w:rPr>
        <w:t xml:space="preserve"> </w:t>
      </w:r>
      <w:r w:rsidR="00E8783A" w:rsidRPr="00A06DF7">
        <w:rPr>
          <w:rFonts w:cs="Calibri"/>
        </w:rPr>
        <w:t>at the time of writing</w:t>
      </w:r>
      <w:r w:rsidR="008714FD" w:rsidRPr="00A06DF7">
        <w:rPr>
          <w:rFonts w:cs="Calibri"/>
        </w:rPr>
        <w:t xml:space="preserve"> (though again we note the March 2024 announcement of an in-principle decision by Cabinet to regulate online gambling)</w:t>
      </w:r>
      <w:r w:rsidR="00E8783A" w:rsidRPr="00A06DF7">
        <w:rPr>
          <w:rFonts w:cs="Calibri"/>
        </w:rPr>
        <w:t>.</w:t>
      </w:r>
      <w:r w:rsidR="00967222" w:rsidRPr="00A06DF7">
        <w:rPr>
          <w:rFonts w:cs="Calibri"/>
        </w:rPr>
        <w:t xml:space="preserve"> </w:t>
      </w:r>
      <w:r w:rsidR="0062799C" w:rsidRPr="00A06DF7">
        <w:rPr>
          <w:rFonts w:cs="Calibri"/>
        </w:rPr>
        <w:t>A summary of submissions was released,</w:t>
      </w:r>
      <w:r w:rsidR="00C7061A" w:rsidRPr="00A06DF7">
        <w:rPr>
          <w:rFonts w:cs="Calibri"/>
        </w:rPr>
        <w:t xml:space="preserve"> highlighting the following themes regarding the </w:t>
      </w:r>
      <w:r w:rsidR="00F73F4D" w:rsidRPr="00A06DF7">
        <w:rPr>
          <w:rFonts w:cs="Calibri"/>
        </w:rPr>
        <w:t>provision of online gambling:</w:t>
      </w:r>
    </w:p>
    <w:p w14:paraId="07A423C6" w14:textId="14A18203" w:rsidR="00F41BFB" w:rsidRPr="00A06DF7" w:rsidRDefault="0007277D" w:rsidP="00824A47">
      <w:pPr>
        <w:pStyle w:val="Bulleted"/>
        <w:rPr>
          <w:rFonts w:cs="Calibri"/>
        </w:rPr>
      </w:pPr>
      <w:r w:rsidRPr="00A06DF7">
        <w:rPr>
          <w:rFonts w:cs="Calibri"/>
        </w:rPr>
        <w:t xml:space="preserve">Consistent regulation between online and traditional land-based gambling was </w:t>
      </w:r>
      <w:r w:rsidR="00EE2EB7" w:rsidRPr="00A06DF7">
        <w:rPr>
          <w:rFonts w:cs="Calibri"/>
        </w:rPr>
        <w:t>seen as important</w:t>
      </w:r>
    </w:p>
    <w:p w14:paraId="408B184B" w14:textId="130565BD" w:rsidR="00C02EF2" w:rsidRPr="00A06DF7" w:rsidRDefault="00C02EF2" w:rsidP="00824A47">
      <w:pPr>
        <w:pStyle w:val="Bulleted"/>
        <w:rPr>
          <w:rFonts w:cs="Calibri"/>
        </w:rPr>
      </w:pPr>
      <w:r w:rsidRPr="00A06DF7">
        <w:rPr>
          <w:rFonts w:cs="Calibri"/>
        </w:rPr>
        <w:t>Operators of online gambling paying for harm was a high priority for submitters</w:t>
      </w:r>
      <w:r w:rsidR="009E4BE4" w:rsidRPr="00A06DF7">
        <w:rPr>
          <w:rFonts w:cs="Calibri"/>
        </w:rPr>
        <w:t xml:space="preserve"> (there </w:t>
      </w:r>
      <w:r w:rsidR="00960A99" w:rsidRPr="00A06DF7">
        <w:rPr>
          <w:rFonts w:cs="Calibri"/>
        </w:rPr>
        <w:t>is</w:t>
      </w:r>
      <w:r w:rsidR="009E4BE4" w:rsidRPr="00A06DF7">
        <w:rPr>
          <w:rFonts w:cs="Calibri"/>
        </w:rPr>
        <w:t xml:space="preserve"> a correlation between the harm suffered by individuals and the gambling products offered by </w:t>
      </w:r>
      <w:r w:rsidR="00123BEA" w:rsidRPr="00A06DF7">
        <w:rPr>
          <w:rFonts w:cs="Calibri"/>
        </w:rPr>
        <w:t xml:space="preserve">online </w:t>
      </w:r>
      <w:r w:rsidR="009E4BE4" w:rsidRPr="00A06DF7">
        <w:rPr>
          <w:rFonts w:cs="Calibri"/>
        </w:rPr>
        <w:t>operators)</w:t>
      </w:r>
    </w:p>
    <w:p w14:paraId="5BB06B23" w14:textId="511CC36C" w:rsidR="009E4BE4" w:rsidRPr="00A06DF7" w:rsidRDefault="00724B1F" w:rsidP="00824A47">
      <w:pPr>
        <w:pStyle w:val="Bulleted"/>
        <w:rPr>
          <w:rFonts w:cs="Calibri"/>
        </w:rPr>
      </w:pPr>
      <w:r w:rsidRPr="00A06DF7">
        <w:rPr>
          <w:rFonts w:cs="Calibri"/>
        </w:rPr>
        <w:t>Operators of online gambling returning benefits to the community was a high priority for submitters.</w:t>
      </w:r>
      <w:r w:rsidR="00123BEA" w:rsidRPr="00A06DF7">
        <w:rPr>
          <w:rFonts w:cs="Calibri"/>
        </w:rPr>
        <w:t xml:space="preserve"> Currently this does not occur</w:t>
      </w:r>
      <w:r w:rsidR="00A750F6" w:rsidRPr="00A06DF7">
        <w:rPr>
          <w:rFonts w:cs="Calibri"/>
        </w:rPr>
        <w:t xml:space="preserve"> outside of Lotto and TAB</w:t>
      </w:r>
      <w:r w:rsidR="007B7703" w:rsidRPr="00A06DF7">
        <w:rPr>
          <w:rFonts w:cs="Calibri"/>
        </w:rPr>
        <w:t xml:space="preserve"> NZ</w:t>
      </w:r>
    </w:p>
    <w:p w14:paraId="7B8D5136" w14:textId="5781F62D" w:rsidR="003064E3" w:rsidRPr="00A06DF7" w:rsidRDefault="003064E3" w:rsidP="00824A47">
      <w:pPr>
        <w:pStyle w:val="Bulleted"/>
        <w:rPr>
          <w:rFonts w:cs="Calibri"/>
        </w:rPr>
      </w:pPr>
      <w:r w:rsidRPr="00A06DF7">
        <w:rPr>
          <w:rFonts w:cs="Calibri"/>
        </w:rPr>
        <w:t xml:space="preserve">Minimising online gambling-related harm was a high priority </w:t>
      </w:r>
      <w:r w:rsidR="00030959" w:rsidRPr="00A06DF7">
        <w:rPr>
          <w:rFonts w:cs="Calibri"/>
        </w:rPr>
        <w:t>(</w:t>
      </w:r>
      <w:r w:rsidR="00BD20E4" w:rsidRPr="00A06DF7">
        <w:rPr>
          <w:rFonts w:cs="Calibri"/>
        </w:rPr>
        <w:t>o</w:t>
      </w:r>
      <w:r w:rsidR="00030959" w:rsidRPr="00A06DF7">
        <w:rPr>
          <w:rFonts w:cs="Calibri"/>
        </w:rPr>
        <w:t xml:space="preserve">ne submitter believed individuals could suffer harm particularly </w:t>
      </w:r>
      <w:r w:rsidR="009A50A9" w:rsidRPr="00A06DF7">
        <w:rPr>
          <w:rFonts w:cs="Calibri"/>
        </w:rPr>
        <w:t>because of</w:t>
      </w:r>
      <w:r w:rsidR="00030959" w:rsidRPr="00A06DF7">
        <w:rPr>
          <w:rFonts w:cs="Calibri"/>
        </w:rPr>
        <w:t xml:space="preserve"> the secretive nature of online gambling)</w:t>
      </w:r>
    </w:p>
    <w:p w14:paraId="1293F686" w14:textId="14FE0A02" w:rsidR="0072790E" w:rsidRPr="00A06DF7" w:rsidRDefault="00D9040E" w:rsidP="00824A47">
      <w:pPr>
        <w:pStyle w:val="Bulleted"/>
        <w:rPr>
          <w:rFonts w:cs="Calibri"/>
        </w:rPr>
      </w:pPr>
      <w:r w:rsidRPr="00A06DF7">
        <w:rPr>
          <w:rFonts w:cs="Calibri"/>
        </w:rPr>
        <w:t xml:space="preserve">Most submitters supported a regime where </w:t>
      </w:r>
      <w:r w:rsidR="009A50A9" w:rsidRPr="00A06DF7">
        <w:rPr>
          <w:rFonts w:cs="Calibri"/>
        </w:rPr>
        <w:t>domestically based</w:t>
      </w:r>
      <w:r w:rsidR="00AA1124" w:rsidRPr="00A06DF7">
        <w:rPr>
          <w:rFonts w:cs="Calibri"/>
        </w:rPr>
        <w:t xml:space="preserve"> operators in New Zealand could offer online gambling</w:t>
      </w:r>
      <w:r w:rsidR="00394696" w:rsidRPr="00A06DF7">
        <w:rPr>
          <w:rFonts w:cs="Calibri"/>
        </w:rPr>
        <w:t xml:space="preserve">, so long as they are licensed and implement harm minimisation </w:t>
      </w:r>
      <w:r w:rsidR="00F8525A" w:rsidRPr="00A06DF7">
        <w:rPr>
          <w:rFonts w:cs="Calibri"/>
        </w:rPr>
        <w:t>techniques.</w:t>
      </w:r>
      <w:r w:rsidR="0062799C" w:rsidRPr="00A06DF7">
        <w:rPr>
          <w:rFonts w:cs="Calibri"/>
        </w:rPr>
        <w:t xml:space="preserve"> </w:t>
      </w:r>
    </w:p>
    <w:p w14:paraId="3AC35E33" w14:textId="4927F1A0" w:rsidR="003F109F" w:rsidRPr="00A06DF7" w:rsidRDefault="007E7DCE" w:rsidP="00BD1050">
      <w:pPr>
        <w:pStyle w:val="Heading6"/>
        <w:rPr>
          <w:rFonts w:cs="Calibri"/>
          <w:bCs/>
        </w:rPr>
      </w:pPr>
      <w:bookmarkStart w:id="213" w:name="_Toc166507409"/>
      <w:r w:rsidRPr="00A06DF7">
        <w:rPr>
          <w:rFonts w:cs="Calibri"/>
          <w:bCs/>
        </w:rPr>
        <w:t xml:space="preserve">2022/23 to 2024/25 </w:t>
      </w:r>
      <w:r w:rsidR="00F206BA" w:rsidRPr="00A06DF7">
        <w:rPr>
          <w:rFonts w:cs="Calibri"/>
          <w:bCs/>
        </w:rPr>
        <w:t xml:space="preserve">Health Ministry </w:t>
      </w:r>
      <w:r w:rsidRPr="00A06DF7">
        <w:rPr>
          <w:rFonts w:cs="Calibri"/>
          <w:bCs/>
        </w:rPr>
        <w:t>Agency Disclosure Statement</w:t>
      </w:r>
      <w:r w:rsidR="00F33600" w:rsidRPr="00A06DF7">
        <w:rPr>
          <w:rFonts w:cs="Calibri"/>
          <w:bCs/>
        </w:rPr>
        <w:t xml:space="preserve"> and current levies</w:t>
      </w:r>
      <w:bookmarkEnd w:id="213"/>
    </w:p>
    <w:p w14:paraId="1479C4EF" w14:textId="6E979AA2" w:rsidR="0074349E" w:rsidRPr="00A06DF7" w:rsidRDefault="00256CD4" w:rsidP="00256CD4">
      <w:pPr>
        <w:rPr>
          <w:rFonts w:cs="Calibri"/>
        </w:rPr>
      </w:pPr>
      <w:r w:rsidRPr="00A06DF7">
        <w:rPr>
          <w:rFonts w:cs="Calibri"/>
        </w:rPr>
        <w:t>The Problem Gambling Levy 2022/23 to 2024/25 Agency Disclosure Statement</w:t>
      </w:r>
      <w:r w:rsidR="001237A5" w:rsidRPr="00A06DF7">
        <w:rPr>
          <w:rStyle w:val="FootnoteReference"/>
          <w:rFonts w:cs="Calibri"/>
        </w:rPr>
        <w:footnoteReference w:id="30"/>
      </w:r>
      <w:r w:rsidR="00B95470" w:rsidRPr="00A06DF7">
        <w:rPr>
          <w:rFonts w:cs="Calibri"/>
        </w:rPr>
        <w:t xml:space="preserve"> </w:t>
      </w:r>
      <w:r w:rsidR="00220D50" w:rsidRPr="00A06DF7">
        <w:rPr>
          <w:rFonts w:cs="Calibri"/>
        </w:rPr>
        <w:t xml:space="preserve">(the Statement) </w:t>
      </w:r>
      <w:r w:rsidR="00E76F05" w:rsidRPr="00A06DF7">
        <w:rPr>
          <w:rFonts w:cs="Calibri"/>
        </w:rPr>
        <w:t xml:space="preserve">is </w:t>
      </w:r>
      <w:r w:rsidR="005C1895" w:rsidRPr="00A06DF7">
        <w:rPr>
          <w:rFonts w:cs="Calibri"/>
        </w:rPr>
        <w:t>the</w:t>
      </w:r>
      <w:r w:rsidR="00EE5DB5" w:rsidRPr="00A06DF7">
        <w:rPr>
          <w:rFonts w:cs="Calibri"/>
        </w:rPr>
        <w:t xml:space="preserve"> current</w:t>
      </w:r>
      <w:r w:rsidR="00E76F05" w:rsidRPr="00A06DF7">
        <w:rPr>
          <w:rFonts w:cs="Calibri"/>
        </w:rPr>
        <w:t xml:space="preserve"> statement from the Ministry </w:t>
      </w:r>
      <w:r w:rsidR="00EE34F3" w:rsidRPr="00A06DF7">
        <w:rPr>
          <w:rFonts w:cs="Calibri"/>
        </w:rPr>
        <w:t>on the problem gambling levy</w:t>
      </w:r>
      <w:r w:rsidR="00E61D19" w:rsidRPr="00A06DF7">
        <w:rPr>
          <w:rFonts w:cs="Calibri"/>
        </w:rPr>
        <w:t xml:space="preserve">, </w:t>
      </w:r>
      <w:r w:rsidR="00F32B07" w:rsidRPr="00A06DF7">
        <w:rPr>
          <w:rFonts w:cs="Calibri"/>
        </w:rPr>
        <w:t xml:space="preserve">and specifically on the </w:t>
      </w:r>
      <w:r w:rsidR="005625E6" w:rsidRPr="00A06DF7">
        <w:rPr>
          <w:rFonts w:cs="Calibri"/>
        </w:rPr>
        <w:t xml:space="preserve">levy weighting options that affect </w:t>
      </w:r>
      <w:r w:rsidR="003C0F98" w:rsidRPr="00A06DF7">
        <w:rPr>
          <w:rFonts w:cs="Calibri"/>
        </w:rPr>
        <w:t xml:space="preserve">how much each gambling </w:t>
      </w:r>
      <w:r w:rsidR="00F837FB" w:rsidRPr="00A06DF7">
        <w:rPr>
          <w:rFonts w:cs="Calibri"/>
        </w:rPr>
        <w:t>sector will pay for the period 1 July 2022 to 30 June 2025.</w:t>
      </w:r>
      <w:r w:rsidR="005C1895" w:rsidRPr="00A06DF7">
        <w:rPr>
          <w:rFonts w:cs="Calibri"/>
        </w:rPr>
        <w:t xml:space="preserve"> </w:t>
      </w:r>
      <w:r w:rsidR="00016A37" w:rsidRPr="00A06DF7">
        <w:rPr>
          <w:rFonts w:cs="Calibri"/>
        </w:rPr>
        <w:t xml:space="preserve">Section 318 of the Act </w:t>
      </w:r>
      <w:r w:rsidR="00D50E1E" w:rsidRPr="00A06DF7">
        <w:rPr>
          <w:rFonts w:cs="Calibri"/>
        </w:rPr>
        <w:t xml:space="preserve">sets the </w:t>
      </w:r>
      <w:r w:rsidR="004F2720" w:rsidRPr="00A06DF7">
        <w:rPr>
          <w:rFonts w:cs="Calibri"/>
        </w:rPr>
        <w:t>process for developing the integrated problem gambling strategy</w:t>
      </w:r>
      <w:r w:rsidR="00E3160B" w:rsidRPr="00A06DF7">
        <w:rPr>
          <w:rFonts w:cs="Calibri"/>
        </w:rPr>
        <w:t xml:space="preserve">, part of which is </w:t>
      </w:r>
      <w:r w:rsidR="009B7684" w:rsidRPr="00A06DF7">
        <w:rPr>
          <w:rFonts w:cs="Calibri"/>
        </w:rPr>
        <w:t>setting the levy (s</w:t>
      </w:r>
      <w:r w:rsidR="00DF0185" w:rsidRPr="00A06DF7">
        <w:rPr>
          <w:rFonts w:cs="Calibri"/>
        </w:rPr>
        <w:t xml:space="preserve">ection </w:t>
      </w:r>
      <w:r w:rsidR="009B7684" w:rsidRPr="00A06DF7">
        <w:rPr>
          <w:rFonts w:cs="Calibri"/>
        </w:rPr>
        <w:t>318(1)</w:t>
      </w:r>
      <w:r w:rsidR="000259D1" w:rsidRPr="00A06DF7">
        <w:rPr>
          <w:rFonts w:cs="Calibri"/>
        </w:rPr>
        <w:t>(g)).</w:t>
      </w:r>
    </w:p>
    <w:p w14:paraId="295B23B2" w14:textId="49CCAAD0" w:rsidR="00AE449B" w:rsidRPr="00A06DF7" w:rsidRDefault="00EE5DB5" w:rsidP="00256CD4">
      <w:pPr>
        <w:rPr>
          <w:rFonts w:cs="Calibri"/>
        </w:rPr>
      </w:pPr>
      <w:r w:rsidRPr="00A06DF7">
        <w:rPr>
          <w:rFonts w:cs="Calibri"/>
        </w:rPr>
        <w:lastRenderedPageBreak/>
        <w:t xml:space="preserve">The Act </w:t>
      </w:r>
      <w:r w:rsidR="00FF4057" w:rsidRPr="00A06DF7">
        <w:rPr>
          <w:rFonts w:cs="Calibri"/>
        </w:rPr>
        <w:t>is prescriptive regarding</w:t>
      </w:r>
      <w:r w:rsidR="00F3092B" w:rsidRPr="00A06DF7">
        <w:rPr>
          <w:rFonts w:cs="Calibri"/>
        </w:rPr>
        <w:t xml:space="preserve"> the levy and its calculation. It</w:t>
      </w:r>
      <w:r w:rsidR="00AE449B" w:rsidRPr="00A06DF7">
        <w:rPr>
          <w:rFonts w:cs="Calibri"/>
        </w:rPr>
        <w:t xml:space="preserve">: </w:t>
      </w:r>
    </w:p>
    <w:p w14:paraId="0A4017D5" w14:textId="41EDA633" w:rsidR="00770897" w:rsidRPr="00A06DF7" w:rsidRDefault="006A6265" w:rsidP="00824A47">
      <w:pPr>
        <w:pStyle w:val="Bulleted"/>
        <w:rPr>
          <w:rFonts w:cs="Calibri"/>
        </w:rPr>
      </w:pPr>
      <w:r>
        <w:rPr>
          <w:rFonts w:cs="Calibri"/>
        </w:rPr>
        <w:t>P</w:t>
      </w:r>
      <w:r w:rsidR="00AE449B" w:rsidRPr="00A06DF7">
        <w:rPr>
          <w:rFonts w:cs="Calibri"/>
        </w:rPr>
        <w:t xml:space="preserve">rescribes an integrated problem gambling strategy and details specific content as well as requirements for consultation on the strategy and levy </w:t>
      </w:r>
      <w:r w:rsidR="009A1823" w:rsidRPr="00A06DF7">
        <w:rPr>
          <w:rFonts w:cs="Calibri"/>
        </w:rPr>
        <w:t>(</w:t>
      </w:r>
      <w:r w:rsidR="00AE449B" w:rsidRPr="00A06DF7">
        <w:rPr>
          <w:rFonts w:cs="Calibri"/>
        </w:rPr>
        <w:t>sections 317 and 318</w:t>
      </w:r>
      <w:r w:rsidR="009A1823" w:rsidRPr="00A06DF7">
        <w:rPr>
          <w:rFonts w:cs="Calibri"/>
        </w:rPr>
        <w:t>)</w:t>
      </w:r>
    </w:p>
    <w:p w14:paraId="4302E1DB" w14:textId="0D68E3B2" w:rsidR="00914656" w:rsidRPr="00A06DF7" w:rsidRDefault="006A6265" w:rsidP="00824A47">
      <w:pPr>
        <w:pStyle w:val="Bulleted"/>
        <w:rPr>
          <w:rFonts w:cs="Calibri"/>
        </w:rPr>
      </w:pPr>
      <w:r>
        <w:rPr>
          <w:rFonts w:cs="Calibri"/>
        </w:rPr>
        <w:t>P</w:t>
      </w:r>
      <w:r w:rsidR="00AE449B" w:rsidRPr="00A06DF7">
        <w:rPr>
          <w:rFonts w:cs="Calibri"/>
        </w:rPr>
        <w:t xml:space="preserve">rovides for a levy, set by regulation on gambling operators, to recover the cost of ‘developing, managing and delivering’ the Strategy </w:t>
      </w:r>
      <w:r w:rsidR="002A45BC" w:rsidRPr="00A06DF7">
        <w:rPr>
          <w:rFonts w:cs="Calibri"/>
        </w:rPr>
        <w:t>(</w:t>
      </w:r>
      <w:r w:rsidR="00AE449B" w:rsidRPr="00A06DF7">
        <w:rPr>
          <w:rFonts w:cs="Calibri"/>
        </w:rPr>
        <w:t>section</w:t>
      </w:r>
      <w:r w:rsidR="00DF0185" w:rsidRPr="00A06DF7">
        <w:rPr>
          <w:rFonts w:cs="Calibri"/>
        </w:rPr>
        <w:t>s 318 and</w:t>
      </w:r>
      <w:r w:rsidR="00AE449B" w:rsidRPr="00A06DF7">
        <w:rPr>
          <w:rFonts w:cs="Calibri"/>
        </w:rPr>
        <w:t xml:space="preserve"> 319</w:t>
      </w:r>
      <w:r w:rsidR="009A1823" w:rsidRPr="00A06DF7">
        <w:rPr>
          <w:rFonts w:cs="Calibri"/>
        </w:rPr>
        <w:t>)</w:t>
      </w:r>
    </w:p>
    <w:p w14:paraId="2FB214BD" w14:textId="23E1F9A4" w:rsidR="00770897" w:rsidRPr="00A06DF7" w:rsidRDefault="006A6265" w:rsidP="00824A47">
      <w:pPr>
        <w:pStyle w:val="Bulleted"/>
        <w:rPr>
          <w:rFonts w:cs="Calibri"/>
        </w:rPr>
      </w:pPr>
      <w:r>
        <w:rPr>
          <w:rFonts w:cs="Calibri"/>
        </w:rPr>
        <w:t>S</w:t>
      </w:r>
      <w:r w:rsidR="00AE449B" w:rsidRPr="00A06DF7">
        <w:rPr>
          <w:rFonts w:cs="Calibri"/>
        </w:rPr>
        <w:t xml:space="preserve">pecifies the formula ‘to be used in estimating the proposed levy rates payable by gambling operators’ </w:t>
      </w:r>
      <w:r w:rsidR="009A1823" w:rsidRPr="00A06DF7">
        <w:rPr>
          <w:rFonts w:cs="Calibri"/>
        </w:rPr>
        <w:t>(</w:t>
      </w:r>
      <w:r w:rsidR="00AE449B" w:rsidRPr="00A06DF7">
        <w:rPr>
          <w:rFonts w:cs="Calibri"/>
        </w:rPr>
        <w:t>section 320</w:t>
      </w:r>
      <w:r w:rsidR="00BB5C36" w:rsidRPr="00A06DF7">
        <w:rPr>
          <w:rFonts w:cs="Calibri"/>
        </w:rPr>
        <w:t>)</w:t>
      </w:r>
    </w:p>
    <w:p w14:paraId="79B14280" w14:textId="4B8172EF" w:rsidR="002D7F0D" w:rsidRPr="00A06DF7" w:rsidRDefault="006A6265" w:rsidP="00824A47">
      <w:pPr>
        <w:pStyle w:val="Bulleted"/>
        <w:rPr>
          <w:rFonts w:cs="Calibri"/>
        </w:rPr>
      </w:pPr>
      <w:r>
        <w:rPr>
          <w:rFonts w:cs="Calibri"/>
        </w:rPr>
        <w:t>L</w:t>
      </w:r>
      <w:r w:rsidR="00AE449B" w:rsidRPr="00A06DF7">
        <w:rPr>
          <w:rFonts w:cs="Calibri"/>
        </w:rPr>
        <w:t>imits the weightings used to player expenditure and presentations.</w:t>
      </w:r>
    </w:p>
    <w:p w14:paraId="0F60C2D3" w14:textId="40E5FDAA" w:rsidR="0018089B" w:rsidRPr="00A06DF7" w:rsidRDefault="00BC4627" w:rsidP="001A7046">
      <w:pPr>
        <w:rPr>
          <w:rFonts w:cs="Calibri"/>
        </w:rPr>
      </w:pPr>
      <w:r w:rsidRPr="00A06DF7">
        <w:rPr>
          <w:rFonts w:cs="Calibri"/>
        </w:rPr>
        <w:t xml:space="preserve">The </w:t>
      </w:r>
      <w:r w:rsidR="00E86492" w:rsidRPr="00A06DF7">
        <w:rPr>
          <w:rFonts w:cs="Calibri"/>
        </w:rPr>
        <w:t xml:space="preserve">Statement </w:t>
      </w:r>
      <w:r w:rsidR="007F046F" w:rsidRPr="00A06DF7">
        <w:rPr>
          <w:rFonts w:cs="Calibri"/>
        </w:rPr>
        <w:t xml:space="preserve">contains analysis </w:t>
      </w:r>
      <w:r w:rsidR="006535D6" w:rsidRPr="00A06DF7">
        <w:rPr>
          <w:rFonts w:cs="Calibri"/>
        </w:rPr>
        <w:t xml:space="preserve">of the factors </w:t>
      </w:r>
      <w:r w:rsidR="006F2880" w:rsidRPr="00A06DF7">
        <w:rPr>
          <w:rFonts w:cs="Calibri"/>
        </w:rPr>
        <w:t>considered</w:t>
      </w:r>
      <w:r w:rsidR="006535D6" w:rsidRPr="00A06DF7">
        <w:rPr>
          <w:rFonts w:cs="Calibri"/>
        </w:rPr>
        <w:t xml:space="preserve"> in accordance with the Act</w:t>
      </w:r>
      <w:r w:rsidR="00C2390A" w:rsidRPr="00A06DF7">
        <w:rPr>
          <w:rFonts w:cs="Calibri"/>
        </w:rPr>
        <w:t xml:space="preserve">, which requires </w:t>
      </w:r>
      <w:r w:rsidR="00F84BF6" w:rsidRPr="00A06DF7">
        <w:rPr>
          <w:rFonts w:cs="Calibri"/>
        </w:rPr>
        <w:t>player expenditure forecast</w:t>
      </w:r>
      <w:r w:rsidR="00B25DCE" w:rsidRPr="00A06DF7">
        <w:rPr>
          <w:rFonts w:cs="Calibri"/>
        </w:rPr>
        <w:t>s</w:t>
      </w:r>
      <w:r w:rsidR="00466D13" w:rsidRPr="00A06DF7">
        <w:rPr>
          <w:rFonts w:cs="Calibri"/>
        </w:rPr>
        <w:t xml:space="preserve"> amongst other things. The forecasts are developed based on</w:t>
      </w:r>
      <w:r w:rsidR="001353E0" w:rsidRPr="00A06DF7">
        <w:rPr>
          <w:rFonts w:cs="Calibri"/>
        </w:rPr>
        <w:t xml:space="preserve"> a variety of sources including annual reports</w:t>
      </w:r>
      <w:r w:rsidR="00B55C8A" w:rsidRPr="00A06DF7">
        <w:rPr>
          <w:rFonts w:cs="Calibri"/>
        </w:rPr>
        <w:t>, payments to Inland Revenue</w:t>
      </w:r>
      <w:r w:rsidR="00EA67A3" w:rsidRPr="00A06DF7">
        <w:rPr>
          <w:rFonts w:cs="Calibri"/>
        </w:rPr>
        <w:t xml:space="preserve"> and expenditure trends over previous years.</w:t>
      </w:r>
    </w:p>
    <w:p w14:paraId="236DCB99" w14:textId="2C337219" w:rsidR="00EA67A3" w:rsidRPr="00A06DF7" w:rsidRDefault="00275E66" w:rsidP="00BD1050">
      <w:pPr>
        <w:pStyle w:val="Heading6"/>
        <w:rPr>
          <w:rFonts w:cs="Calibri"/>
          <w:bCs/>
        </w:rPr>
      </w:pPr>
      <w:bookmarkStart w:id="214" w:name="_Toc166507410"/>
      <w:r w:rsidRPr="00A06DF7">
        <w:rPr>
          <w:rFonts w:cs="Calibri"/>
          <w:bCs/>
        </w:rPr>
        <w:t>Recommendations for review of the levy</w:t>
      </w:r>
      <w:bookmarkEnd w:id="214"/>
    </w:p>
    <w:p w14:paraId="57C4043D" w14:textId="28174184" w:rsidR="0039598F" w:rsidRPr="00A06DF7" w:rsidRDefault="00C164F9" w:rsidP="00D975B0">
      <w:pPr>
        <w:rPr>
          <w:rFonts w:cs="Calibri"/>
        </w:rPr>
      </w:pPr>
      <w:r w:rsidRPr="00A06DF7">
        <w:rPr>
          <w:rFonts w:cs="Calibri"/>
        </w:rPr>
        <w:t xml:space="preserve">In its report to these Ministers of 10 February 2022, the Gambling Commission </w:t>
      </w:r>
      <w:r w:rsidR="00D975B0" w:rsidRPr="00A06DF7">
        <w:rPr>
          <w:rFonts w:cs="Calibri"/>
        </w:rPr>
        <w:t xml:space="preserve">said </w:t>
      </w:r>
      <w:r w:rsidR="00663731" w:rsidRPr="00A06DF7">
        <w:rPr>
          <w:rFonts w:cs="Calibri"/>
        </w:rPr>
        <w:t xml:space="preserve">that </w:t>
      </w:r>
      <w:r w:rsidR="004F5D2D" w:rsidRPr="00A06DF7">
        <w:rPr>
          <w:rFonts w:cs="Calibri"/>
        </w:rPr>
        <w:t xml:space="preserve">it and the Department of Internal Affairs </w:t>
      </w:r>
      <w:r w:rsidR="00A214B9" w:rsidRPr="00A06DF7">
        <w:rPr>
          <w:rFonts w:cs="Calibri"/>
        </w:rPr>
        <w:t xml:space="preserve">should investigate whether more refined data can be collected in relation to online gambling expenditure and presentations. </w:t>
      </w:r>
      <w:r w:rsidR="0039598F" w:rsidRPr="00A06DF7">
        <w:rPr>
          <w:rFonts w:cs="Calibri"/>
        </w:rPr>
        <w:t>The Commission said:</w:t>
      </w:r>
    </w:p>
    <w:p w14:paraId="10161C4F" w14:textId="46C8E2DA" w:rsidR="00672BD3" w:rsidRPr="00A06DF7" w:rsidRDefault="00427A84" w:rsidP="00824A47">
      <w:pPr>
        <w:pStyle w:val="Quotes"/>
        <w:ind w:left="720"/>
        <w:rPr>
          <w:rFonts w:cs="Calibri"/>
        </w:rPr>
      </w:pPr>
      <w:r w:rsidRPr="00A06DF7">
        <w:rPr>
          <w:rFonts w:cs="Calibri"/>
        </w:rPr>
        <w:t>“</w:t>
      </w:r>
      <w:r w:rsidR="00A214B9" w:rsidRPr="00A06DF7">
        <w:rPr>
          <w:rFonts w:cs="Calibri"/>
        </w:rPr>
        <w:t xml:space="preserve">At present, </w:t>
      </w:r>
      <w:r w:rsidRPr="00A06DF7">
        <w:rPr>
          <w:rFonts w:cs="Calibri"/>
        </w:rPr>
        <w:t>‘</w:t>
      </w:r>
      <w:r w:rsidR="00A214B9" w:rsidRPr="00A06DF7">
        <w:rPr>
          <w:rFonts w:cs="Calibri"/>
        </w:rPr>
        <w:t>online gambling</w:t>
      </w:r>
      <w:r w:rsidRPr="00A06DF7">
        <w:rPr>
          <w:rFonts w:cs="Calibri"/>
        </w:rPr>
        <w:t>’</w:t>
      </w:r>
      <w:r w:rsidR="00A214B9" w:rsidRPr="00A06DF7">
        <w:rPr>
          <w:rFonts w:cs="Calibri"/>
        </w:rPr>
        <w:t xml:space="preserve"> appears to be discussed </w:t>
      </w:r>
      <w:r w:rsidR="00A214B9" w:rsidRPr="00114F73">
        <w:rPr>
          <w:rFonts w:cs="Calibri"/>
        </w:rPr>
        <w:t>generically</w:t>
      </w:r>
      <w:r w:rsidR="00A214B9" w:rsidRPr="00A06DF7">
        <w:rPr>
          <w:rFonts w:cs="Calibri"/>
        </w:rPr>
        <w:t xml:space="preserve"> but there may be important distinctions from a policy perspective between New Zealand gambling operators which also have an online presence (Lotto, TAB NZ and SKYCITY) and those online operators that are based entirely offshore. </w:t>
      </w:r>
    </w:p>
    <w:p w14:paraId="03DDDEEA" w14:textId="7047DDD5" w:rsidR="00A214B9" w:rsidRPr="00A06DF7" w:rsidRDefault="00A214B9" w:rsidP="00824A47">
      <w:pPr>
        <w:pStyle w:val="Quotes"/>
        <w:ind w:left="720"/>
        <w:rPr>
          <w:rFonts w:cs="Calibri"/>
        </w:rPr>
      </w:pPr>
      <w:r w:rsidRPr="00A06DF7">
        <w:rPr>
          <w:rFonts w:cs="Calibri"/>
        </w:rPr>
        <w:t xml:space="preserve">Consideration should also be given to refining data in relation to the New Zealand gambling operators which provide both online and terrestrial gambling (Lotto, TAB NZ and SKYCITY). These data may show whether there are material harm differences between participation in the same form of gambling online or at a physical venue. </w:t>
      </w:r>
    </w:p>
    <w:p w14:paraId="4707A826" w14:textId="23B39D63" w:rsidR="002A5208" w:rsidRPr="00A06DF7" w:rsidRDefault="00AA4456" w:rsidP="00824A47">
      <w:pPr>
        <w:pStyle w:val="Quotes"/>
        <w:ind w:left="720"/>
        <w:rPr>
          <w:rFonts w:cs="Calibri"/>
        </w:rPr>
      </w:pPr>
      <w:r w:rsidRPr="00A06DF7">
        <w:rPr>
          <w:rFonts w:cs="Calibri"/>
        </w:rPr>
        <w:t>…</w:t>
      </w:r>
    </w:p>
    <w:p w14:paraId="0BCA9FB6" w14:textId="3CA9B0C9" w:rsidR="002A5208" w:rsidRPr="00A06DF7" w:rsidRDefault="002A5208" w:rsidP="00824A47">
      <w:pPr>
        <w:pStyle w:val="Quotes"/>
        <w:ind w:left="720"/>
        <w:rPr>
          <w:rFonts w:cs="Calibri"/>
        </w:rPr>
      </w:pPr>
      <w:r w:rsidRPr="00A06DF7">
        <w:rPr>
          <w:rFonts w:cs="Calibri"/>
        </w:rPr>
        <w:t>Serious consideration should be given to including online gambling as a leviable sector within the problem gambling formula set out in section 320 of the Act. Online gambling is already responsible for a growing number of presentations to problem gambling service providers, a trend that is likely to continue as life moves increasingly online.</w:t>
      </w:r>
      <w:r w:rsidR="00427A84" w:rsidRPr="00A06DF7">
        <w:rPr>
          <w:rFonts w:cs="Calibri"/>
        </w:rPr>
        <w:t>”</w:t>
      </w:r>
    </w:p>
    <w:p w14:paraId="36056216" w14:textId="106D588B" w:rsidR="00275E66" w:rsidRPr="00A06DF7" w:rsidRDefault="00EB5AF4" w:rsidP="008841AA">
      <w:pPr>
        <w:rPr>
          <w:rFonts w:cs="Calibri"/>
        </w:rPr>
      </w:pPr>
      <w:r w:rsidRPr="00A06DF7">
        <w:rPr>
          <w:rFonts w:cs="Calibri"/>
        </w:rPr>
        <w:t>The Problem Gambling Foundation</w:t>
      </w:r>
      <w:r w:rsidR="00AA0A26" w:rsidRPr="00A06DF7">
        <w:rPr>
          <w:rFonts w:cs="Calibri"/>
        </w:rPr>
        <w:t xml:space="preserve"> (PGF)</w:t>
      </w:r>
      <w:r w:rsidRPr="00A06DF7">
        <w:rPr>
          <w:rFonts w:cs="Calibri"/>
        </w:rPr>
        <w:t xml:space="preserve"> </w:t>
      </w:r>
      <w:r w:rsidR="00AA0A26" w:rsidRPr="00A06DF7">
        <w:rPr>
          <w:rFonts w:cs="Calibri"/>
        </w:rPr>
        <w:t>also argued that there is a need for a review of the levy setting regime in the Act. T</w:t>
      </w:r>
      <w:r w:rsidR="00125D62" w:rsidRPr="00A06DF7">
        <w:rPr>
          <w:rFonts w:cs="Calibri"/>
        </w:rPr>
        <w:t xml:space="preserve">he PGF said that it is seeing an increase in presentations </w:t>
      </w:r>
      <w:r w:rsidR="00A94784" w:rsidRPr="00A06DF7">
        <w:rPr>
          <w:rFonts w:cs="Calibri"/>
        </w:rPr>
        <w:t>of gambling harm caused by use of overseas-based gambling websites</w:t>
      </w:r>
      <w:r w:rsidR="007D584D" w:rsidRPr="00A06DF7">
        <w:rPr>
          <w:rFonts w:cs="Calibri"/>
        </w:rPr>
        <w:t>, many of which have few if any harm minimisation approaches in place</w:t>
      </w:r>
      <w:r w:rsidR="00A94784" w:rsidRPr="00A06DF7">
        <w:rPr>
          <w:rFonts w:cs="Calibri"/>
        </w:rPr>
        <w:t xml:space="preserve">. </w:t>
      </w:r>
    </w:p>
    <w:p w14:paraId="632097F1" w14:textId="52413FE5" w:rsidR="00BA44E3" w:rsidRPr="00A06DF7" w:rsidRDefault="00BA44E3" w:rsidP="008841AA">
      <w:pPr>
        <w:rPr>
          <w:rFonts w:cs="Calibri"/>
        </w:rPr>
      </w:pPr>
      <w:r w:rsidRPr="00A06DF7">
        <w:rPr>
          <w:rFonts w:cs="Calibri"/>
        </w:rPr>
        <w:lastRenderedPageBreak/>
        <w:t>Most submissions to the review of online gambling undertaken by DIA supporte</w:t>
      </w:r>
      <w:r w:rsidR="006C5AD5" w:rsidRPr="00A06DF7">
        <w:rPr>
          <w:rFonts w:cs="Calibri"/>
        </w:rPr>
        <w:t xml:space="preserve">d regulatory change to address the growth in unregulated </w:t>
      </w:r>
      <w:r w:rsidR="005C447B" w:rsidRPr="00A06DF7">
        <w:rPr>
          <w:rFonts w:cs="Calibri"/>
        </w:rPr>
        <w:t xml:space="preserve">offshore-based </w:t>
      </w:r>
      <w:r w:rsidR="006C5AD5" w:rsidRPr="00A06DF7">
        <w:rPr>
          <w:rFonts w:cs="Calibri"/>
        </w:rPr>
        <w:t>providers.</w:t>
      </w:r>
    </w:p>
    <w:p w14:paraId="00532D3F" w14:textId="2657C545" w:rsidR="0031204A" w:rsidRPr="00A06DF7" w:rsidRDefault="003C7BA0" w:rsidP="00BD1050">
      <w:pPr>
        <w:pStyle w:val="Heading6"/>
        <w:rPr>
          <w:rFonts w:cs="Calibri"/>
          <w:bCs/>
        </w:rPr>
      </w:pPr>
      <w:bookmarkStart w:id="215" w:name="_Toc166507411"/>
      <w:r w:rsidRPr="00A06DF7">
        <w:rPr>
          <w:rFonts w:cs="Calibri"/>
          <w:bCs/>
        </w:rPr>
        <w:t>Policy issues</w:t>
      </w:r>
      <w:r w:rsidR="008B6286" w:rsidRPr="00A06DF7">
        <w:rPr>
          <w:rFonts w:cs="Calibri"/>
          <w:bCs/>
        </w:rPr>
        <w:t xml:space="preserve"> in the funding regime</w:t>
      </w:r>
      <w:bookmarkEnd w:id="215"/>
    </w:p>
    <w:p w14:paraId="748A1A58" w14:textId="430CFCAF" w:rsidR="00A94784" w:rsidRPr="00A06DF7" w:rsidRDefault="00985EF4" w:rsidP="008841AA">
      <w:pPr>
        <w:rPr>
          <w:rFonts w:cs="Calibri"/>
        </w:rPr>
      </w:pPr>
      <w:r w:rsidRPr="00A06DF7">
        <w:rPr>
          <w:rFonts w:cs="Calibri"/>
        </w:rPr>
        <w:t xml:space="preserve">We have heard from stakeholders, and our own analysis has identified </w:t>
      </w:r>
      <w:r w:rsidR="00A94784" w:rsidRPr="00A06DF7">
        <w:rPr>
          <w:rFonts w:cs="Calibri"/>
        </w:rPr>
        <w:t xml:space="preserve">two inconsistencies in the </w:t>
      </w:r>
      <w:r w:rsidR="008D12F1" w:rsidRPr="00A06DF7">
        <w:rPr>
          <w:rFonts w:cs="Calibri"/>
        </w:rPr>
        <w:t xml:space="preserve">wider policy settings for the </w:t>
      </w:r>
      <w:r w:rsidR="00A94784" w:rsidRPr="00A06DF7">
        <w:rPr>
          <w:rFonts w:cs="Calibri"/>
        </w:rPr>
        <w:t xml:space="preserve">current </w:t>
      </w:r>
      <w:r w:rsidRPr="00A06DF7">
        <w:rPr>
          <w:rFonts w:cs="Calibri"/>
        </w:rPr>
        <w:t>funding regime for gambling harm in New Zealand.</w:t>
      </w:r>
    </w:p>
    <w:p w14:paraId="605FDD74" w14:textId="30DE60A9" w:rsidR="00985EF4" w:rsidRPr="00A06DF7" w:rsidRDefault="003831A9" w:rsidP="008841AA">
      <w:pPr>
        <w:rPr>
          <w:rFonts w:cs="Calibri"/>
          <w:b/>
          <w:bCs/>
        </w:rPr>
      </w:pPr>
      <w:r w:rsidRPr="00A06DF7">
        <w:rPr>
          <w:rFonts w:cs="Calibri"/>
          <w:b/>
          <w:bCs/>
        </w:rPr>
        <w:t xml:space="preserve">The </w:t>
      </w:r>
      <w:r w:rsidR="00A6424B" w:rsidRPr="00A06DF7">
        <w:rPr>
          <w:rFonts w:cs="Calibri"/>
          <w:b/>
          <w:bCs/>
        </w:rPr>
        <w:t xml:space="preserve">levy does not apply to </w:t>
      </w:r>
      <w:r w:rsidR="00C674E9" w:rsidRPr="00A06DF7">
        <w:rPr>
          <w:rFonts w:cs="Calibri"/>
          <w:b/>
          <w:bCs/>
        </w:rPr>
        <w:t>offshore</w:t>
      </w:r>
      <w:r w:rsidR="00412637" w:rsidRPr="00A06DF7">
        <w:rPr>
          <w:rFonts w:cs="Calibri"/>
          <w:b/>
          <w:bCs/>
        </w:rPr>
        <w:t>-based online gambling providers</w:t>
      </w:r>
      <w:r w:rsidR="00A85D95" w:rsidRPr="00A06DF7">
        <w:rPr>
          <w:rFonts w:cs="Calibri"/>
          <w:b/>
          <w:bCs/>
        </w:rPr>
        <w:t xml:space="preserve"> who are providing gambling services to New Zealanders</w:t>
      </w:r>
    </w:p>
    <w:p w14:paraId="4F571657" w14:textId="60B508C6" w:rsidR="003E78D5" w:rsidRPr="00A06DF7" w:rsidRDefault="007B2EB7" w:rsidP="008841AA">
      <w:pPr>
        <w:rPr>
          <w:rFonts w:cs="Calibri"/>
          <w:color w:val="0D0D0D"/>
          <w:shd w:val="clear" w:color="auto" w:fill="FFFFFF"/>
        </w:rPr>
      </w:pPr>
      <w:r w:rsidRPr="00A06DF7">
        <w:rPr>
          <w:rFonts w:cs="Calibri"/>
        </w:rPr>
        <w:t xml:space="preserve">The </w:t>
      </w:r>
      <w:r w:rsidR="00595251" w:rsidRPr="00A06DF7">
        <w:rPr>
          <w:rFonts w:cs="Calibri"/>
        </w:rPr>
        <w:t xml:space="preserve">growth of unregulated gambling </w:t>
      </w:r>
      <w:r w:rsidRPr="00A06DF7">
        <w:rPr>
          <w:rFonts w:cs="Calibri"/>
        </w:rPr>
        <w:t>has exacerbated</w:t>
      </w:r>
      <w:r w:rsidR="00595251" w:rsidRPr="00A06DF7">
        <w:rPr>
          <w:rFonts w:cs="Calibri"/>
        </w:rPr>
        <w:t xml:space="preserve"> inconsistenc</w:t>
      </w:r>
      <w:r w:rsidRPr="00A06DF7">
        <w:rPr>
          <w:rFonts w:cs="Calibri"/>
        </w:rPr>
        <w:t>ies</w:t>
      </w:r>
      <w:r w:rsidR="00595251" w:rsidRPr="00A06DF7">
        <w:rPr>
          <w:rFonts w:cs="Calibri"/>
        </w:rPr>
        <w:t xml:space="preserve"> in the current funding regime</w:t>
      </w:r>
      <w:r w:rsidRPr="00A06DF7">
        <w:rPr>
          <w:rFonts w:cs="Calibri"/>
        </w:rPr>
        <w:t xml:space="preserve">. </w:t>
      </w:r>
      <w:r w:rsidR="00543484" w:rsidRPr="00A06DF7">
        <w:rPr>
          <w:rFonts w:cs="Calibri"/>
          <w:color w:val="0D0D0D"/>
          <w:shd w:val="clear" w:color="auto" w:fill="FFFFFF"/>
        </w:rPr>
        <w:t>While the levy collection and allocation process in the Act applies to licensed operators (</w:t>
      </w:r>
      <w:r w:rsidR="009244D8" w:rsidRPr="00A06DF7">
        <w:rPr>
          <w:rFonts w:cs="Calibri"/>
          <w:color w:val="0D0D0D"/>
          <w:shd w:val="clear" w:color="auto" w:fill="FFFFFF"/>
        </w:rPr>
        <w:t>being only</w:t>
      </w:r>
      <w:r w:rsidR="00543484" w:rsidRPr="00A06DF7">
        <w:rPr>
          <w:rFonts w:cs="Calibri"/>
          <w:color w:val="0D0D0D"/>
          <w:shd w:val="clear" w:color="auto" w:fill="FFFFFF"/>
        </w:rPr>
        <w:t xml:space="preserve"> New Zealand-based gambling providers), it excludes any other gambling providers, including those based overseas.</w:t>
      </w:r>
      <w:r w:rsidR="005703D6" w:rsidRPr="00A06DF7">
        <w:rPr>
          <w:rFonts w:cs="Calibri"/>
          <w:color w:val="0D0D0D"/>
          <w:shd w:val="clear" w:color="auto" w:fill="FFFFFF"/>
        </w:rPr>
        <w:t xml:space="preserve"> New Zealand-based providers are cont</w:t>
      </w:r>
      <w:r w:rsidR="000911B0" w:rsidRPr="00A06DF7">
        <w:rPr>
          <w:rFonts w:cs="Calibri"/>
          <w:color w:val="0D0D0D"/>
          <w:shd w:val="clear" w:color="auto" w:fill="FFFFFF"/>
        </w:rPr>
        <w:t>ributing but offshore-based providers are not.</w:t>
      </w:r>
    </w:p>
    <w:p w14:paraId="7AC74377" w14:textId="6F2A6B05" w:rsidR="000911B0" w:rsidRPr="00A06DF7" w:rsidRDefault="004D21C1" w:rsidP="008841AA">
      <w:pPr>
        <w:rPr>
          <w:rFonts w:cs="Calibri"/>
        </w:rPr>
      </w:pPr>
      <w:r w:rsidRPr="00A06DF7">
        <w:rPr>
          <w:rFonts w:cs="Calibri"/>
          <w:color w:val="0D0D0D"/>
          <w:shd w:val="clear" w:color="auto" w:fill="FFFFFF"/>
        </w:rPr>
        <w:t>This is of particular concern given the increase in player expenditure on offshore-based online gambling sites relative to player expenditure</w:t>
      </w:r>
      <w:r w:rsidR="00423E31" w:rsidRPr="00A06DF7">
        <w:rPr>
          <w:rFonts w:cs="Calibri"/>
          <w:color w:val="0D0D0D"/>
          <w:shd w:val="clear" w:color="auto" w:fill="FFFFFF"/>
        </w:rPr>
        <w:t xml:space="preserve"> on licensed providers’ platforms/land-based gambling operations</w:t>
      </w:r>
      <w:r w:rsidRPr="00A06DF7">
        <w:rPr>
          <w:rFonts w:cs="Calibri"/>
          <w:color w:val="0D0D0D"/>
          <w:shd w:val="clear" w:color="auto" w:fill="FFFFFF"/>
        </w:rPr>
        <w:t xml:space="preserve">, as detailed in various </w:t>
      </w:r>
      <w:r w:rsidR="006758C8" w:rsidRPr="00A06DF7">
        <w:rPr>
          <w:rFonts w:cs="Calibri"/>
          <w:color w:val="0D0D0D"/>
          <w:shd w:val="clear" w:color="auto" w:fill="FFFFFF"/>
        </w:rPr>
        <w:t xml:space="preserve">parts of this </w:t>
      </w:r>
      <w:r w:rsidR="006E733C" w:rsidRPr="00A06DF7">
        <w:rPr>
          <w:rFonts w:cs="Calibri"/>
          <w:color w:val="0D0D0D"/>
          <w:shd w:val="clear" w:color="auto" w:fill="FFFFFF"/>
        </w:rPr>
        <w:t>document.</w:t>
      </w:r>
    </w:p>
    <w:p w14:paraId="7C67C8A4" w14:textId="371E2613" w:rsidR="00F207C7" w:rsidRPr="00A06DF7" w:rsidRDefault="00F207C7" w:rsidP="008841AA">
      <w:pPr>
        <w:rPr>
          <w:rFonts w:cs="Calibri"/>
        </w:rPr>
      </w:pPr>
      <w:r w:rsidRPr="5192E535">
        <w:rPr>
          <w:rFonts w:cs="Calibri"/>
        </w:rPr>
        <w:t>In effect</w:t>
      </w:r>
      <w:r w:rsidR="00691F0D" w:rsidRPr="5192E535">
        <w:rPr>
          <w:rFonts w:cs="Calibri"/>
        </w:rPr>
        <w:t>,</w:t>
      </w:r>
      <w:r w:rsidRPr="5192E535">
        <w:rPr>
          <w:rFonts w:cs="Calibri"/>
        </w:rPr>
        <w:t xml:space="preserve"> there </w:t>
      </w:r>
      <w:r w:rsidR="00691F0D" w:rsidRPr="5192E535">
        <w:rPr>
          <w:rFonts w:cs="Calibri"/>
        </w:rPr>
        <w:t>appears to be</w:t>
      </w:r>
      <w:r w:rsidRPr="5192E535">
        <w:rPr>
          <w:rFonts w:cs="Calibri"/>
        </w:rPr>
        <w:t xml:space="preserve"> a situation evolving wher</w:t>
      </w:r>
      <w:r w:rsidR="002E5421" w:rsidRPr="5192E535">
        <w:rPr>
          <w:rFonts w:cs="Calibri"/>
        </w:rPr>
        <w:t xml:space="preserve">e gambling </w:t>
      </w:r>
      <w:r w:rsidR="00460500" w:rsidRPr="5192E535">
        <w:rPr>
          <w:rFonts w:cs="Calibri"/>
        </w:rPr>
        <w:t xml:space="preserve">by New Zealanders </w:t>
      </w:r>
      <w:r w:rsidR="002E5421" w:rsidRPr="5192E535">
        <w:rPr>
          <w:rFonts w:cs="Calibri"/>
        </w:rPr>
        <w:t xml:space="preserve">is occurring </w:t>
      </w:r>
      <w:r w:rsidR="007C69F3" w:rsidRPr="5192E535">
        <w:rPr>
          <w:rFonts w:cs="Calibri"/>
        </w:rPr>
        <w:t xml:space="preserve">increasingly </w:t>
      </w:r>
      <w:r w:rsidR="002E5421" w:rsidRPr="5192E535">
        <w:rPr>
          <w:rFonts w:cs="Calibri"/>
        </w:rPr>
        <w:t xml:space="preserve">on overseas-based </w:t>
      </w:r>
      <w:r w:rsidR="00176B14" w:rsidRPr="5192E535">
        <w:rPr>
          <w:rFonts w:cs="Calibri"/>
        </w:rPr>
        <w:t>websites</w:t>
      </w:r>
      <w:r w:rsidR="002A48E2" w:rsidRPr="5192E535">
        <w:rPr>
          <w:rFonts w:cs="Calibri"/>
        </w:rPr>
        <w:t xml:space="preserve">, providing revenue to those sites from New Zealanders, and </w:t>
      </w:r>
      <w:r w:rsidR="0026551E" w:rsidRPr="5192E535">
        <w:rPr>
          <w:rFonts w:cs="Calibri"/>
        </w:rPr>
        <w:t>inevitably in</w:t>
      </w:r>
      <w:r w:rsidR="007C69F3" w:rsidRPr="5192E535">
        <w:rPr>
          <w:rFonts w:cs="Calibri"/>
        </w:rPr>
        <w:t>volving</w:t>
      </w:r>
      <w:r w:rsidR="0026551E" w:rsidRPr="5192E535">
        <w:rPr>
          <w:rFonts w:cs="Calibri"/>
        </w:rPr>
        <w:t xml:space="preserve"> </w:t>
      </w:r>
      <w:r w:rsidR="00957622" w:rsidRPr="5192E535">
        <w:rPr>
          <w:rFonts w:cs="Calibri"/>
        </w:rPr>
        <w:t>gambling harm to New Zealanders</w:t>
      </w:r>
      <w:r w:rsidR="00E43578" w:rsidRPr="5192E535">
        <w:rPr>
          <w:rFonts w:cs="Calibri"/>
        </w:rPr>
        <w:t xml:space="preserve"> (and with </w:t>
      </w:r>
      <w:r w:rsidR="00150C59" w:rsidRPr="5192E535">
        <w:rPr>
          <w:rFonts w:cs="Calibri"/>
        </w:rPr>
        <w:t>unknown or no harm minimisation measures in place)</w:t>
      </w:r>
      <w:r w:rsidR="007C69F3" w:rsidRPr="5192E535">
        <w:rPr>
          <w:rFonts w:cs="Calibri"/>
        </w:rPr>
        <w:t>.</w:t>
      </w:r>
      <w:r w:rsidR="00553956" w:rsidRPr="5192E535">
        <w:rPr>
          <w:rFonts w:cs="Calibri"/>
        </w:rPr>
        <w:t xml:space="preserve"> </w:t>
      </w:r>
      <w:r w:rsidR="007C69F3" w:rsidRPr="5192E535">
        <w:rPr>
          <w:rFonts w:cs="Calibri"/>
        </w:rPr>
        <w:t>H</w:t>
      </w:r>
      <w:r w:rsidR="00553956" w:rsidRPr="5192E535">
        <w:rPr>
          <w:rFonts w:cs="Calibri"/>
        </w:rPr>
        <w:t>owever</w:t>
      </w:r>
      <w:r w:rsidR="007C69F3" w:rsidRPr="5192E535">
        <w:rPr>
          <w:rFonts w:cs="Calibri"/>
        </w:rPr>
        <w:t>,</w:t>
      </w:r>
      <w:r w:rsidR="00553956" w:rsidRPr="5192E535">
        <w:rPr>
          <w:rFonts w:cs="Calibri"/>
        </w:rPr>
        <w:t xml:space="preserve"> there is no levy being paid by those providers</w:t>
      </w:r>
      <w:r w:rsidR="00B31E34" w:rsidRPr="5192E535">
        <w:rPr>
          <w:rFonts w:cs="Calibri"/>
        </w:rPr>
        <w:t xml:space="preserve"> </w:t>
      </w:r>
      <w:r w:rsidR="002C713E" w:rsidRPr="5192E535">
        <w:rPr>
          <w:rFonts w:cs="Calibri"/>
        </w:rPr>
        <w:t>towards</w:t>
      </w:r>
      <w:r w:rsidR="009A2D6A" w:rsidRPr="5192E535">
        <w:rPr>
          <w:rFonts w:cs="Calibri"/>
        </w:rPr>
        <w:t xml:space="preserve"> support</w:t>
      </w:r>
      <w:r w:rsidR="002C713E" w:rsidRPr="5192E535">
        <w:rPr>
          <w:rFonts w:cs="Calibri"/>
        </w:rPr>
        <w:t>ing</w:t>
      </w:r>
      <w:r w:rsidR="009A2D6A" w:rsidRPr="5192E535">
        <w:rPr>
          <w:rFonts w:cs="Calibri"/>
        </w:rPr>
        <w:t xml:space="preserve"> New Zealand gambling harm prov</w:t>
      </w:r>
      <w:r w:rsidR="00024A32" w:rsidRPr="5192E535">
        <w:rPr>
          <w:rFonts w:cs="Calibri"/>
        </w:rPr>
        <w:t>ision</w:t>
      </w:r>
      <w:r w:rsidR="001A6A50" w:rsidRPr="5192E535">
        <w:rPr>
          <w:rFonts w:cs="Calibri"/>
        </w:rPr>
        <w:t>, thus no</w:t>
      </w:r>
      <w:r w:rsidR="42CF582B" w:rsidRPr="5192E535">
        <w:rPr>
          <w:rFonts w:cs="Calibri"/>
        </w:rPr>
        <w:t>t</w:t>
      </w:r>
      <w:r w:rsidR="001A6A50" w:rsidRPr="5192E535">
        <w:rPr>
          <w:rFonts w:cs="Calibri"/>
        </w:rPr>
        <w:t xml:space="preserve"> contributi</w:t>
      </w:r>
      <w:r w:rsidR="00667054">
        <w:rPr>
          <w:rFonts w:cs="Calibri"/>
        </w:rPr>
        <w:t>ng</w:t>
      </w:r>
      <w:r w:rsidR="001A6A50" w:rsidRPr="5192E535">
        <w:rPr>
          <w:rFonts w:cs="Calibri"/>
        </w:rPr>
        <w:t xml:space="preserve"> to</w:t>
      </w:r>
      <w:r w:rsidR="00E86961" w:rsidRPr="5192E535">
        <w:rPr>
          <w:rFonts w:cs="Calibri"/>
        </w:rPr>
        <w:t xml:space="preserve"> minimising the harm </w:t>
      </w:r>
      <w:r w:rsidR="00861274">
        <w:rPr>
          <w:rFonts w:cs="Calibri"/>
        </w:rPr>
        <w:t>their services generate</w:t>
      </w:r>
      <w:r w:rsidR="00E86961" w:rsidRPr="5192E535">
        <w:rPr>
          <w:rFonts w:cs="Calibri"/>
        </w:rPr>
        <w:t>.</w:t>
      </w:r>
    </w:p>
    <w:p w14:paraId="2FE67693" w14:textId="295CD5F8" w:rsidR="002B7896" w:rsidRPr="00A06DF7" w:rsidRDefault="002B7896" w:rsidP="008841AA">
      <w:pPr>
        <w:rPr>
          <w:rFonts w:cs="Calibri"/>
        </w:rPr>
      </w:pPr>
      <w:r w:rsidRPr="00A06DF7">
        <w:rPr>
          <w:rFonts w:cs="Calibri"/>
        </w:rPr>
        <w:t xml:space="preserve">This is arguably inconsistent with </w:t>
      </w:r>
      <w:r w:rsidR="00D70AE7" w:rsidRPr="00A06DF7">
        <w:rPr>
          <w:rFonts w:cs="Calibri"/>
        </w:rPr>
        <w:t>the</w:t>
      </w:r>
      <w:r w:rsidRPr="00A06DF7">
        <w:rPr>
          <w:rFonts w:cs="Calibri"/>
        </w:rPr>
        <w:t xml:space="preserve"> purpose of the Act </w:t>
      </w:r>
      <w:r w:rsidR="001510A8" w:rsidRPr="00A06DF7">
        <w:rPr>
          <w:rFonts w:cs="Calibri"/>
        </w:rPr>
        <w:t xml:space="preserve">which </w:t>
      </w:r>
      <w:r w:rsidR="00D70AE7" w:rsidRPr="00A06DF7">
        <w:rPr>
          <w:rFonts w:cs="Calibri"/>
        </w:rPr>
        <w:t>is</w:t>
      </w:r>
      <w:r w:rsidR="001510A8" w:rsidRPr="00A06DF7">
        <w:rPr>
          <w:rFonts w:cs="Calibri"/>
        </w:rPr>
        <w:t xml:space="preserve"> to “</w:t>
      </w:r>
      <w:r w:rsidR="00754845" w:rsidRPr="00A06DF7">
        <w:rPr>
          <w:rFonts w:cs="Calibri"/>
        </w:rPr>
        <w:t>prevent and minimise harm from gambling, including problem gambling” (section 3(b</w:t>
      </w:r>
      <w:r w:rsidR="00D92EF3" w:rsidRPr="00A06DF7">
        <w:rPr>
          <w:rFonts w:cs="Calibri"/>
        </w:rPr>
        <w:t>))</w:t>
      </w:r>
      <w:r w:rsidR="00D70AE7" w:rsidRPr="00A06DF7">
        <w:rPr>
          <w:rFonts w:cs="Calibri"/>
        </w:rPr>
        <w:t xml:space="preserve"> and “ensure that money from gambling benefits the community” (section 3(</w:t>
      </w:r>
      <w:r w:rsidR="00E2149D" w:rsidRPr="00A06DF7">
        <w:rPr>
          <w:rFonts w:cs="Calibri"/>
        </w:rPr>
        <w:t>g)).</w:t>
      </w:r>
    </w:p>
    <w:p w14:paraId="1AD1CC69" w14:textId="46894FD7" w:rsidR="00527D9A" w:rsidRPr="00A06DF7" w:rsidRDefault="00527D9A" w:rsidP="000271F5">
      <w:pPr>
        <w:keepNext/>
        <w:rPr>
          <w:rFonts w:cs="Calibri"/>
          <w:b/>
          <w:bCs/>
        </w:rPr>
      </w:pPr>
      <w:r w:rsidRPr="00A06DF7">
        <w:rPr>
          <w:rFonts w:cs="Calibri"/>
          <w:b/>
          <w:bCs/>
        </w:rPr>
        <w:t xml:space="preserve">The levy </w:t>
      </w:r>
      <w:r w:rsidR="001E3715" w:rsidRPr="00A06DF7">
        <w:rPr>
          <w:rFonts w:cs="Calibri"/>
          <w:b/>
          <w:bCs/>
        </w:rPr>
        <w:t xml:space="preserve">regime </w:t>
      </w:r>
      <w:r w:rsidR="00F91FEE" w:rsidRPr="00A06DF7">
        <w:rPr>
          <w:rFonts w:cs="Calibri"/>
          <w:b/>
          <w:bCs/>
        </w:rPr>
        <w:t>is inconsistent</w:t>
      </w:r>
      <w:r w:rsidR="006F1533" w:rsidRPr="00A06DF7">
        <w:rPr>
          <w:rFonts w:cs="Calibri"/>
          <w:b/>
          <w:bCs/>
        </w:rPr>
        <w:t xml:space="preserve"> </w:t>
      </w:r>
      <w:r w:rsidR="00CA580B" w:rsidRPr="00A06DF7">
        <w:rPr>
          <w:rFonts w:cs="Calibri"/>
          <w:b/>
          <w:bCs/>
        </w:rPr>
        <w:t xml:space="preserve">with respect to online vs </w:t>
      </w:r>
      <w:r w:rsidR="001546B9" w:rsidRPr="00A06DF7">
        <w:rPr>
          <w:rFonts w:cs="Calibri"/>
          <w:b/>
          <w:bCs/>
        </w:rPr>
        <w:t>land-based gambling</w:t>
      </w:r>
    </w:p>
    <w:p w14:paraId="41B44EBF" w14:textId="1F037EE9" w:rsidR="00250761" w:rsidRPr="00A06DF7" w:rsidRDefault="00E764BD" w:rsidP="00AF6EF2">
      <w:pPr>
        <w:rPr>
          <w:rFonts w:cs="Calibri"/>
        </w:rPr>
      </w:pPr>
      <w:r w:rsidRPr="00A06DF7">
        <w:rPr>
          <w:rFonts w:cs="Calibri"/>
        </w:rPr>
        <w:t>Second, the</w:t>
      </w:r>
      <w:r w:rsidR="00CE6D11" w:rsidRPr="00A06DF7">
        <w:rPr>
          <w:rFonts w:cs="Calibri"/>
        </w:rPr>
        <w:t xml:space="preserve">re is an inconsistency in the fact that Lotto and TAB </w:t>
      </w:r>
      <w:r w:rsidR="004C08BC" w:rsidRPr="00A06DF7">
        <w:rPr>
          <w:rFonts w:cs="Calibri"/>
        </w:rPr>
        <w:t xml:space="preserve">NZ </w:t>
      </w:r>
      <w:r w:rsidR="00CE6D11" w:rsidRPr="00A06DF7">
        <w:rPr>
          <w:rFonts w:cs="Calibri"/>
        </w:rPr>
        <w:t xml:space="preserve">are </w:t>
      </w:r>
      <w:r w:rsidR="001A57A4" w:rsidRPr="00A06DF7">
        <w:rPr>
          <w:rFonts w:cs="Calibri"/>
        </w:rPr>
        <w:t>permitted</w:t>
      </w:r>
      <w:r w:rsidR="004B536A" w:rsidRPr="00A06DF7">
        <w:rPr>
          <w:rFonts w:cs="Calibri"/>
        </w:rPr>
        <w:t xml:space="preserve"> by statute to </w:t>
      </w:r>
      <w:r w:rsidR="00E87E62" w:rsidRPr="00A06DF7">
        <w:rPr>
          <w:rFonts w:cs="Calibri"/>
        </w:rPr>
        <w:t>provide online gambling products, while other New Zealand-based gambling providers are not permitted to do so.</w:t>
      </w:r>
      <w:r w:rsidR="00205F82" w:rsidRPr="00A06DF7">
        <w:rPr>
          <w:rFonts w:cs="Calibri"/>
        </w:rPr>
        <w:t xml:space="preserve"> </w:t>
      </w:r>
      <w:r w:rsidR="00E87E62" w:rsidRPr="00A06DF7">
        <w:rPr>
          <w:rFonts w:cs="Calibri"/>
        </w:rPr>
        <w:t>The nature of the gambling products offered by Lotto and TAB</w:t>
      </w:r>
      <w:r w:rsidR="004C08BC" w:rsidRPr="00A06DF7">
        <w:rPr>
          <w:rFonts w:cs="Calibri"/>
        </w:rPr>
        <w:t xml:space="preserve"> NZ</w:t>
      </w:r>
      <w:r w:rsidR="00E24A33" w:rsidRPr="00A06DF7">
        <w:rPr>
          <w:rFonts w:cs="Calibri"/>
        </w:rPr>
        <w:t xml:space="preserve">, in addition to the fact that profits go back to the community and </w:t>
      </w:r>
      <w:r w:rsidR="00185228" w:rsidRPr="00A06DF7">
        <w:rPr>
          <w:rFonts w:cs="Calibri"/>
        </w:rPr>
        <w:t xml:space="preserve">that Lotto and TAB </w:t>
      </w:r>
      <w:r w:rsidR="004C08BC" w:rsidRPr="00A06DF7">
        <w:rPr>
          <w:rFonts w:cs="Calibri"/>
        </w:rPr>
        <w:t>NZ</w:t>
      </w:r>
      <w:r w:rsidR="00185228" w:rsidRPr="00A06DF7">
        <w:rPr>
          <w:rFonts w:cs="Calibri"/>
        </w:rPr>
        <w:t xml:space="preserve"> are </w:t>
      </w:r>
      <w:r w:rsidR="00E24A33" w:rsidRPr="00A06DF7">
        <w:rPr>
          <w:rFonts w:cs="Calibri"/>
        </w:rPr>
        <w:t>owned by the Crown</w:t>
      </w:r>
      <w:r w:rsidR="00185228" w:rsidRPr="00A06DF7">
        <w:rPr>
          <w:rFonts w:cs="Calibri"/>
        </w:rPr>
        <w:t xml:space="preserve"> may explain this </w:t>
      </w:r>
      <w:r w:rsidR="008A26F9" w:rsidRPr="00A06DF7">
        <w:rPr>
          <w:rFonts w:cs="Calibri"/>
        </w:rPr>
        <w:t>difference and we expect this was</w:t>
      </w:r>
      <w:r w:rsidR="00C820C1" w:rsidRPr="00A06DF7">
        <w:rPr>
          <w:rFonts w:cs="Calibri"/>
        </w:rPr>
        <w:t xml:space="preserve"> at least part of</w:t>
      </w:r>
      <w:r w:rsidR="008A26F9" w:rsidRPr="00A06DF7">
        <w:rPr>
          <w:rFonts w:cs="Calibri"/>
        </w:rPr>
        <w:t xml:space="preserve"> the original policy rationale.</w:t>
      </w:r>
      <w:r w:rsidR="00250761" w:rsidRPr="00A06DF7">
        <w:rPr>
          <w:rFonts w:cs="Calibri"/>
        </w:rPr>
        <w:t xml:space="preserve"> In addition, TAB </w:t>
      </w:r>
      <w:r w:rsidR="000767E6" w:rsidRPr="00A06DF7">
        <w:rPr>
          <w:rFonts w:cs="Calibri"/>
        </w:rPr>
        <w:t>NZ</w:t>
      </w:r>
      <w:r w:rsidR="00250761" w:rsidRPr="00A06DF7">
        <w:rPr>
          <w:rFonts w:cs="Calibri"/>
        </w:rPr>
        <w:t xml:space="preserve"> and Lotto pay tax and gambling levy on their expenditure (whether online or traditional).</w:t>
      </w:r>
    </w:p>
    <w:p w14:paraId="09B9DD42" w14:textId="68307C71" w:rsidR="00E86961" w:rsidRPr="00A06DF7" w:rsidRDefault="00F367EA" w:rsidP="008841AA">
      <w:pPr>
        <w:rPr>
          <w:rFonts w:cs="Calibri"/>
        </w:rPr>
      </w:pPr>
      <w:r w:rsidRPr="00A06DF7">
        <w:rPr>
          <w:rFonts w:cs="Calibri"/>
        </w:rPr>
        <w:t xml:space="preserve">However, </w:t>
      </w:r>
      <w:r w:rsidR="00592AF8" w:rsidRPr="00A06DF7">
        <w:rPr>
          <w:rFonts w:cs="Calibri"/>
        </w:rPr>
        <w:t xml:space="preserve">as </w:t>
      </w:r>
      <w:r w:rsidR="00C820C1" w:rsidRPr="00A06DF7">
        <w:rPr>
          <w:rFonts w:cs="Calibri"/>
        </w:rPr>
        <w:t xml:space="preserve">has </w:t>
      </w:r>
      <w:r w:rsidR="00007BC9" w:rsidRPr="00A06DF7">
        <w:rPr>
          <w:rFonts w:cs="Calibri"/>
        </w:rPr>
        <w:t>come</w:t>
      </w:r>
      <w:r w:rsidR="00592AF8" w:rsidRPr="00A06DF7">
        <w:rPr>
          <w:rFonts w:cs="Calibri"/>
        </w:rPr>
        <w:t xml:space="preserve"> through in the submissions to the DIA’s online gambling review</w:t>
      </w:r>
      <w:r w:rsidR="00A278D0" w:rsidRPr="00A06DF7">
        <w:rPr>
          <w:rFonts w:cs="Calibri"/>
        </w:rPr>
        <w:t xml:space="preserve"> and as </w:t>
      </w:r>
      <w:r w:rsidR="00205F82" w:rsidRPr="00A06DF7">
        <w:rPr>
          <w:rFonts w:cs="Calibri"/>
        </w:rPr>
        <w:t xml:space="preserve">we </w:t>
      </w:r>
      <w:r w:rsidR="00A278D0" w:rsidRPr="00A06DF7">
        <w:rPr>
          <w:rFonts w:cs="Calibri"/>
        </w:rPr>
        <w:t>heard from stakeholders</w:t>
      </w:r>
      <w:r w:rsidR="00592AF8" w:rsidRPr="00A06DF7">
        <w:rPr>
          <w:rFonts w:cs="Calibri"/>
        </w:rPr>
        <w:t xml:space="preserve">, </w:t>
      </w:r>
      <w:r w:rsidR="004F0E2F" w:rsidRPr="00A06DF7">
        <w:rPr>
          <w:rFonts w:cs="Calibri"/>
        </w:rPr>
        <w:t xml:space="preserve">most people cannot see the difference between Lotto or TAB </w:t>
      </w:r>
      <w:r w:rsidR="003B264C" w:rsidRPr="00A06DF7">
        <w:rPr>
          <w:rFonts w:cs="Calibri"/>
        </w:rPr>
        <w:t xml:space="preserve">NZ </w:t>
      </w:r>
      <w:r w:rsidR="004F0E2F" w:rsidRPr="00A06DF7">
        <w:rPr>
          <w:rFonts w:cs="Calibri"/>
        </w:rPr>
        <w:t xml:space="preserve">offering </w:t>
      </w:r>
      <w:r w:rsidR="004F0E2F" w:rsidRPr="00A06DF7">
        <w:rPr>
          <w:rFonts w:cs="Calibri"/>
        </w:rPr>
        <w:lastRenderedPageBreak/>
        <w:t>an online gambling product</w:t>
      </w:r>
      <w:r w:rsidR="00C36C96" w:rsidRPr="00A06DF7">
        <w:rPr>
          <w:rFonts w:cs="Calibri"/>
        </w:rPr>
        <w:t xml:space="preserve">, </w:t>
      </w:r>
      <w:r w:rsidR="00625D52" w:rsidRPr="00A06DF7">
        <w:rPr>
          <w:rFonts w:cs="Calibri"/>
        </w:rPr>
        <w:t>SkyCity offering an online gambling product (albeit that SkyCity’s produc</w:t>
      </w:r>
      <w:r w:rsidR="00405048" w:rsidRPr="00A06DF7">
        <w:rPr>
          <w:rFonts w:cs="Calibri"/>
        </w:rPr>
        <w:t>t platform is based in Malta)</w:t>
      </w:r>
      <w:r w:rsidR="006F6083" w:rsidRPr="00A06DF7">
        <w:rPr>
          <w:rFonts w:cs="Calibri"/>
        </w:rPr>
        <w:t xml:space="preserve">, </w:t>
      </w:r>
      <w:r w:rsidR="00C36C96" w:rsidRPr="00A06DF7">
        <w:rPr>
          <w:rFonts w:cs="Calibri"/>
        </w:rPr>
        <w:t>or</w:t>
      </w:r>
      <w:r w:rsidR="00851210" w:rsidRPr="00A06DF7">
        <w:rPr>
          <w:rFonts w:cs="Calibri"/>
        </w:rPr>
        <w:t xml:space="preserve"> any other overseas-based </w:t>
      </w:r>
      <w:r w:rsidR="00E819E7" w:rsidRPr="00A06DF7">
        <w:rPr>
          <w:rFonts w:cs="Calibri"/>
        </w:rPr>
        <w:t>entity providing online gambling to New Zealanders.</w:t>
      </w:r>
      <w:r w:rsidR="00C36C96" w:rsidRPr="00A06DF7">
        <w:rPr>
          <w:rFonts w:cs="Calibri"/>
        </w:rPr>
        <w:t xml:space="preserve"> It is all the same </w:t>
      </w:r>
      <w:r w:rsidR="00D86136" w:rsidRPr="00A06DF7">
        <w:rPr>
          <w:rFonts w:cs="Calibri"/>
        </w:rPr>
        <w:t>type of</w:t>
      </w:r>
      <w:r w:rsidR="00C36C96" w:rsidRPr="00A06DF7">
        <w:rPr>
          <w:rFonts w:cs="Calibri"/>
        </w:rPr>
        <w:t xml:space="preserve"> </w:t>
      </w:r>
      <w:r w:rsidR="00205F82" w:rsidRPr="00A06DF7">
        <w:rPr>
          <w:rFonts w:cs="Calibri"/>
        </w:rPr>
        <w:t>activity (gambling)</w:t>
      </w:r>
      <w:r w:rsidR="00C36C96" w:rsidRPr="00A06DF7">
        <w:rPr>
          <w:rFonts w:cs="Calibri"/>
        </w:rPr>
        <w:t xml:space="preserve"> from an end-user perspective.</w:t>
      </w:r>
    </w:p>
    <w:p w14:paraId="2DE2F76A" w14:textId="53246901" w:rsidR="00332F4B" w:rsidRPr="00A06DF7" w:rsidRDefault="00C97051" w:rsidP="00824A47">
      <w:pPr>
        <w:pStyle w:val="Heading6"/>
        <w:rPr>
          <w:rFonts w:cs="Calibri"/>
          <w:bCs/>
        </w:rPr>
      </w:pPr>
      <w:bookmarkStart w:id="216" w:name="_Toc166507412"/>
      <w:r w:rsidRPr="00A06DF7">
        <w:rPr>
          <w:rFonts w:cs="Calibri"/>
          <w:bCs/>
        </w:rPr>
        <w:t>S</w:t>
      </w:r>
      <w:r w:rsidR="00332F4B" w:rsidRPr="00A06DF7">
        <w:rPr>
          <w:rFonts w:cs="Calibri"/>
          <w:bCs/>
        </w:rPr>
        <w:t>cenario analysis</w:t>
      </w:r>
      <w:bookmarkEnd w:id="216"/>
    </w:p>
    <w:p w14:paraId="773A6E47" w14:textId="2407D91B" w:rsidR="00332F4B" w:rsidRPr="00A06DF7" w:rsidRDefault="00205F82" w:rsidP="00332F4B">
      <w:pPr>
        <w:rPr>
          <w:rFonts w:cs="Calibri"/>
        </w:rPr>
      </w:pPr>
      <w:r w:rsidRPr="00A06DF7">
        <w:rPr>
          <w:rFonts w:cs="Calibri"/>
        </w:rPr>
        <w:t xml:space="preserve">In considering the funding review, </w:t>
      </w:r>
      <w:r w:rsidR="0035311B" w:rsidRPr="00A06DF7">
        <w:rPr>
          <w:rFonts w:cs="Calibri"/>
        </w:rPr>
        <w:t>we have posed</w:t>
      </w:r>
      <w:r w:rsidR="00954EAE" w:rsidRPr="00A06DF7">
        <w:rPr>
          <w:rFonts w:cs="Calibri"/>
        </w:rPr>
        <w:t xml:space="preserve"> two theoretical</w:t>
      </w:r>
      <w:r w:rsidR="000E022B" w:rsidRPr="00A06DF7">
        <w:rPr>
          <w:rFonts w:cs="Calibri"/>
        </w:rPr>
        <w:t xml:space="preserve"> future scenarios</w:t>
      </w:r>
      <w:r w:rsidR="004132BB" w:rsidRPr="00A06DF7">
        <w:rPr>
          <w:rFonts w:cs="Calibri"/>
        </w:rPr>
        <w:t xml:space="preserve"> for the treatment of online gambling</w:t>
      </w:r>
      <w:r w:rsidR="00332F4B" w:rsidRPr="00A06DF7">
        <w:rPr>
          <w:rFonts w:cs="Calibri"/>
        </w:rPr>
        <w:t xml:space="preserve">, as well as potential policy </w:t>
      </w:r>
      <w:r w:rsidR="00A56589" w:rsidRPr="00A06DF7">
        <w:rPr>
          <w:rFonts w:cs="Calibri"/>
        </w:rPr>
        <w:t>and financial</w:t>
      </w:r>
      <w:r w:rsidR="00332F4B" w:rsidRPr="00A06DF7">
        <w:rPr>
          <w:rFonts w:cs="Calibri"/>
        </w:rPr>
        <w:t xml:space="preserve"> considerations</w:t>
      </w:r>
      <w:r w:rsidR="00835277" w:rsidRPr="00A06DF7">
        <w:rPr>
          <w:rFonts w:cs="Calibri"/>
        </w:rPr>
        <w:t xml:space="preserve"> for each. This </w:t>
      </w:r>
      <w:r w:rsidR="0035311B" w:rsidRPr="00A06DF7">
        <w:rPr>
          <w:rFonts w:cs="Calibri"/>
        </w:rPr>
        <w:t>discussion</w:t>
      </w:r>
      <w:r w:rsidR="00835277" w:rsidRPr="00A06DF7">
        <w:rPr>
          <w:rFonts w:cs="Calibri"/>
        </w:rPr>
        <w:t xml:space="preserve"> could have significant </w:t>
      </w:r>
      <w:r w:rsidR="0054170A" w:rsidRPr="00A06DF7">
        <w:rPr>
          <w:rFonts w:cs="Calibri"/>
        </w:rPr>
        <w:t xml:space="preserve">implications for the </w:t>
      </w:r>
      <w:r w:rsidR="00757B5D" w:rsidRPr="00A06DF7">
        <w:rPr>
          <w:rFonts w:cs="Calibri"/>
        </w:rPr>
        <w:t xml:space="preserve">funding within the Strategy, including the </w:t>
      </w:r>
      <w:r w:rsidR="0054170A" w:rsidRPr="00A06DF7">
        <w:rPr>
          <w:rFonts w:cs="Calibri"/>
        </w:rPr>
        <w:t>ongoing and sustainable funding of gambling harm reduction providers</w:t>
      </w:r>
      <w:r w:rsidR="00757B5D" w:rsidRPr="00A06DF7">
        <w:rPr>
          <w:rFonts w:cs="Calibri"/>
        </w:rPr>
        <w:t xml:space="preserve"> in New Zealand. The scenarios </w:t>
      </w:r>
      <w:r w:rsidR="0035311B" w:rsidRPr="00A06DF7">
        <w:rPr>
          <w:rFonts w:cs="Calibri"/>
        </w:rPr>
        <w:t>considered</w:t>
      </w:r>
      <w:r w:rsidR="00757B5D" w:rsidRPr="00A06DF7">
        <w:rPr>
          <w:rFonts w:cs="Calibri"/>
        </w:rPr>
        <w:t xml:space="preserve"> are</w:t>
      </w:r>
      <w:r w:rsidR="00332F4B" w:rsidRPr="00A06DF7">
        <w:rPr>
          <w:rFonts w:cs="Calibri"/>
        </w:rPr>
        <w:t>:</w:t>
      </w:r>
    </w:p>
    <w:p w14:paraId="17A592A8" w14:textId="2BD317CA" w:rsidR="00332F4B" w:rsidRPr="00A06DF7" w:rsidRDefault="00282994" w:rsidP="00332F4B">
      <w:pPr>
        <w:pStyle w:val="ListParagraph"/>
        <w:numPr>
          <w:ilvl w:val="0"/>
          <w:numId w:val="18"/>
        </w:numPr>
        <w:rPr>
          <w:rFonts w:cs="Calibri"/>
        </w:rPr>
      </w:pPr>
      <w:r w:rsidRPr="00A06DF7">
        <w:rPr>
          <w:rFonts w:cs="Calibri"/>
          <w:b/>
        </w:rPr>
        <w:t>S</w:t>
      </w:r>
      <w:r w:rsidR="00332F4B" w:rsidRPr="00A06DF7">
        <w:rPr>
          <w:rFonts w:cs="Calibri"/>
          <w:b/>
        </w:rPr>
        <w:t>tatus quo</w:t>
      </w:r>
      <w:r w:rsidR="00A10502" w:rsidRPr="00A06DF7">
        <w:rPr>
          <w:rFonts w:cs="Calibri"/>
        </w:rPr>
        <w:t xml:space="preserve"> (offshore-based gambling providers continue to provide services to New Zealanders but do not pay towards the levy)</w:t>
      </w:r>
      <w:r w:rsidR="0015521B">
        <w:rPr>
          <w:rStyle w:val="FootnoteReference"/>
          <w:rFonts w:cs="Calibri"/>
        </w:rPr>
        <w:footnoteReference w:id="31"/>
      </w:r>
    </w:p>
    <w:p w14:paraId="578D261A" w14:textId="7F7E496F" w:rsidR="00FF452F" w:rsidRPr="00A06DF7" w:rsidRDefault="005C447B" w:rsidP="00824A47">
      <w:pPr>
        <w:pStyle w:val="ListParagraph"/>
        <w:numPr>
          <w:ilvl w:val="0"/>
          <w:numId w:val="18"/>
        </w:numPr>
        <w:rPr>
          <w:rFonts w:cs="Calibri"/>
        </w:rPr>
      </w:pPr>
      <w:r w:rsidRPr="00A06DF7">
        <w:rPr>
          <w:rFonts w:cs="Calibri"/>
          <w:b/>
        </w:rPr>
        <w:t xml:space="preserve">Offshore-based </w:t>
      </w:r>
      <w:r w:rsidR="00332F4B" w:rsidRPr="00A06DF7">
        <w:rPr>
          <w:rFonts w:cs="Calibri"/>
          <w:b/>
        </w:rPr>
        <w:t xml:space="preserve">gambling providers </w:t>
      </w:r>
      <w:r w:rsidR="00757B5D" w:rsidRPr="00A06DF7">
        <w:rPr>
          <w:rFonts w:cs="Calibri"/>
          <w:b/>
          <w:bCs/>
        </w:rPr>
        <w:t>are</w:t>
      </w:r>
      <w:r w:rsidR="00332F4B" w:rsidRPr="00A06DF7">
        <w:rPr>
          <w:rFonts w:cs="Calibri"/>
          <w:b/>
        </w:rPr>
        <w:t xml:space="preserve"> regulated and pay </w:t>
      </w:r>
      <w:r w:rsidR="00A10502" w:rsidRPr="00A06DF7">
        <w:rPr>
          <w:rFonts w:cs="Calibri"/>
          <w:b/>
        </w:rPr>
        <w:t xml:space="preserve">the </w:t>
      </w:r>
      <w:r w:rsidR="00332F4B" w:rsidRPr="00A06DF7">
        <w:rPr>
          <w:rFonts w:cs="Calibri"/>
          <w:b/>
        </w:rPr>
        <w:t>levy</w:t>
      </w:r>
      <w:r w:rsidR="00332F4B" w:rsidRPr="00A06DF7">
        <w:rPr>
          <w:rFonts w:cs="Calibri"/>
        </w:rPr>
        <w:t xml:space="preserve"> in N</w:t>
      </w:r>
      <w:r w:rsidR="00A10502" w:rsidRPr="00A06DF7">
        <w:rPr>
          <w:rFonts w:cs="Calibri"/>
        </w:rPr>
        <w:t xml:space="preserve">ew </w:t>
      </w:r>
      <w:r w:rsidR="00332F4B" w:rsidRPr="00A06DF7">
        <w:rPr>
          <w:rFonts w:cs="Calibri"/>
        </w:rPr>
        <w:t>Z</w:t>
      </w:r>
      <w:r w:rsidR="00A10502" w:rsidRPr="00A06DF7">
        <w:rPr>
          <w:rFonts w:cs="Calibri"/>
        </w:rPr>
        <w:t>ealand.</w:t>
      </w:r>
    </w:p>
    <w:p w14:paraId="7AA00E03" w14:textId="2AD42DE6" w:rsidR="00332F4B" w:rsidRPr="007B2FC7" w:rsidRDefault="00A56589" w:rsidP="001912CA">
      <w:pPr>
        <w:pStyle w:val="Heading7"/>
      </w:pPr>
      <w:r w:rsidRPr="007B2FC7">
        <w:t xml:space="preserve">Scenario 1 </w:t>
      </w:r>
      <w:r w:rsidR="00481ECF" w:rsidRPr="007B2FC7">
        <w:t>–</w:t>
      </w:r>
      <w:r w:rsidRPr="007B2FC7">
        <w:t xml:space="preserve"> </w:t>
      </w:r>
      <w:r w:rsidR="00A85DE7" w:rsidRPr="007B2FC7">
        <w:t>s</w:t>
      </w:r>
      <w:r w:rsidR="00332F4B" w:rsidRPr="007B2FC7">
        <w:t>tatus quo</w:t>
      </w:r>
    </w:p>
    <w:p w14:paraId="574BC7FF" w14:textId="42E8696B" w:rsidR="00757B5D" w:rsidRPr="00A06DF7" w:rsidRDefault="00757B5D">
      <w:pPr>
        <w:rPr>
          <w:rFonts w:cs="Calibri"/>
        </w:rPr>
      </w:pPr>
      <w:r w:rsidRPr="00A06DF7">
        <w:rPr>
          <w:rFonts w:cs="Calibri"/>
        </w:rPr>
        <w:t xml:space="preserve">Under the status quo, based on the findings in this report </w:t>
      </w:r>
      <w:r w:rsidR="003E4E99" w:rsidRPr="00A06DF7">
        <w:rPr>
          <w:rFonts w:cs="Calibri"/>
        </w:rPr>
        <w:t xml:space="preserve">we expect the proportion of New Zealanders </w:t>
      </w:r>
      <w:r w:rsidR="0035311B" w:rsidRPr="00A06DF7">
        <w:rPr>
          <w:rFonts w:cs="Calibri"/>
        </w:rPr>
        <w:t>who use offshore-based online gambling providers to increase</w:t>
      </w:r>
      <w:r w:rsidR="00DF70F2" w:rsidRPr="00A06DF7">
        <w:rPr>
          <w:rFonts w:cs="Calibri"/>
        </w:rPr>
        <w:t>,</w:t>
      </w:r>
      <w:r w:rsidR="0035311B" w:rsidRPr="00A06DF7">
        <w:rPr>
          <w:rFonts w:cs="Calibri"/>
        </w:rPr>
        <w:t xml:space="preserve"> however this will not be reflected by any increase in levy payments.</w:t>
      </w:r>
    </w:p>
    <w:p w14:paraId="1CB10405" w14:textId="6FFEF609" w:rsidR="00332F4B" w:rsidRPr="00A06DF7" w:rsidRDefault="00332F4B">
      <w:pPr>
        <w:rPr>
          <w:rFonts w:cs="Calibri"/>
        </w:rPr>
      </w:pPr>
      <w:r w:rsidRPr="00A06DF7">
        <w:rPr>
          <w:rFonts w:cs="Calibri"/>
        </w:rPr>
        <w:t xml:space="preserve">If expenditure on </w:t>
      </w:r>
      <w:r w:rsidR="005C447B" w:rsidRPr="00A06DF7">
        <w:rPr>
          <w:rFonts w:cs="Calibri"/>
        </w:rPr>
        <w:t>offshore-based</w:t>
      </w:r>
      <w:r w:rsidRPr="00A06DF7">
        <w:rPr>
          <w:rFonts w:cs="Calibri"/>
        </w:rPr>
        <w:t xml:space="preserve"> unregulated gambling providers continues to increase, we may observe a decrease in expenditure on regulated providers. Consequently, a lower proportion of overall gambling spend would be subject to the levy, and the $79</w:t>
      </w:r>
      <w:r w:rsidR="008200E8" w:rsidRPr="00A06DF7">
        <w:rPr>
          <w:rFonts w:cs="Calibri"/>
        </w:rPr>
        <w:t xml:space="preserve"> </w:t>
      </w:r>
      <w:r w:rsidRPr="00A06DF7">
        <w:rPr>
          <w:rFonts w:cs="Calibri"/>
        </w:rPr>
        <w:t>m</w:t>
      </w:r>
      <w:r w:rsidR="008200E8" w:rsidRPr="00A06DF7">
        <w:rPr>
          <w:rFonts w:cs="Calibri"/>
        </w:rPr>
        <w:t>illion</w:t>
      </w:r>
      <w:r w:rsidRPr="00A06DF7">
        <w:rPr>
          <w:rFonts w:cs="Calibri"/>
        </w:rPr>
        <w:t xml:space="preserve"> investment package outlined in the Strategy may be underfunded unless the levies are raised. The determination of the levies for each sector are dependent on forecasts which predict steady increases in expenditure across EGMs, Casinos, Lotto and TAB. However, as outlined in Section </w:t>
      </w:r>
      <w:r w:rsidRPr="00A06DF7">
        <w:rPr>
          <w:rFonts w:cs="Calibri"/>
        </w:rPr>
        <w:fldChar w:fldCharType="begin"/>
      </w:r>
      <w:r w:rsidRPr="00A06DF7">
        <w:rPr>
          <w:rFonts w:cs="Calibri"/>
        </w:rPr>
        <w:instrText xml:space="preserve"> REF _Ref158736062 \r \h </w:instrText>
      </w:r>
      <w:r w:rsidR="00A06DF7">
        <w:rPr>
          <w:rFonts w:cs="Calibri"/>
        </w:rPr>
        <w:instrText xml:space="preserve"> \* MERGEFORMAT </w:instrText>
      </w:r>
      <w:r w:rsidRPr="00A06DF7">
        <w:rPr>
          <w:rFonts w:cs="Calibri"/>
        </w:rPr>
      </w:r>
      <w:r w:rsidRPr="00A06DF7">
        <w:rPr>
          <w:rFonts w:cs="Calibri"/>
        </w:rPr>
        <w:fldChar w:fldCharType="separate"/>
      </w:r>
      <w:r w:rsidR="004F4DA7">
        <w:rPr>
          <w:rFonts w:cs="Calibri"/>
        </w:rPr>
        <w:t>4.1</w:t>
      </w:r>
      <w:r w:rsidRPr="00A06DF7">
        <w:rPr>
          <w:rFonts w:cs="Calibri"/>
        </w:rPr>
        <w:fldChar w:fldCharType="end"/>
      </w:r>
      <w:r w:rsidRPr="00A06DF7">
        <w:rPr>
          <w:rFonts w:cs="Calibri"/>
        </w:rPr>
        <w:t>, DIA data shows a decrease in total gambling expenditure from 2020/21 to 2021/22 on all four types (TAB, Lotto, EGMs and casinos).</w:t>
      </w:r>
      <w:r w:rsidR="00551F82" w:rsidRPr="00A06DF7">
        <w:rPr>
          <w:rFonts w:cs="Calibri"/>
        </w:rPr>
        <w:t xml:space="preserve"> </w:t>
      </w:r>
      <w:r w:rsidR="005D11A6" w:rsidRPr="00A06DF7">
        <w:rPr>
          <w:rFonts w:cs="Calibri"/>
        </w:rPr>
        <w:t xml:space="preserve">There is currently no official data source for the expected or forecast increase, however </w:t>
      </w:r>
      <w:r w:rsidR="00DF67AD" w:rsidRPr="00A06DF7">
        <w:rPr>
          <w:rFonts w:cs="Calibri"/>
        </w:rPr>
        <w:t xml:space="preserve">Regulus estimates a significant increase in </w:t>
      </w:r>
      <w:r w:rsidR="00ED409D" w:rsidRPr="00A06DF7">
        <w:rPr>
          <w:rFonts w:cs="Calibri"/>
        </w:rPr>
        <w:t xml:space="preserve">expenditure on </w:t>
      </w:r>
      <w:r w:rsidR="005C447B" w:rsidRPr="00A06DF7">
        <w:rPr>
          <w:rFonts w:cs="Calibri"/>
        </w:rPr>
        <w:t xml:space="preserve">offshore-based </w:t>
      </w:r>
      <w:r w:rsidR="00ED409D" w:rsidRPr="00A06DF7">
        <w:rPr>
          <w:rFonts w:cs="Calibri"/>
        </w:rPr>
        <w:t xml:space="preserve">gambling sites (Section </w:t>
      </w:r>
      <w:r w:rsidR="00ED409D" w:rsidRPr="00A06DF7">
        <w:rPr>
          <w:rFonts w:cs="Calibri"/>
        </w:rPr>
        <w:fldChar w:fldCharType="begin"/>
      </w:r>
      <w:r w:rsidR="00ED409D" w:rsidRPr="00A06DF7">
        <w:rPr>
          <w:rFonts w:cs="Calibri"/>
        </w:rPr>
        <w:instrText xml:space="preserve"> REF _Ref156466586 \r \h </w:instrText>
      </w:r>
      <w:r w:rsidR="00A06DF7">
        <w:rPr>
          <w:rFonts w:cs="Calibri"/>
        </w:rPr>
        <w:instrText xml:space="preserve"> \* MERGEFORMAT </w:instrText>
      </w:r>
      <w:r w:rsidR="00ED409D" w:rsidRPr="00A06DF7">
        <w:rPr>
          <w:rFonts w:cs="Calibri"/>
        </w:rPr>
      </w:r>
      <w:r w:rsidR="00ED409D" w:rsidRPr="00A06DF7">
        <w:rPr>
          <w:rFonts w:cs="Calibri"/>
        </w:rPr>
        <w:fldChar w:fldCharType="separate"/>
      </w:r>
      <w:r w:rsidR="004F4DA7">
        <w:rPr>
          <w:rFonts w:cs="Calibri"/>
        </w:rPr>
        <w:t>3.4</w:t>
      </w:r>
      <w:r w:rsidR="00ED409D" w:rsidRPr="00A06DF7">
        <w:rPr>
          <w:rFonts w:cs="Calibri"/>
        </w:rPr>
        <w:fldChar w:fldCharType="end"/>
      </w:r>
      <w:r w:rsidR="00ED409D" w:rsidRPr="00A06DF7">
        <w:rPr>
          <w:rFonts w:cs="Calibri"/>
        </w:rPr>
        <w:t>),</w:t>
      </w:r>
      <w:r w:rsidR="00C44660" w:rsidRPr="00A06DF7">
        <w:rPr>
          <w:rFonts w:cs="Calibri"/>
        </w:rPr>
        <w:t xml:space="preserve"> which </w:t>
      </w:r>
      <w:r w:rsidR="00AE4AC7" w:rsidRPr="00A06DF7">
        <w:rPr>
          <w:rFonts w:cs="Calibri"/>
        </w:rPr>
        <w:t>may resul</w:t>
      </w:r>
      <w:r w:rsidR="00AB0597" w:rsidRPr="00A06DF7">
        <w:rPr>
          <w:rFonts w:cs="Calibri"/>
        </w:rPr>
        <w:t xml:space="preserve">t in </w:t>
      </w:r>
      <w:r w:rsidR="002131D6" w:rsidRPr="00A06DF7">
        <w:rPr>
          <w:rFonts w:cs="Calibri"/>
        </w:rPr>
        <w:t xml:space="preserve">lower than anticipated spend on </w:t>
      </w:r>
      <w:r w:rsidR="007142B6" w:rsidRPr="00A06DF7">
        <w:rPr>
          <w:rFonts w:cs="Calibri"/>
        </w:rPr>
        <w:t xml:space="preserve">local gambling sectors </w:t>
      </w:r>
      <w:r w:rsidR="006454B7" w:rsidRPr="00A06DF7">
        <w:rPr>
          <w:rFonts w:cs="Calibri"/>
        </w:rPr>
        <w:t>that</w:t>
      </w:r>
      <w:r w:rsidR="007142B6" w:rsidRPr="00A06DF7">
        <w:rPr>
          <w:rFonts w:cs="Calibri"/>
        </w:rPr>
        <w:t xml:space="preserve"> are subject to the levy.</w:t>
      </w:r>
      <w:r w:rsidR="00234606" w:rsidRPr="00A06DF7">
        <w:rPr>
          <w:rFonts w:cs="Calibri"/>
        </w:rPr>
        <w:t xml:space="preserve"> If the </w:t>
      </w:r>
      <w:r w:rsidR="00260552" w:rsidRPr="00A06DF7">
        <w:rPr>
          <w:rFonts w:cs="Calibri"/>
        </w:rPr>
        <w:t xml:space="preserve">forecasts outlined in the Strategy do not materialize, </w:t>
      </w:r>
      <w:r w:rsidR="00C579C2">
        <w:rPr>
          <w:rFonts w:cs="Calibri"/>
        </w:rPr>
        <w:t>there</w:t>
      </w:r>
      <w:r w:rsidR="00E4201E" w:rsidRPr="00A06DF7">
        <w:rPr>
          <w:rFonts w:cs="Calibri"/>
        </w:rPr>
        <w:t xml:space="preserve"> </w:t>
      </w:r>
      <w:r w:rsidR="002134E3" w:rsidRPr="00A06DF7">
        <w:rPr>
          <w:rFonts w:cs="Calibri"/>
        </w:rPr>
        <w:t xml:space="preserve">may </w:t>
      </w:r>
      <w:r w:rsidR="00C579C2">
        <w:rPr>
          <w:rFonts w:cs="Calibri"/>
        </w:rPr>
        <w:t>be</w:t>
      </w:r>
      <w:r w:rsidR="00A1192F" w:rsidRPr="00A06DF7">
        <w:rPr>
          <w:rFonts w:cs="Calibri"/>
        </w:rPr>
        <w:t xml:space="preserve"> a funding deficit of the </w:t>
      </w:r>
      <w:r w:rsidR="000A0441" w:rsidRPr="00A06DF7">
        <w:rPr>
          <w:rFonts w:cs="Calibri"/>
        </w:rPr>
        <w:t xml:space="preserve">approximately </w:t>
      </w:r>
      <w:r w:rsidR="00A1192F" w:rsidRPr="00A06DF7">
        <w:rPr>
          <w:rFonts w:cs="Calibri"/>
        </w:rPr>
        <w:t xml:space="preserve">$79 million </w:t>
      </w:r>
      <w:r w:rsidR="002A5365" w:rsidRPr="00A06DF7">
        <w:rPr>
          <w:rFonts w:cs="Calibri"/>
        </w:rPr>
        <w:t xml:space="preserve">required for initiatives aimed at </w:t>
      </w:r>
      <w:r w:rsidR="00EF7EFB" w:rsidRPr="00A06DF7">
        <w:rPr>
          <w:rFonts w:cs="Calibri"/>
        </w:rPr>
        <w:t xml:space="preserve">identifying and </w:t>
      </w:r>
      <w:r w:rsidR="002A5365" w:rsidRPr="00A06DF7">
        <w:rPr>
          <w:rFonts w:cs="Calibri"/>
        </w:rPr>
        <w:t>minimising gambling harm</w:t>
      </w:r>
      <w:r w:rsidR="00C579C2">
        <w:rPr>
          <w:rStyle w:val="FootnoteReference"/>
          <w:rFonts w:cs="Calibri"/>
        </w:rPr>
        <w:footnoteReference w:id="32"/>
      </w:r>
      <w:r w:rsidR="002A5365" w:rsidRPr="00A06DF7">
        <w:rPr>
          <w:rFonts w:cs="Calibri"/>
        </w:rPr>
        <w:t>.</w:t>
      </w:r>
    </w:p>
    <w:p w14:paraId="4DF3E844" w14:textId="100E2D50" w:rsidR="00332F4B" w:rsidRPr="007B2FC7" w:rsidRDefault="00A56589" w:rsidP="007B2FC7">
      <w:pPr>
        <w:pStyle w:val="Heading7"/>
      </w:pPr>
      <w:r w:rsidRPr="007B2FC7">
        <w:lastRenderedPageBreak/>
        <w:t xml:space="preserve">Scenario 2 </w:t>
      </w:r>
      <w:r w:rsidR="00481ECF" w:rsidRPr="007B2FC7">
        <w:t>–</w:t>
      </w:r>
      <w:r w:rsidRPr="007B2FC7">
        <w:t xml:space="preserve"> </w:t>
      </w:r>
      <w:r w:rsidR="005C447B" w:rsidRPr="007B2FC7">
        <w:t xml:space="preserve">offshore-based </w:t>
      </w:r>
      <w:r w:rsidR="00332F4B" w:rsidRPr="007B2FC7">
        <w:t xml:space="preserve">gambling providers become regulated and pay </w:t>
      </w:r>
      <w:r w:rsidR="00A76332" w:rsidRPr="007B2FC7">
        <w:t xml:space="preserve">towards </w:t>
      </w:r>
      <w:r w:rsidR="00332F4B" w:rsidRPr="007B2FC7">
        <w:t>levy in N</w:t>
      </w:r>
      <w:r w:rsidR="00A76332" w:rsidRPr="007B2FC7">
        <w:t xml:space="preserve">ew </w:t>
      </w:r>
      <w:r w:rsidR="00332F4B" w:rsidRPr="007B2FC7">
        <w:t>Z</w:t>
      </w:r>
      <w:r w:rsidR="00A76332" w:rsidRPr="007B2FC7">
        <w:t>ealand</w:t>
      </w:r>
    </w:p>
    <w:p w14:paraId="24416E71" w14:textId="6B6BCFFD" w:rsidR="002C4171" w:rsidRPr="00A06DF7" w:rsidRDefault="00200B87" w:rsidP="006A6265">
      <w:r w:rsidRPr="00A06DF7">
        <w:t xml:space="preserve">In this scenario, </w:t>
      </w:r>
      <w:r w:rsidR="005472C2" w:rsidRPr="00A06DF7">
        <w:t xml:space="preserve">the Government takes </w:t>
      </w:r>
      <w:r w:rsidR="00481ECF" w:rsidRPr="00A06DF7">
        <w:t>legislative</w:t>
      </w:r>
      <w:r w:rsidR="00481ECF" w:rsidRPr="00A06DF7">
        <w:rPr>
          <w:b/>
        </w:rPr>
        <w:t xml:space="preserve"> </w:t>
      </w:r>
      <w:r w:rsidR="005472C2" w:rsidRPr="00A06DF7">
        <w:t xml:space="preserve">steps to regulate offshore-based online gambling websites that are accessed by (or available to) </w:t>
      </w:r>
      <w:r w:rsidR="00E03249" w:rsidRPr="00A06DF7">
        <w:t xml:space="preserve">New Zealanders. </w:t>
      </w:r>
      <w:r w:rsidR="000E07EF" w:rsidRPr="00A06DF7">
        <w:t>We note again the decision in-principle to regulate online gambling of March 2024.</w:t>
      </w:r>
    </w:p>
    <w:p w14:paraId="4A646336" w14:textId="7C9F3E36" w:rsidR="002C4171" w:rsidRPr="00A06DF7" w:rsidRDefault="002C4171" w:rsidP="006A6265">
      <w:r w:rsidRPr="00A06DF7">
        <w:t>The solution that Nationa</w:t>
      </w:r>
      <w:r w:rsidR="006A6265">
        <w:t>l</w:t>
      </w:r>
      <w:r w:rsidRPr="00A06DF7">
        <w:t xml:space="preserve"> propose</w:t>
      </w:r>
      <w:r w:rsidR="00A4227E" w:rsidRPr="00A06DF7">
        <w:t>d in pre-election policy</w:t>
      </w:r>
      <w:r w:rsidRPr="00A06DF7">
        <w:t xml:space="preserve"> </w:t>
      </w:r>
      <w:r w:rsidR="00AF6EF2" w:rsidRPr="00A06DF7">
        <w:t>wa</w:t>
      </w:r>
      <w:r w:rsidR="000356ED" w:rsidRPr="00A06DF7">
        <w:t>s</w:t>
      </w:r>
      <w:r w:rsidRPr="00A06DF7">
        <w:t xml:space="preserve"> to:</w:t>
      </w:r>
    </w:p>
    <w:p w14:paraId="4999CD8B" w14:textId="51AD7C57" w:rsidR="002C4171" w:rsidRPr="006A6265" w:rsidRDefault="006A6265" w:rsidP="006A6265">
      <w:pPr>
        <w:pStyle w:val="Bulleted"/>
      </w:pPr>
      <w:r w:rsidRPr="006A6265">
        <w:rPr>
          <w:rFonts w:eastAsiaTheme="minorHAnsi"/>
        </w:rPr>
        <w:t>E</w:t>
      </w:r>
      <w:r w:rsidR="004338C7" w:rsidRPr="006A6265">
        <w:rPr>
          <w:rFonts w:eastAsiaTheme="minorHAnsi"/>
        </w:rPr>
        <w:t xml:space="preserve">stablish </w:t>
      </w:r>
      <w:r w:rsidR="002C4171" w:rsidRPr="006A6265">
        <w:rPr>
          <w:rFonts w:eastAsiaTheme="minorHAnsi"/>
        </w:rPr>
        <w:t xml:space="preserve">a regulatory regime for online casino gambling to ensure </w:t>
      </w:r>
      <w:r w:rsidR="005C447B" w:rsidRPr="006A6265">
        <w:rPr>
          <w:rFonts w:eastAsiaTheme="minorHAnsi"/>
        </w:rPr>
        <w:t xml:space="preserve">offshore-based </w:t>
      </w:r>
      <w:r w:rsidR="002C4171" w:rsidRPr="006A6265">
        <w:rPr>
          <w:rFonts w:eastAsiaTheme="minorHAnsi"/>
        </w:rPr>
        <w:t xml:space="preserve">operators pay </w:t>
      </w:r>
      <w:r w:rsidR="00E936BE" w:rsidRPr="006A6265">
        <w:t>towards the levy</w:t>
      </w:r>
      <w:r w:rsidR="002C4171" w:rsidRPr="006A6265">
        <w:rPr>
          <w:rFonts w:eastAsiaTheme="minorHAnsi"/>
        </w:rPr>
        <w:t>; and</w:t>
      </w:r>
    </w:p>
    <w:p w14:paraId="2C6F27DC" w14:textId="051C388A" w:rsidR="002C4171" w:rsidRPr="006A6265" w:rsidRDefault="006A6265" w:rsidP="006A6265">
      <w:pPr>
        <w:pStyle w:val="Bulleted"/>
      </w:pPr>
      <w:r w:rsidRPr="006A6265">
        <w:rPr>
          <w:rFonts w:eastAsiaTheme="minorHAnsi"/>
        </w:rPr>
        <w:t>R</w:t>
      </w:r>
      <w:r w:rsidR="004338C7" w:rsidRPr="006A6265">
        <w:rPr>
          <w:rFonts w:eastAsiaTheme="minorHAnsi"/>
        </w:rPr>
        <w:t xml:space="preserve">equire </w:t>
      </w:r>
      <w:r w:rsidR="002C4171" w:rsidRPr="006A6265">
        <w:rPr>
          <w:rFonts w:eastAsiaTheme="minorHAnsi"/>
        </w:rPr>
        <w:t>online casino gambling operators to register and report their earnings for tax purposes, with IP 'geo-blocking’ of services that do not comply with the New Zealand licensing regime.</w:t>
      </w:r>
    </w:p>
    <w:p w14:paraId="56C9DFCE" w14:textId="097B55C6" w:rsidR="00095059" w:rsidRPr="00A06DF7" w:rsidRDefault="00332E9E">
      <w:pPr>
        <w:rPr>
          <w:rFonts w:cs="Calibri"/>
        </w:rPr>
      </w:pPr>
      <w:r w:rsidRPr="00A06DF7">
        <w:rPr>
          <w:rFonts w:cs="Calibri"/>
        </w:rPr>
        <w:t>In a related point, we note that i</w:t>
      </w:r>
      <w:r w:rsidR="00F00496" w:rsidRPr="00A06DF7">
        <w:rPr>
          <w:rFonts w:cs="Calibri"/>
        </w:rPr>
        <w:t>n 2021 amendments were made to the Racing Industry Act</w:t>
      </w:r>
      <w:r w:rsidR="00C617C7" w:rsidRPr="00A06DF7">
        <w:rPr>
          <w:rFonts w:cs="Calibri"/>
        </w:rPr>
        <w:t xml:space="preserve"> to introduce a point of consumption charge (POCC)</w:t>
      </w:r>
      <w:r w:rsidR="006B4727" w:rsidRPr="00A06DF7">
        <w:rPr>
          <w:rFonts w:cs="Calibri"/>
        </w:rPr>
        <w:t xml:space="preserve"> to </w:t>
      </w:r>
      <w:r w:rsidR="005C447B" w:rsidRPr="00A06DF7">
        <w:rPr>
          <w:rFonts w:cs="Calibri"/>
        </w:rPr>
        <w:t xml:space="preserve">offshore-based </w:t>
      </w:r>
      <w:r w:rsidR="006B4727" w:rsidRPr="00A06DF7">
        <w:rPr>
          <w:rFonts w:cs="Calibri"/>
        </w:rPr>
        <w:t>betting operators</w:t>
      </w:r>
      <w:r w:rsidR="00FC48B6" w:rsidRPr="00A06DF7">
        <w:rPr>
          <w:rFonts w:cs="Calibri"/>
        </w:rPr>
        <w:t xml:space="preserve"> </w:t>
      </w:r>
      <w:r w:rsidR="00FC48B6" w:rsidRPr="00A06DF7">
        <w:rPr>
          <w:rFonts w:cs="Calibri"/>
        </w:rPr>
        <w:fldChar w:fldCharType="begin"/>
      </w:r>
      <w:r w:rsidR="00BA456D">
        <w:rPr>
          <w:rFonts w:cs="Calibri"/>
        </w:rPr>
        <w:instrText xml:space="preserve"> ADDIN ZOTERO_ITEM CSL_CITATION {"citationID":"o5vie4vE","properties":{"formattedCitation":"(Department of Internal Affairs, 2021b)","plainCitation":"(Department of Internal Affairs, 2021b)","noteIndex":0},"citationItems":[{"id":1546,"uris":["http://zotero.org/users/11111291/items/9JUHZ442"],"itemData":{"id":1546,"type":"webpage","title":"Point of Consumption Charges - Offshore Operator Guidance","URL":"https://www.dia.govt.nz/Racing-Policy---Point-of-Consumption-Charges","author":[{"literal":"Department of Internal Affairs"}],"accessed":{"date-parts":[["2024",2,14]]},"issued":{"date-parts":[["2021"]]}}}],"schema":"https://github.com/citation-style-language/schema/raw/master/csl-citation.json"} </w:instrText>
      </w:r>
      <w:r w:rsidR="00FC48B6" w:rsidRPr="00A06DF7">
        <w:rPr>
          <w:rFonts w:cs="Calibri"/>
        </w:rPr>
        <w:fldChar w:fldCharType="separate"/>
      </w:r>
      <w:r w:rsidR="00BA456D" w:rsidRPr="00BA456D">
        <w:rPr>
          <w:rFonts w:cs="Calibri"/>
        </w:rPr>
        <w:t>(Department of Internal Affairs, 2021b)</w:t>
      </w:r>
      <w:r w:rsidR="00FC48B6" w:rsidRPr="00A06DF7">
        <w:rPr>
          <w:rFonts w:cs="Calibri"/>
        </w:rPr>
        <w:fldChar w:fldCharType="end"/>
      </w:r>
      <w:r w:rsidR="00A17353" w:rsidRPr="00A06DF7">
        <w:rPr>
          <w:rFonts w:cs="Calibri"/>
        </w:rPr>
        <w:t>.</w:t>
      </w:r>
      <w:r w:rsidR="006B4727" w:rsidRPr="00A06DF7">
        <w:rPr>
          <w:rFonts w:cs="Calibri"/>
        </w:rPr>
        <w:t xml:space="preserve"> </w:t>
      </w:r>
      <w:r w:rsidR="00A17353" w:rsidRPr="00A06DF7">
        <w:rPr>
          <w:rFonts w:cs="Calibri"/>
        </w:rPr>
        <w:t>The charge applies to bets on racing and sporting events from individuals residing in New Zealand</w:t>
      </w:r>
      <w:r w:rsidR="00A16333" w:rsidRPr="00A06DF7">
        <w:rPr>
          <w:rFonts w:cs="Calibri"/>
        </w:rPr>
        <w:t>,</w:t>
      </w:r>
      <w:r w:rsidR="00FC48B6" w:rsidRPr="00A06DF7">
        <w:rPr>
          <w:rFonts w:cs="Calibri"/>
        </w:rPr>
        <w:t xml:space="preserve"> </w:t>
      </w:r>
      <w:r w:rsidR="00A16333" w:rsidRPr="00A06DF7">
        <w:rPr>
          <w:rFonts w:cs="Calibri"/>
        </w:rPr>
        <w:t>regardless</w:t>
      </w:r>
      <w:r w:rsidR="00FC48B6" w:rsidRPr="00A06DF7">
        <w:rPr>
          <w:rFonts w:cs="Calibri"/>
        </w:rPr>
        <w:t xml:space="preserve"> of </w:t>
      </w:r>
      <w:r w:rsidR="00A16333" w:rsidRPr="00A06DF7">
        <w:rPr>
          <w:rFonts w:cs="Calibri"/>
        </w:rPr>
        <w:t xml:space="preserve">whether </w:t>
      </w:r>
      <w:r w:rsidR="00FC48B6" w:rsidRPr="00A06DF7">
        <w:rPr>
          <w:rFonts w:cs="Calibri"/>
        </w:rPr>
        <w:t>the event</w:t>
      </w:r>
      <w:r w:rsidR="00A16333" w:rsidRPr="00A06DF7">
        <w:rPr>
          <w:rFonts w:cs="Calibri"/>
        </w:rPr>
        <w:t xml:space="preserve"> </w:t>
      </w:r>
      <w:r w:rsidR="008520C8" w:rsidRPr="00A06DF7">
        <w:rPr>
          <w:rFonts w:cs="Calibri"/>
        </w:rPr>
        <w:t>takes place with</w:t>
      </w:r>
      <w:r w:rsidR="00FC48B6" w:rsidRPr="00A06DF7">
        <w:rPr>
          <w:rFonts w:cs="Calibri"/>
        </w:rPr>
        <w:t>in or outside in New Zealand.</w:t>
      </w:r>
      <w:r w:rsidR="005C6BC4" w:rsidRPr="00A06DF7">
        <w:rPr>
          <w:rFonts w:cs="Calibri"/>
        </w:rPr>
        <w:t xml:space="preserve"> The POCC rate is set at 10 per cent </w:t>
      </w:r>
      <w:r w:rsidR="00EC3497" w:rsidRPr="00A06DF7">
        <w:rPr>
          <w:rFonts w:cs="Calibri"/>
        </w:rPr>
        <w:t>of gross betting revenue</w:t>
      </w:r>
      <w:r w:rsidR="00700A2A" w:rsidRPr="00A06DF7">
        <w:rPr>
          <w:rFonts w:cs="Calibri"/>
        </w:rPr>
        <w:t xml:space="preserve">, which is defined as total </w:t>
      </w:r>
      <w:r w:rsidR="006C35E8" w:rsidRPr="00A06DF7">
        <w:rPr>
          <w:rFonts w:cs="Calibri"/>
        </w:rPr>
        <w:t>bets received</w:t>
      </w:r>
      <w:r w:rsidR="00700A2A" w:rsidRPr="00A06DF7">
        <w:rPr>
          <w:rFonts w:cs="Calibri"/>
        </w:rPr>
        <w:t xml:space="preserve"> bets minus total </w:t>
      </w:r>
      <w:r w:rsidR="006C35E8" w:rsidRPr="00A06DF7">
        <w:rPr>
          <w:rFonts w:cs="Calibri"/>
        </w:rPr>
        <w:t>prizes paid.</w:t>
      </w:r>
      <w:r w:rsidR="004E38B3" w:rsidRPr="00A06DF7">
        <w:rPr>
          <w:rFonts w:cs="Calibri"/>
        </w:rPr>
        <w:t xml:space="preserve"> Since these amendments were made to the Racing Industry Act and not the Gambling Act, the POCC does not apply to </w:t>
      </w:r>
      <w:r w:rsidR="00EF3ACA" w:rsidRPr="00A06DF7">
        <w:rPr>
          <w:rFonts w:cs="Calibri"/>
        </w:rPr>
        <w:t>online casinos</w:t>
      </w:r>
      <w:r w:rsidR="00311FC0" w:rsidRPr="00A06DF7">
        <w:rPr>
          <w:rFonts w:cs="Calibri"/>
        </w:rPr>
        <w:t>.</w:t>
      </w:r>
      <w:r w:rsidR="008158BD" w:rsidRPr="00A06DF7">
        <w:rPr>
          <w:rFonts w:cs="Calibri"/>
        </w:rPr>
        <w:t xml:space="preserve"> </w:t>
      </w:r>
      <w:r w:rsidR="00553BC0" w:rsidRPr="00A06DF7">
        <w:rPr>
          <w:rFonts w:cs="Calibri"/>
        </w:rPr>
        <w:t>Only 2.5 per cent of the POCC is directed to the Ministry of Health for harm minimisation funding, which results in contributions that are significantly lower compared to the four levy-paying sectors.</w:t>
      </w:r>
    </w:p>
    <w:p w14:paraId="003DBF2E" w14:textId="2CC93902" w:rsidR="00932183" w:rsidRPr="00A06DF7" w:rsidRDefault="00553BC0">
      <w:pPr>
        <w:rPr>
          <w:rFonts w:cs="Calibri"/>
        </w:rPr>
      </w:pPr>
      <w:r w:rsidRPr="00A06DF7">
        <w:rPr>
          <w:rFonts w:cs="Calibri"/>
        </w:rPr>
        <w:t xml:space="preserve">Amending the Gambling Act would </w:t>
      </w:r>
      <w:r w:rsidR="002B6909" w:rsidRPr="00A06DF7">
        <w:rPr>
          <w:rFonts w:cs="Calibri"/>
        </w:rPr>
        <w:t>potentially</w:t>
      </w:r>
      <w:r w:rsidRPr="00A06DF7">
        <w:rPr>
          <w:rFonts w:cs="Calibri"/>
        </w:rPr>
        <w:t xml:space="preserve"> enable the universal application of charges to all gambling providers, thereby bringing </w:t>
      </w:r>
      <w:r w:rsidR="005C447B" w:rsidRPr="00A06DF7">
        <w:rPr>
          <w:rFonts w:cs="Calibri"/>
        </w:rPr>
        <w:t xml:space="preserve">offshore-based </w:t>
      </w:r>
      <w:r w:rsidRPr="00A06DF7">
        <w:rPr>
          <w:rFonts w:cs="Calibri"/>
        </w:rPr>
        <w:t xml:space="preserve">online casinos into the regulated space. </w:t>
      </w:r>
      <w:r w:rsidR="00A06B42" w:rsidRPr="00A06DF7">
        <w:rPr>
          <w:rFonts w:cs="Calibri"/>
        </w:rPr>
        <w:t>Enforcing</w:t>
      </w:r>
      <w:r w:rsidR="007776F3" w:rsidRPr="00A06DF7">
        <w:rPr>
          <w:rFonts w:cs="Calibri"/>
        </w:rPr>
        <w:t xml:space="preserve"> the POCC </w:t>
      </w:r>
      <w:r w:rsidR="00A06B42" w:rsidRPr="00A06DF7">
        <w:rPr>
          <w:rFonts w:cs="Calibri"/>
        </w:rPr>
        <w:t>on</w:t>
      </w:r>
      <w:r w:rsidR="007776F3" w:rsidRPr="00A06DF7">
        <w:rPr>
          <w:rFonts w:cs="Calibri"/>
        </w:rPr>
        <w:t xml:space="preserve"> all online gambling operators, or alternatively </w:t>
      </w:r>
      <w:r w:rsidR="00095059" w:rsidRPr="00A06DF7">
        <w:rPr>
          <w:rFonts w:cs="Calibri"/>
        </w:rPr>
        <w:t>extending the existing</w:t>
      </w:r>
      <w:r w:rsidR="008158BD" w:rsidRPr="00A06DF7">
        <w:rPr>
          <w:rFonts w:cs="Calibri"/>
        </w:rPr>
        <w:t xml:space="preserve"> </w:t>
      </w:r>
      <w:r w:rsidR="001F1D67" w:rsidRPr="00A06DF7">
        <w:rPr>
          <w:rFonts w:cs="Calibri"/>
        </w:rPr>
        <w:t xml:space="preserve">levy, </w:t>
      </w:r>
      <w:r w:rsidR="003C433A" w:rsidRPr="00A06DF7">
        <w:rPr>
          <w:rFonts w:cs="Calibri"/>
        </w:rPr>
        <w:t>could</w:t>
      </w:r>
      <w:r w:rsidR="001F1D67" w:rsidRPr="00A06DF7">
        <w:rPr>
          <w:rFonts w:cs="Calibri"/>
        </w:rPr>
        <w:t xml:space="preserve"> result in increased </w:t>
      </w:r>
      <w:r w:rsidR="00CA3D33" w:rsidRPr="00A06DF7">
        <w:rPr>
          <w:rFonts w:cs="Calibri"/>
        </w:rPr>
        <w:t>available</w:t>
      </w:r>
      <w:r w:rsidR="001F1D67" w:rsidRPr="00A06DF7">
        <w:rPr>
          <w:rFonts w:cs="Calibri"/>
        </w:rPr>
        <w:t xml:space="preserve"> </w:t>
      </w:r>
      <w:r w:rsidR="00257C55" w:rsidRPr="00A06DF7">
        <w:rPr>
          <w:rFonts w:cs="Calibri"/>
        </w:rPr>
        <w:t xml:space="preserve">funding for </w:t>
      </w:r>
      <w:r w:rsidR="00A06B42" w:rsidRPr="00A06DF7">
        <w:rPr>
          <w:rFonts w:cs="Calibri"/>
        </w:rPr>
        <w:t xml:space="preserve">gambling </w:t>
      </w:r>
      <w:r w:rsidR="00257C55" w:rsidRPr="00A06DF7">
        <w:rPr>
          <w:rFonts w:cs="Calibri"/>
        </w:rPr>
        <w:t>harm minimisation initiatives</w:t>
      </w:r>
      <w:r w:rsidR="00932183" w:rsidRPr="00A06DF7">
        <w:rPr>
          <w:rFonts w:cs="Calibri"/>
        </w:rPr>
        <w:t xml:space="preserve"> which would </w:t>
      </w:r>
      <w:r w:rsidR="00337FD3" w:rsidRPr="00A06DF7">
        <w:rPr>
          <w:rFonts w:cs="Calibri"/>
        </w:rPr>
        <w:t xml:space="preserve">then </w:t>
      </w:r>
      <w:r w:rsidR="00932183" w:rsidRPr="00A06DF7">
        <w:rPr>
          <w:rFonts w:cs="Calibri"/>
        </w:rPr>
        <w:t xml:space="preserve">likely be more </w:t>
      </w:r>
      <w:r w:rsidR="00042232" w:rsidRPr="00A06DF7">
        <w:rPr>
          <w:rFonts w:cs="Calibri"/>
        </w:rPr>
        <w:t>right sized</w:t>
      </w:r>
      <w:r w:rsidR="00932183" w:rsidRPr="00A06DF7">
        <w:rPr>
          <w:rFonts w:cs="Calibri"/>
        </w:rPr>
        <w:t xml:space="preserve"> for the scale of harm including from online gambling</w:t>
      </w:r>
      <w:r w:rsidR="00146A73" w:rsidRPr="00A06DF7">
        <w:rPr>
          <w:rFonts w:cs="Calibri"/>
        </w:rPr>
        <w:t xml:space="preserve">. </w:t>
      </w:r>
    </w:p>
    <w:p w14:paraId="3D133F57" w14:textId="77777777" w:rsidR="001912CA" w:rsidRDefault="001912CA" w:rsidP="00282994">
      <w:pPr>
        <w:rPr>
          <w:rFonts w:cs="Calibri"/>
        </w:rPr>
      </w:pPr>
      <w:r>
        <w:rPr>
          <w:rFonts w:cs="Calibri"/>
        </w:rPr>
        <w:br w:type="page"/>
      </w:r>
    </w:p>
    <w:p w14:paraId="06F726BC" w14:textId="68E53AF2" w:rsidR="00EA62AA" w:rsidRDefault="00BF65C0" w:rsidP="00282994">
      <w:pPr>
        <w:rPr>
          <w:rFonts w:cs="Calibri"/>
        </w:rPr>
      </w:pPr>
      <w:r w:rsidRPr="00A06DF7">
        <w:rPr>
          <w:rFonts w:cs="Calibri"/>
        </w:rPr>
        <w:lastRenderedPageBreak/>
        <w:t>For this scenario, t</w:t>
      </w:r>
      <w:r w:rsidR="00F35538" w:rsidRPr="00A06DF7">
        <w:rPr>
          <w:rFonts w:cs="Calibri"/>
        </w:rPr>
        <w:t xml:space="preserve">o estimate the harm </w:t>
      </w:r>
      <w:r w:rsidR="00CA164E" w:rsidRPr="00A06DF7">
        <w:rPr>
          <w:rFonts w:cs="Calibri"/>
        </w:rPr>
        <w:t>associated with</w:t>
      </w:r>
      <w:r w:rsidR="002978DA" w:rsidRPr="00A06DF7">
        <w:rPr>
          <w:rFonts w:cs="Calibri"/>
        </w:rPr>
        <w:t xml:space="preserve"> </w:t>
      </w:r>
      <w:r w:rsidR="005C447B" w:rsidRPr="00A06DF7">
        <w:rPr>
          <w:rFonts w:cs="Calibri"/>
        </w:rPr>
        <w:t xml:space="preserve">offshore-based </w:t>
      </w:r>
      <w:r w:rsidR="002978DA" w:rsidRPr="00A06DF7">
        <w:rPr>
          <w:rFonts w:cs="Calibri"/>
        </w:rPr>
        <w:t>online gambling relative to the levy-paying, regulated sectors</w:t>
      </w:r>
      <w:r w:rsidR="00560509" w:rsidRPr="00A06DF7">
        <w:rPr>
          <w:rFonts w:cs="Calibri"/>
        </w:rPr>
        <w:t xml:space="preserve">, we </w:t>
      </w:r>
      <w:r w:rsidR="00F26714" w:rsidRPr="00A06DF7">
        <w:rPr>
          <w:rFonts w:cs="Calibri"/>
        </w:rPr>
        <w:t>use the following data:</w:t>
      </w:r>
    </w:p>
    <w:p w14:paraId="4B4FEB0A" w14:textId="40B18D49" w:rsidR="008B249A" w:rsidRPr="00A06DF7" w:rsidRDefault="00B06647" w:rsidP="00282994">
      <w:pPr>
        <w:pStyle w:val="Caption"/>
        <w:rPr>
          <w:rFonts w:cs="Calibri"/>
        </w:rPr>
      </w:pPr>
      <w:r w:rsidRPr="00A06DF7">
        <w:rPr>
          <w:rFonts w:cs="Calibri"/>
        </w:rPr>
        <w:t xml:space="preserve">Table </w:t>
      </w:r>
      <w:r w:rsidR="004867DB" w:rsidRPr="00A06DF7">
        <w:rPr>
          <w:rFonts w:cs="Calibri"/>
        </w:rPr>
        <w:fldChar w:fldCharType="begin"/>
      </w:r>
      <w:r w:rsidR="004867DB" w:rsidRPr="00A06DF7">
        <w:rPr>
          <w:rFonts w:cs="Calibri"/>
        </w:rPr>
        <w:instrText xml:space="preserve"> SEQ Table \* ARABIC </w:instrText>
      </w:r>
      <w:r w:rsidR="004867DB" w:rsidRPr="00A06DF7">
        <w:rPr>
          <w:rFonts w:cs="Calibri"/>
        </w:rPr>
        <w:fldChar w:fldCharType="separate"/>
      </w:r>
      <w:r w:rsidR="004F4DA7">
        <w:rPr>
          <w:rFonts w:cs="Calibri"/>
          <w:noProof/>
        </w:rPr>
        <w:t>2</w:t>
      </w:r>
      <w:r w:rsidR="004867DB" w:rsidRPr="00A06DF7">
        <w:rPr>
          <w:rFonts w:cs="Calibri"/>
          <w:noProof/>
        </w:rPr>
        <w:fldChar w:fldCharType="end"/>
      </w:r>
      <w:r w:rsidRPr="00A06DF7">
        <w:rPr>
          <w:rFonts w:cs="Calibri"/>
        </w:rPr>
        <w:t xml:space="preserve">. </w:t>
      </w:r>
      <w:r w:rsidR="00B259D4" w:rsidRPr="00A06DF7">
        <w:rPr>
          <w:rFonts w:cs="Calibri"/>
        </w:rPr>
        <w:t xml:space="preserve">Data </w:t>
      </w:r>
      <w:r w:rsidR="00A1363F" w:rsidRPr="00A06DF7">
        <w:rPr>
          <w:rFonts w:cs="Calibri"/>
        </w:rPr>
        <w:t>for gambling harm estimations</w:t>
      </w:r>
    </w:p>
    <w:tbl>
      <w:tblPr>
        <w:tblStyle w:val="SapereTable"/>
        <w:tblW w:w="9046" w:type="dxa"/>
        <w:tblLook w:val="04A0" w:firstRow="1" w:lastRow="0" w:firstColumn="1" w:lastColumn="0" w:noHBand="0" w:noVBand="1"/>
      </w:tblPr>
      <w:tblGrid>
        <w:gridCol w:w="4523"/>
        <w:gridCol w:w="4523"/>
      </w:tblGrid>
      <w:tr w:rsidR="005E36F4" w:rsidRPr="00A06DF7" w14:paraId="60AA0579" w14:textId="77777777" w:rsidTr="0028299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23" w:type="dxa"/>
          </w:tcPr>
          <w:p w14:paraId="3B628CA5" w14:textId="35CB9E58" w:rsidR="005E36F4" w:rsidRPr="00A06DF7" w:rsidRDefault="005E36F4" w:rsidP="00BF1677">
            <w:pPr>
              <w:spacing w:after="360" w:line="240" w:lineRule="auto"/>
              <w:rPr>
                <w:rFonts w:cs="Calibri"/>
                <w:sz w:val="18"/>
                <w:szCs w:val="20"/>
              </w:rPr>
            </w:pPr>
            <w:r w:rsidRPr="00A06DF7">
              <w:rPr>
                <w:rFonts w:cs="Calibri"/>
                <w:sz w:val="18"/>
                <w:szCs w:val="20"/>
              </w:rPr>
              <w:t>Data</w:t>
            </w:r>
          </w:p>
        </w:tc>
        <w:tc>
          <w:tcPr>
            <w:tcW w:w="4523" w:type="dxa"/>
          </w:tcPr>
          <w:p w14:paraId="4EBA6B0F" w14:textId="0D64BBFF" w:rsidR="005E36F4" w:rsidRPr="00A06DF7" w:rsidRDefault="005E36F4" w:rsidP="00BF1677">
            <w:pPr>
              <w:spacing w:after="360" w:line="240" w:lineRule="auto"/>
              <w:cnfStyle w:val="100000000000" w:firstRow="1" w:lastRow="0" w:firstColumn="0" w:lastColumn="0" w:oddVBand="0" w:evenVBand="0" w:oddHBand="0" w:evenHBand="0" w:firstRowFirstColumn="0" w:firstRowLastColumn="0" w:lastRowFirstColumn="0" w:lastRowLastColumn="0"/>
              <w:rPr>
                <w:rFonts w:cs="Calibri"/>
                <w:sz w:val="18"/>
                <w:szCs w:val="20"/>
              </w:rPr>
            </w:pPr>
            <w:r w:rsidRPr="00A06DF7">
              <w:rPr>
                <w:rFonts w:cs="Calibri"/>
                <w:sz w:val="18"/>
                <w:szCs w:val="20"/>
              </w:rPr>
              <w:t>Source</w:t>
            </w:r>
          </w:p>
        </w:tc>
      </w:tr>
      <w:tr w:rsidR="005E36F4" w:rsidRPr="00A06DF7" w14:paraId="64EE08CE" w14:textId="77777777" w:rsidTr="00282994">
        <w:trPr>
          <w:trHeight w:val="454"/>
        </w:trPr>
        <w:tc>
          <w:tcPr>
            <w:cnfStyle w:val="001000000000" w:firstRow="0" w:lastRow="0" w:firstColumn="1" w:lastColumn="0" w:oddVBand="0" w:evenVBand="0" w:oddHBand="0" w:evenHBand="0" w:firstRowFirstColumn="0" w:firstRowLastColumn="0" w:lastRowFirstColumn="0" w:lastRowLastColumn="0"/>
            <w:tcW w:w="4523" w:type="dxa"/>
          </w:tcPr>
          <w:p w14:paraId="75A0E9CA" w14:textId="1FF9B9DF" w:rsidR="005E36F4" w:rsidRPr="00A06DF7" w:rsidRDefault="005C447B" w:rsidP="00BF1677">
            <w:pPr>
              <w:spacing w:after="360" w:line="240" w:lineRule="auto"/>
              <w:rPr>
                <w:rFonts w:cs="Calibri"/>
                <w:b w:val="0"/>
                <w:bCs/>
                <w:color w:val="auto"/>
                <w:sz w:val="18"/>
                <w:szCs w:val="20"/>
              </w:rPr>
            </w:pPr>
            <w:r w:rsidRPr="00A06DF7">
              <w:rPr>
                <w:rFonts w:cs="Calibri"/>
                <w:bCs/>
                <w:sz w:val="18"/>
                <w:szCs w:val="20"/>
              </w:rPr>
              <w:t xml:space="preserve">Offshore-based </w:t>
            </w:r>
            <w:r w:rsidR="005E36F4" w:rsidRPr="00A06DF7">
              <w:rPr>
                <w:rFonts w:cs="Calibri"/>
                <w:bCs/>
                <w:sz w:val="18"/>
                <w:szCs w:val="20"/>
              </w:rPr>
              <w:t>gambling expenditure estimates</w:t>
            </w:r>
          </w:p>
        </w:tc>
        <w:tc>
          <w:tcPr>
            <w:tcW w:w="4523" w:type="dxa"/>
          </w:tcPr>
          <w:p w14:paraId="3935EDBC" w14:textId="6A614C3C" w:rsidR="005E36F4" w:rsidRPr="00A06DF7" w:rsidRDefault="00294E24" w:rsidP="00BF1677">
            <w:pPr>
              <w:spacing w:after="360" w:line="240" w:lineRule="auto"/>
              <w:cnfStyle w:val="000000000000" w:firstRow="0" w:lastRow="0" w:firstColumn="0" w:lastColumn="0" w:oddVBand="0" w:evenVBand="0" w:oddHBand="0" w:evenHBand="0" w:firstRowFirstColumn="0" w:firstRowLastColumn="0" w:lastRowFirstColumn="0" w:lastRowLastColumn="0"/>
              <w:rPr>
                <w:rFonts w:cs="Calibri"/>
                <w:sz w:val="18"/>
                <w:szCs w:val="20"/>
              </w:rPr>
            </w:pPr>
            <w:r w:rsidRPr="00A06DF7">
              <w:rPr>
                <w:rFonts w:cs="Calibri"/>
                <w:sz w:val="18"/>
                <w:szCs w:val="20"/>
              </w:rPr>
              <w:t xml:space="preserve">Regulus’ estimates </w:t>
            </w:r>
            <w:r w:rsidR="00DB780F" w:rsidRPr="00A06DF7">
              <w:rPr>
                <w:rFonts w:cs="Calibri"/>
                <w:sz w:val="18"/>
                <w:szCs w:val="20"/>
              </w:rPr>
              <w:fldChar w:fldCharType="begin"/>
            </w:r>
            <w:r w:rsidR="00DB780F" w:rsidRPr="00A06DF7">
              <w:rPr>
                <w:rFonts w:cs="Calibri"/>
                <w:sz w:val="18"/>
                <w:szCs w:val="20"/>
              </w:rPr>
              <w:instrText xml:space="preserve"> ADDIN ZOTERO_ITEM CSL_CITATION {"citationID":"s6jjaP0q","properties":{"formattedCitation":"(Bevin, 2022)","plainCitation":"(Bevin, 2022)","noteIndex":0},"citationItems":[{"id":1535,"uris":["http://zotero.org/users/11111291/items/6C3T86E9"],"itemData":{"id":1535,"type":"webpage","abstract":"A lack of regulation has made NZ an easy target for online gambling providers, with estimated spending jumping from $139.3m in 2014 to $332.6m in 2020.","container-title":"Newsroom","language":"en-US","title":"Online gambling products 'aggressively' targeting NZ","URL":"http://newsroom.co.nz/2022/10/10/online-gambling-aggressively-targeting-new-zealand/","author":[{"family":"Bevin","given":"Andrew"}],"accessed":{"date-parts":[["2024",1,30]]},"issued":{"date-parts":[["2022",10,10]]}}}],"schema":"https://github.com/citation-style-language/schema/raw/master/csl-citation.json"} </w:instrText>
            </w:r>
            <w:r w:rsidR="00DB780F" w:rsidRPr="00A06DF7">
              <w:rPr>
                <w:rFonts w:cs="Calibri"/>
                <w:sz w:val="18"/>
                <w:szCs w:val="20"/>
              </w:rPr>
              <w:fldChar w:fldCharType="separate"/>
            </w:r>
            <w:r w:rsidR="00DB780F" w:rsidRPr="00A06DF7">
              <w:rPr>
                <w:rFonts w:cs="Calibri"/>
                <w:sz w:val="18"/>
              </w:rPr>
              <w:t>(Bevin, 2022)</w:t>
            </w:r>
            <w:r w:rsidR="00DB780F" w:rsidRPr="00A06DF7">
              <w:rPr>
                <w:rFonts w:cs="Calibri"/>
                <w:sz w:val="18"/>
                <w:szCs w:val="20"/>
              </w:rPr>
              <w:fldChar w:fldCharType="end"/>
            </w:r>
            <w:r w:rsidRPr="00A06DF7">
              <w:rPr>
                <w:rFonts w:cs="Calibri"/>
                <w:sz w:val="18"/>
                <w:szCs w:val="20"/>
              </w:rPr>
              <w:t xml:space="preserve"> </w:t>
            </w:r>
          </w:p>
        </w:tc>
      </w:tr>
      <w:tr w:rsidR="005E36F4" w:rsidRPr="00A06DF7" w14:paraId="4E2AD2DC" w14:textId="77777777" w:rsidTr="00282994">
        <w:trPr>
          <w:trHeight w:val="454"/>
        </w:trPr>
        <w:tc>
          <w:tcPr>
            <w:cnfStyle w:val="001000000000" w:firstRow="0" w:lastRow="0" w:firstColumn="1" w:lastColumn="0" w:oddVBand="0" w:evenVBand="0" w:oddHBand="0" w:evenHBand="0" w:firstRowFirstColumn="0" w:firstRowLastColumn="0" w:lastRowFirstColumn="0" w:lastRowLastColumn="0"/>
            <w:tcW w:w="4523" w:type="dxa"/>
          </w:tcPr>
          <w:p w14:paraId="1AD4B9EE" w14:textId="4E63B730" w:rsidR="005E36F4" w:rsidRPr="00A06DF7" w:rsidRDefault="00405E10" w:rsidP="00BF1677">
            <w:pPr>
              <w:spacing w:after="360" w:line="240" w:lineRule="auto"/>
              <w:rPr>
                <w:rFonts w:cs="Calibri"/>
                <w:b w:val="0"/>
                <w:bCs/>
                <w:color w:val="auto"/>
                <w:sz w:val="18"/>
                <w:szCs w:val="20"/>
              </w:rPr>
            </w:pPr>
            <w:r w:rsidRPr="00A06DF7">
              <w:rPr>
                <w:rFonts w:cs="Calibri"/>
                <w:bCs/>
                <w:sz w:val="18"/>
                <w:szCs w:val="20"/>
              </w:rPr>
              <w:t>Levy-paying sector expenditure</w:t>
            </w:r>
          </w:p>
        </w:tc>
        <w:tc>
          <w:tcPr>
            <w:tcW w:w="4523" w:type="dxa"/>
          </w:tcPr>
          <w:p w14:paraId="6DED92EF" w14:textId="366493C2" w:rsidR="005E36F4" w:rsidRPr="00A06DF7" w:rsidRDefault="00294E24" w:rsidP="00BF1677">
            <w:pPr>
              <w:spacing w:after="360" w:line="240" w:lineRule="auto"/>
              <w:cnfStyle w:val="000000000000" w:firstRow="0" w:lastRow="0" w:firstColumn="0" w:lastColumn="0" w:oddVBand="0" w:evenVBand="0" w:oddHBand="0" w:evenHBand="0" w:firstRowFirstColumn="0" w:firstRowLastColumn="0" w:lastRowFirstColumn="0" w:lastRowLastColumn="0"/>
              <w:rPr>
                <w:rFonts w:cs="Calibri"/>
                <w:sz w:val="18"/>
                <w:szCs w:val="20"/>
              </w:rPr>
            </w:pPr>
            <w:r w:rsidRPr="00A06DF7">
              <w:rPr>
                <w:rFonts w:cs="Calibri"/>
                <w:sz w:val="18"/>
                <w:szCs w:val="20"/>
              </w:rPr>
              <w:fldChar w:fldCharType="begin"/>
            </w:r>
            <w:r w:rsidRPr="00A06DF7">
              <w:rPr>
                <w:rFonts w:cs="Calibri"/>
                <w:sz w:val="18"/>
                <w:szCs w:val="20"/>
              </w:rPr>
              <w:instrText xml:space="preserve"> ADDIN ZOTERO_ITEM CSL_CITATION {"citationID":"tqYB4lJx","properties":{"formattedCitation":"(Department of Internal Affairs, 2023a)","plainCitation":"(Department of Internal Affairs, 2023a)","noteIndex":0},"citationItems":[{"id":1427,"uris":["http://zotero.org/users/11111291/items/S4F3RHNR"],"itemData":{"id":1427,"type":"dataset","title":"Annual Gambling Expenditure Statistics","URL":"https://catalogue.data.govt.nz/dataset/gambling-expenditure-statistics","author":[{"literal":"Department of Internal Affairs"}],"issued":{"date-parts":[["2023"]]}}}],"schema":"https://github.com/citation-style-language/schema/raw/master/csl-citation.json"} </w:instrText>
            </w:r>
            <w:r w:rsidRPr="00A06DF7">
              <w:rPr>
                <w:rFonts w:cs="Calibri"/>
                <w:sz w:val="18"/>
                <w:szCs w:val="20"/>
              </w:rPr>
              <w:fldChar w:fldCharType="separate"/>
            </w:r>
            <w:r w:rsidRPr="00A06DF7">
              <w:rPr>
                <w:rFonts w:cs="Calibri"/>
                <w:sz w:val="18"/>
              </w:rPr>
              <w:t>(Department of Internal Affairs, 2023a)</w:t>
            </w:r>
            <w:r w:rsidRPr="00A06DF7">
              <w:rPr>
                <w:rFonts w:cs="Calibri"/>
                <w:sz w:val="18"/>
                <w:szCs w:val="20"/>
              </w:rPr>
              <w:fldChar w:fldCharType="end"/>
            </w:r>
          </w:p>
        </w:tc>
      </w:tr>
      <w:tr w:rsidR="005E36F4" w:rsidRPr="00A06DF7" w14:paraId="27F4A86B" w14:textId="77777777" w:rsidTr="00282994">
        <w:trPr>
          <w:trHeight w:val="465"/>
        </w:trPr>
        <w:tc>
          <w:tcPr>
            <w:cnfStyle w:val="001000000000" w:firstRow="0" w:lastRow="0" w:firstColumn="1" w:lastColumn="0" w:oddVBand="0" w:evenVBand="0" w:oddHBand="0" w:evenHBand="0" w:firstRowFirstColumn="0" w:firstRowLastColumn="0" w:lastRowFirstColumn="0" w:lastRowLastColumn="0"/>
            <w:tcW w:w="4523" w:type="dxa"/>
          </w:tcPr>
          <w:p w14:paraId="5BE81B76" w14:textId="57862A16" w:rsidR="005E36F4" w:rsidRPr="00A06DF7" w:rsidRDefault="00582B6E" w:rsidP="00BF1677">
            <w:pPr>
              <w:spacing w:after="360" w:line="240" w:lineRule="auto"/>
              <w:rPr>
                <w:rFonts w:cs="Calibri"/>
                <w:b w:val="0"/>
                <w:bCs/>
                <w:color w:val="auto"/>
                <w:sz w:val="18"/>
                <w:szCs w:val="20"/>
              </w:rPr>
            </w:pPr>
            <w:r w:rsidRPr="00A06DF7">
              <w:rPr>
                <w:rFonts w:cs="Calibri"/>
                <w:bCs/>
                <w:sz w:val="18"/>
                <w:szCs w:val="20"/>
              </w:rPr>
              <w:t>Gambling harm intervention services</w:t>
            </w:r>
            <w:r w:rsidR="00E77C6A" w:rsidRPr="00A06DF7">
              <w:rPr>
                <w:rFonts w:cs="Calibri"/>
                <w:bCs/>
                <w:sz w:val="18"/>
                <w:szCs w:val="20"/>
              </w:rPr>
              <w:t xml:space="preserve"> data</w:t>
            </w:r>
          </w:p>
        </w:tc>
        <w:tc>
          <w:tcPr>
            <w:tcW w:w="4523" w:type="dxa"/>
          </w:tcPr>
          <w:p w14:paraId="72725A07" w14:textId="559D99CE" w:rsidR="005E36F4" w:rsidRPr="00A06DF7" w:rsidRDefault="00BB59FE" w:rsidP="00BF1677">
            <w:pPr>
              <w:spacing w:after="360" w:line="240" w:lineRule="auto"/>
              <w:cnfStyle w:val="000000000000" w:firstRow="0" w:lastRow="0" w:firstColumn="0" w:lastColumn="0" w:oddVBand="0" w:evenVBand="0" w:oddHBand="0" w:evenHBand="0" w:firstRowFirstColumn="0" w:firstRowLastColumn="0" w:lastRowFirstColumn="0" w:lastRowLastColumn="0"/>
              <w:rPr>
                <w:rFonts w:cs="Calibri"/>
                <w:sz w:val="18"/>
                <w:szCs w:val="20"/>
              </w:rPr>
            </w:pPr>
            <w:r w:rsidRPr="00A06DF7">
              <w:rPr>
                <w:rFonts w:cs="Calibri"/>
                <w:sz w:val="18"/>
                <w:szCs w:val="20"/>
              </w:rPr>
              <w:fldChar w:fldCharType="begin"/>
            </w:r>
            <w:r w:rsidRPr="00A06DF7">
              <w:rPr>
                <w:rFonts w:cs="Calibri"/>
                <w:sz w:val="18"/>
                <w:szCs w:val="20"/>
              </w:rPr>
              <w:instrText xml:space="preserve"> ADDIN ZOTERO_ITEM CSL_CITATION {"citationID":"jvzDKeyh","properties":{"formattedCitation":"(Ministry of Health, 2023a)","plainCitation":"(Ministry of Health, 2023a)","noteIndex":0},"citationItems":[{"id":1499,"uris":["http://zotero.org/users/11111291/items/K8SSJ6JS"],"itemData":{"id":1499,"type":"dataset","abstract":"Data on the number of people who have received gambling harm treatment services and have identified a primary problem gambling mode causing them harm.","language":"en","title":"Intervention services data","URL":"https://www.health.govt.nz/our-work/mental-health-and-addiction/addiction/gambling-harm/service-user-data/intervention-services-data","author":[{"literal":"Ministry of Health"}],"accessed":{"date-parts":[["2024",1,9]]},"issued":{"date-parts":[["2023"]]}}}],"schema":"https://github.com/citation-style-language/schema/raw/master/csl-citation.json"} </w:instrText>
            </w:r>
            <w:r w:rsidRPr="00A06DF7">
              <w:rPr>
                <w:rFonts w:cs="Calibri"/>
                <w:sz w:val="18"/>
                <w:szCs w:val="20"/>
              </w:rPr>
              <w:fldChar w:fldCharType="separate"/>
            </w:r>
            <w:r w:rsidRPr="00A06DF7">
              <w:rPr>
                <w:rFonts w:cs="Calibri"/>
                <w:sz w:val="18"/>
              </w:rPr>
              <w:t>(Ministry of Health, 2023a)</w:t>
            </w:r>
            <w:r w:rsidRPr="00A06DF7">
              <w:rPr>
                <w:rFonts w:cs="Calibri"/>
                <w:sz w:val="18"/>
                <w:szCs w:val="20"/>
              </w:rPr>
              <w:fldChar w:fldCharType="end"/>
            </w:r>
          </w:p>
        </w:tc>
      </w:tr>
      <w:tr w:rsidR="005E36F4" w:rsidRPr="00A06DF7" w14:paraId="15D83ACD" w14:textId="77777777" w:rsidTr="00282994">
        <w:trPr>
          <w:trHeight w:val="454"/>
        </w:trPr>
        <w:tc>
          <w:tcPr>
            <w:cnfStyle w:val="001000000000" w:firstRow="0" w:lastRow="0" w:firstColumn="1" w:lastColumn="0" w:oddVBand="0" w:evenVBand="0" w:oddHBand="0" w:evenHBand="0" w:firstRowFirstColumn="0" w:firstRowLastColumn="0" w:lastRowFirstColumn="0" w:lastRowLastColumn="0"/>
            <w:tcW w:w="4523" w:type="dxa"/>
          </w:tcPr>
          <w:p w14:paraId="6FEDDDAC" w14:textId="6EC364D8" w:rsidR="005E36F4" w:rsidRPr="00A06DF7" w:rsidRDefault="005629BC" w:rsidP="00BF1677">
            <w:pPr>
              <w:spacing w:after="360" w:line="240" w:lineRule="auto"/>
              <w:rPr>
                <w:rFonts w:cs="Calibri"/>
                <w:b w:val="0"/>
                <w:bCs/>
                <w:color w:val="auto"/>
                <w:sz w:val="18"/>
                <w:szCs w:val="20"/>
              </w:rPr>
            </w:pPr>
            <w:r w:rsidRPr="00A06DF7">
              <w:rPr>
                <w:rFonts w:cs="Calibri"/>
                <w:bCs/>
                <w:sz w:val="18"/>
                <w:szCs w:val="20"/>
              </w:rPr>
              <w:t>Gambling participation rates</w:t>
            </w:r>
          </w:p>
        </w:tc>
        <w:tc>
          <w:tcPr>
            <w:tcW w:w="4523" w:type="dxa"/>
          </w:tcPr>
          <w:p w14:paraId="135DF04B" w14:textId="5B8EF595" w:rsidR="005E36F4" w:rsidRPr="00A06DF7" w:rsidRDefault="00162F7B" w:rsidP="00BF1677">
            <w:pPr>
              <w:spacing w:after="360" w:line="240" w:lineRule="auto"/>
              <w:cnfStyle w:val="000000000000" w:firstRow="0" w:lastRow="0" w:firstColumn="0" w:lastColumn="0" w:oddVBand="0" w:evenVBand="0" w:oddHBand="0" w:evenHBand="0" w:firstRowFirstColumn="0" w:firstRowLastColumn="0" w:lastRowFirstColumn="0" w:lastRowLastColumn="0"/>
              <w:rPr>
                <w:rFonts w:cs="Calibri"/>
                <w:sz w:val="18"/>
                <w:szCs w:val="20"/>
              </w:rPr>
            </w:pPr>
            <w:r w:rsidRPr="00A06DF7">
              <w:rPr>
                <w:rFonts w:cs="Calibri"/>
                <w:sz w:val="18"/>
                <w:szCs w:val="20"/>
              </w:rPr>
              <w:t xml:space="preserve">Health and Lifestyle Survey </w:t>
            </w:r>
            <w:r w:rsidR="00DF4E86" w:rsidRPr="00A06DF7">
              <w:rPr>
                <w:rFonts w:cs="Calibri"/>
                <w:sz w:val="18"/>
                <w:szCs w:val="20"/>
              </w:rPr>
              <w:fldChar w:fldCharType="begin"/>
            </w:r>
            <w:r w:rsidR="00DF4E86" w:rsidRPr="00A06DF7">
              <w:rPr>
                <w:rFonts w:cs="Calibri"/>
                <w:sz w:val="18"/>
                <w:szCs w:val="20"/>
              </w:rPr>
              <w:instrText xml:space="preserve"> ADDIN ZOTERO_ITEM CSL_CITATION {"citationID":"redglZy5","properties":{"formattedCitation":"(Te Whatu Ora, 2020)","plainCitation":"(Te Whatu Ora, 2020)","noteIndex":0},"citationItems":[{"id":1332,"uris":["http://zotero.org/users/11111291/items/7BATMKQU"],"itemData":{"id":1332,"type":"dataset","title":"Health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00DF4E86" w:rsidRPr="00A06DF7">
              <w:rPr>
                <w:rFonts w:cs="Calibri"/>
                <w:sz w:val="18"/>
                <w:szCs w:val="20"/>
              </w:rPr>
              <w:fldChar w:fldCharType="separate"/>
            </w:r>
            <w:r w:rsidR="00DF4E86" w:rsidRPr="00A06DF7">
              <w:rPr>
                <w:rFonts w:cs="Calibri"/>
                <w:sz w:val="18"/>
              </w:rPr>
              <w:t>(Te Whatu Ora, 2020)</w:t>
            </w:r>
            <w:r w:rsidR="00DF4E86" w:rsidRPr="00A06DF7">
              <w:rPr>
                <w:rFonts w:cs="Calibri"/>
                <w:sz w:val="18"/>
                <w:szCs w:val="20"/>
              </w:rPr>
              <w:fldChar w:fldCharType="end"/>
            </w:r>
          </w:p>
        </w:tc>
      </w:tr>
      <w:tr w:rsidR="005E36F4" w:rsidRPr="00A06DF7" w14:paraId="3D2E6DC7" w14:textId="77777777" w:rsidTr="00282994">
        <w:trPr>
          <w:trHeight w:val="443"/>
        </w:trPr>
        <w:tc>
          <w:tcPr>
            <w:cnfStyle w:val="001000000000" w:firstRow="0" w:lastRow="0" w:firstColumn="1" w:lastColumn="0" w:oddVBand="0" w:evenVBand="0" w:oddHBand="0" w:evenHBand="0" w:firstRowFirstColumn="0" w:firstRowLastColumn="0" w:lastRowFirstColumn="0" w:lastRowLastColumn="0"/>
            <w:tcW w:w="4523" w:type="dxa"/>
          </w:tcPr>
          <w:p w14:paraId="23547DE0" w14:textId="15C20F9A" w:rsidR="005E36F4" w:rsidRPr="00A06DF7" w:rsidRDefault="00DE5CDC" w:rsidP="00BF1677">
            <w:pPr>
              <w:spacing w:after="360" w:line="240" w:lineRule="auto"/>
              <w:rPr>
                <w:rFonts w:cs="Calibri"/>
                <w:b w:val="0"/>
                <w:bCs/>
                <w:color w:val="auto"/>
                <w:sz w:val="18"/>
                <w:szCs w:val="20"/>
              </w:rPr>
            </w:pPr>
            <w:r w:rsidRPr="00A06DF7">
              <w:rPr>
                <w:rFonts w:cs="Calibri"/>
                <w:bCs/>
                <w:sz w:val="18"/>
                <w:szCs w:val="20"/>
              </w:rPr>
              <w:t>Population estimates</w:t>
            </w:r>
          </w:p>
        </w:tc>
        <w:tc>
          <w:tcPr>
            <w:tcW w:w="4523" w:type="dxa"/>
          </w:tcPr>
          <w:p w14:paraId="7B6DC513" w14:textId="7C332611" w:rsidR="005E36F4" w:rsidRPr="00A06DF7" w:rsidRDefault="004246E6" w:rsidP="00BF1677">
            <w:pPr>
              <w:spacing w:after="360" w:line="240" w:lineRule="auto"/>
              <w:cnfStyle w:val="000000000000" w:firstRow="0" w:lastRow="0" w:firstColumn="0" w:lastColumn="0" w:oddVBand="0" w:evenVBand="0" w:oddHBand="0" w:evenHBand="0" w:firstRowFirstColumn="0" w:firstRowLastColumn="0" w:lastRowFirstColumn="0" w:lastRowLastColumn="0"/>
              <w:rPr>
                <w:rFonts w:cs="Calibri"/>
                <w:sz w:val="18"/>
                <w:szCs w:val="20"/>
              </w:rPr>
            </w:pPr>
            <w:r w:rsidRPr="00A06DF7">
              <w:rPr>
                <w:rFonts w:cs="Calibri"/>
                <w:sz w:val="18"/>
                <w:szCs w:val="20"/>
              </w:rPr>
              <w:fldChar w:fldCharType="begin"/>
            </w:r>
            <w:r w:rsidRPr="00A06DF7">
              <w:rPr>
                <w:rFonts w:cs="Calibri"/>
                <w:sz w:val="18"/>
                <w:szCs w:val="20"/>
              </w:rPr>
              <w:instrText xml:space="preserve"> ADDIN ZOTERO_ITEM CSL_CITATION {"citationID":"aMCaOvqT","properties":{"formattedCitation":"(Statistics NZ, 2024)","plainCitation":"(Statistics NZ, 2024)","noteIndex":0},"citationItems":[{"id":1547,"uris":["http://zotero.org/users/11111291/items/WAHLFENY"],"itemData":{"id":1547,"type":"dataset","language":"en","title":"Subnational population estimates (DHB, DHB constituency), by age and sex, at 30 June 1996-2023 (2015 boundaries)","URL":"https://nzdotstat.stats.govt.nz/wbos/Index.aspx?_ga=2.215179479.1541391696.1707881081-1022415708.1707355376","author":[{"literal":"Statistics NZ"}],"accessed":{"date-parts":[["2024",2,15]]},"issued":{"date-parts":[["2024"]]}}}],"schema":"https://github.com/citation-style-language/schema/raw/master/csl-citation.json"} </w:instrText>
            </w:r>
            <w:r w:rsidRPr="00A06DF7">
              <w:rPr>
                <w:rFonts w:cs="Calibri"/>
                <w:sz w:val="18"/>
                <w:szCs w:val="20"/>
              </w:rPr>
              <w:fldChar w:fldCharType="separate"/>
            </w:r>
            <w:r w:rsidRPr="00A06DF7">
              <w:rPr>
                <w:rFonts w:cs="Calibri"/>
                <w:sz w:val="18"/>
              </w:rPr>
              <w:t>(Statistics NZ, 2024)</w:t>
            </w:r>
            <w:r w:rsidRPr="00A06DF7">
              <w:rPr>
                <w:rFonts w:cs="Calibri"/>
                <w:sz w:val="18"/>
                <w:szCs w:val="20"/>
              </w:rPr>
              <w:fldChar w:fldCharType="end"/>
            </w:r>
          </w:p>
        </w:tc>
      </w:tr>
    </w:tbl>
    <w:p w14:paraId="7A3B3CBE" w14:textId="67489C4A" w:rsidR="003602D0" w:rsidRPr="00A06DF7" w:rsidRDefault="000F2747" w:rsidP="006A6265">
      <w:pPr>
        <w:spacing w:before="240"/>
        <w:rPr>
          <w:rFonts w:cs="Calibri"/>
        </w:rPr>
      </w:pPr>
      <w:r w:rsidRPr="00A06DF7">
        <w:rPr>
          <w:rFonts w:cs="Calibri"/>
        </w:rPr>
        <w:t xml:space="preserve">In </w:t>
      </w:r>
      <w:r w:rsidR="005A426E" w:rsidRPr="00A06DF7">
        <w:rPr>
          <w:rFonts w:cs="Calibri"/>
        </w:rPr>
        <w:fldChar w:fldCharType="begin"/>
      </w:r>
      <w:r w:rsidR="005A426E" w:rsidRPr="00A06DF7">
        <w:rPr>
          <w:rFonts w:cs="Calibri"/>
        </w:rPr>
        <w:instrText xml:space="preserve"> REF _Ref158889461 \h </w:instrText>
      </w:r>
      <w:r w:rsidR="00A06DF7">
        <w:rPr>
          <w:rFonts w:cs="Calibri"/>
        </w:rPr>
        <w:instrText xml:space="preserve"> \* MERGEFORMAT </w:instrText>
      </w:r>
      <w:r w:rsidR="005A426E" w:rsidRPr="00A06DF7">
        <w:rPr>
          <w:rFonts w:cs="Calibri"/>
        </w:rPr>
      </w:r>
      <w:r w:rsidR="005A426E" w:rsidRPr="00A06DF7">
        <w:rPr>
          <w:rFonts w:cs="Calibri"/>
        </w:rPr>
        <w:fldChar w:fldCharType="separate"/>
      </w:r>
      <w:r w:rsidR="004F4DA7" w:rsidRPr="00A06DF7">
        <w:rPr>
          <w:rFonts w:cs="Calibri"/>
        </w:rPr>
        <w:t xml:space="preserve">Figure </w:t>
      </w:r>
      <w:r w:rsidR="004F4DA7">
        <w:rPr>
          <w:rFonts w:cs="Calibri"/>
          <w:noProof/>
        </w:rPr>
        <w:t>12</w:t>
      </w:r>
      <w:r w:rsidR="005A426E" w:rsidRPr="00A06DF7">
        <w:rPr>
          <w:rFonts w:cs="Calibri"/>
        </w:rPr>
        <w:fldChar w:fldCharType="end"/>
      </w:r>
      <w:r w:rsidRPr="00A06DF7">
        <w:rPr>
          <w:rFonts w:cs="Calibri"/>
        </w:rPr>
        <w:t xml:space="preserve">, we </w:t>
      </w:r>
      <w:r w:rsidR="009E372F" w:rsidRPr="00A06DF7">
        <w:rPr>
          <w:rFonts w:cs="Calibri"/>
        </w:rPr>
        <w:t xml:space="preserve">combine gambling </w:t>
      </w:r>
      <w:r w:rsidR="00EB7174" w:rsidRPr="00A06DF7">
        <w:rPr>
          <w:rFonts w:cs="Calibri"/>
        </w:rPr>
        <w:t xml:space="preserve">participation </w:t>
      </w:r>
      <w:r w:rsidR="006550FE" w:rsidRPr="00A06DF7">
        <w:rPr>
          <w:rFonts w:cs="Calibri"/>
        </w:rPr>
        <w:t>rates measured</w:t>
      </w:r>
      <w:r w:rsidR="00EB7174" w:rsidRPr="00A06DF7">
        <w:rPr>
          <w:rFonts w:cs="Calibri"/>
        </w:rPr>
        <w:t xml:space="preserve"> in the HLS</w:t>
      </w:r>
      <w:r w:rsidR="00E470D8" w:rsidRPr="00A06DF7">
        <w:rPr>
          <w:rStyle w:val="FootnoteReference"/>
          <w:rFonts w:cs="Calibri"/>
        </w:rPr>
        <w:footnoteReference w:id="33"/>
      </w:r>
      <w:r w:rsidR="00EB7174" w:rsidRPr="00A06DF7">
        <w:rPr>
          <w:rFonts w:cs="Calibri"/>
        </w:rPr>
        <w:t xml:space="preserve"> with population projections to estimate the total number of annual participants </w:t>
      </w:r>
      <w:r w:rsidR="000D48EC" w:rsidRPr="00A06DF7">
        <w:rPr>
          <w:rFonts w:cs="Calibri"/>
        </w:rPr>
        <w:t>of</w:t>
      </w:r>
      <w:r w:rsidR="00EB7174" w:rsidRPr="00A06DF7">
        <w:rPr>
          <w:rFonts w:cs="Calibri"/>
        </w:rPr>
        <w:t xml:space="preserve"> each gambling type</w:t>
      </w:r>
      <w:r w:rsidR="00765CA9" w:rsidRPr="00A06DF7">
        <w:rPr>
          <w:rFonts w:cs="Calibri"/>
        </w:rPr>
        <w:t xml:space="preserve">. </w:t>
      </w:r>
      <w:r w:rsidR="00897370" w:rsidRPr="00A06DF7">
        <w:rPr>
          <w:rFonts w:cs="Calibri"/>
        </w:rPr>
        <w:t xml:space="preserve">Subsequently, </w:t>
      </w:r>
      <w:r w:rsidR="002C5B49" w:rsidRPr="00A06DF7">
        <w:rPr>
          <w:rFonts w:cs="Calibri"/>
        </w:rPr>
        <w:t>we integrate</w:t>
      </w:r>
      <w:r w:rsidR="00252F17" w:rsidRPr="00A06DF7">
        <w:rPr>
          <w:rFonts w:cs="Calibri"/>
        </w:rPr>
        <w:t xml:space="preserve"> gambling harm intervention services data</w:t>
      </w:r>
      <w:r w:rsidR="002C5B49" w:rsidRPr="00A06DF7">
        <w:rPr>
          <w:rFonts w:cs="Calibri"/>
        </w:rPr>
        <w:t xml:space="preserve"> to depict</w:t>
      </w:r>
      <w:r w:rsidR="00701D84" w:rsidRPr="00A06DF7">
        <w:rPr>
          <w:rFonts w:cs="Calibri"/>
        </w:rPr>
        <w:t xml:space="preserve"> the number of presentations relative to the number of participants</w:t>
      </w:r>
      <w:r w:rsidR="002C5B49" w:rsidRPr="00A06DF7">
        <w:rPr>
          <w:rFonts w:cs="Calibri"/>
        </w:rPr>
        <w:t xml:space="preserve"> to measure </w:t>
      </w:r>
      <w:r w:rsidR="006550FE" w:rsidRPr="00A06DF7">
        <w:rPr>
          <w:rFonts w:cs="Calibri"/>
        </w:rPr>
        <w:t>the</w:t>
      </w:r>
      <w:bookmarkStart w:id="217" w:name="_Hlk158889875"/>
      <w:r w:rsidR="006550FE" w:rsidRPr="00A06DF7">
        <w:rPr>
          <w:rFonts w:cs="Calibri"/>
        </w:rPr>
        <w:t xml:space="preserve"> relative </w:t>
      </w:r>
      <w:bookmarkEnd w:id="217"/>
      <w:r w:rsidR="006550FE" w:rsidRPr="00A06DF7">
        <w:rPr>
          <w:rFonts w:cs="Calibri"/>
        </w:rPr>
        <w:t>harm between each type of gambling</w:t>
      </w:r>
      <w:r w:rsidR="008B2A94" w:rsidRPr="00A06DF7">
        <w:rPr>
          <w:rStyle w:val="FootnoteReference"/>
          <w:rFonts w:cs="Calibri"/>
        </w:rPr>
        <w:footnoteReference w:id="34"/>
      </w:r>
      <w:r w:rsidR="00701D84" w:rsidRPr="00A06DF7">
        <w:rPr>
          <w:rFonts w:cs="Calibri"/>
        </w:rPr>
        <w:t>.</w:t>
      </w:r>
    </w:p>
    <w:p w14:paraId="41CD59DD" w14:textId="716323CE" w:rsidR="00EF5D49" w:rsidRPr="00A06DF7" w:rsidRDefault="00B0176F" w:rsidP="00282994">
      <w:pPr>
        <w:pStyle w:val="Caption"/>
        <w:rPr>
          <w:rFonts w:cs="Calibri"/>
        </w:rPr>
      </w:pPr>
      <w:bookmarkStart w:id="218" w:name="_Ref158889461"/>
      <w:bookmarkStart w:id="219" w:name="_Toc166580307"/>
      <w:r w:rsidRPr="00A06DF7">
        <w:rPr>
          <w:rFonts w:cs="Calibri"/>
        </w:rPr>
        <w:lastRenderedPageBreak/>
        <w:t xml:space="preserve">Figure </w:t>
      </w:r>
      <w:r w:rsidR="004867DB" w:rsidRPr="00A06DF7">
        <w:rPr>
          <w:rFonts w:cs="Calibri"/>
        </w:rPr>
        <w:fldChar w:fldCharType="begin"/>
      </w:r>
      <w:r w:rsidR="004867DB" w:rsidRPr="00A06DF7">
        <w:rPr>
          <w:rFonts w:cs="Calibri"/>
        </w:rPr>
        <w:instrText xml:space="preserve"> SEQ Figure \* ARABIC </w:instrText>
      </w:r>
      <w:r w:rsidR="004867DB" w:rsidRPr="00A06DF7">
        <w:rPr>
          <w:rFonts w:cs="Calibri"/>
        </w:rPr>
        <w:fldChar w:fldCharType="separate"/>
      </w:r>
      <w:r w:rsidR="004F4DA7">
        <w:rPr>
          <w:rFonts w:cs="Calibri"/>
          <w:noProof/>
        </w:rPr>
        <w:t>12</w:t>
      </w:r>
      <w:r w:rsidR="004867DB" w:rsidRPr="00A06DF7">
        <w:rPr>
          <w:rFonts w:cs="Calibri"/>
          <w:noProof/>
        </w:rPr>
        <w:fldChar w:fldCharType="end"/>
      </w:r>
      <w:bookmarkEnd w:id="218"/>
      <w:r w:rsidRPr="00A06DF7">
        <w:rPr>
          <w:rFonts w:cs="Calibri"/>
        </w:rPr>
        <w:t>. Harm presentations to gambling harm intervention services per 10,000 participants</w:t>
      </w:r>
      <w:r w:rsidR="00C249F0" w:rsidRPr="00A06DF7">
        <w:rPr>
          <w:rFonts w:cs="Calibri"/>
        </w:rPr>
        <w:t xml:space="preserve"> </w:t>
      </w:r>
      <w:r w:rsidR="003266E8" w:rsidRPr="00A06DF7">
        <w:rPr>
          <w:rFonts w:cs="Calibri"/>
        </w:rPr>
        <w:t xml:space="preserve">in </w:t>
      </w:r>
      <w:r w:rsidR="00C249F0" w:rsidRPr="00A06DF7">
        <w:rPr>
          <w:rFonts w:cs="Calibri"/>
        </w:rPr>
        <w:t>2020</w:t>
      </w:r>
      <w:r w:rsidR="003266E8" w:rsidRPr="00A06DF7">
        <w:rPr>
          <w:rFonts w:cs="Calibri"/>
        </w:rPr>
        <w:t xml:space="preserve"> </w:t>
      </w:r>
      <w:r w:rsidR="00657584" w:rsidRPr="00A06DF7">
        <w:rPr>
          <w:rFonts w:cs="Calibri"/>
        </w:rPr>
        <w:fldChar w:fldCharType="begin"/>
      </w:r>
      <w:r w:rsidR="00BA456D">
        <w:rPr>
          <w:rFonts w:cs="Calibri"/>
        </w:rPr>
        <w:instrText xml:space="preserve"> ADDIN ZOTERO_ITEM CSL_CITATION {"citationID":"JZYduRZT","properties":{"formattedCitation":"(Bevin, 2022; Department of Internal Affairs, 2023a; Statistics NZ, 2024; Te Whatu Ora, 2020)","plainCitation":"(Bevin, 2022; Department of Internal Affairs, 2023a; Statistics NZ, 2024; Te Whatu Ora, 2020)","dontUpdate":true,"noteIndex":0},"citationItems":[{"id":1535,"uris":["http://zotero.org/users/11111291/items/6C3T86E9"],"itemData":{"id":1535,"type":"webpage","abstract":"A lack of regulation has made NZ an easy target for online gambling providers, with estimated spending jumping from $139.3m in 2014 to $332.6m in 2020.","container-title":"Newsroom","language":"en-US","title":"Online gambling products 'aggressively' targeting NZ","URL":"http://newsroom.co.nz/2022/10/10/online-gambling-aggressively-targeting-new-zealand/","author":[{"family":"Bevin","given":"Andrew"}],"accessed":{"date-parts":[["2024",1,30]]},"issued":{"date-parts":[["2022",10,10]]}}},{"id":1427,"uris":["http://zotero.org/users/11111291/items/S4F3RHNR"],"itemData":{"id":1427,"type":"dataset","title":"Annual Gambling Expenditure Statistics","URL":"https://catalogue.data.govt.nz/dataset/gambling-expenditure-statistics","author":[{"literal":"Department of Internal Affairs"}],"issued":{"date-parts":[["2023"]]}}},{"id":1547,"uris":["http://zotero.org/users/11111291/items/WAHLFENY"],"itemData":{"id":1547,"type":"dataset","language":"en","title":"Subnational population estimates (DHB, DHB constituency), by age and sex, at 30 June 1996-2023 (2015 boundaries)","URL":"https://nzdotstat.stats.govt.nz/wbos/Index.aspx?_ga=2.215179479.1541391696.1707881081-1022415708.1707355376","author":[{"literal":"Statistics NZ"}],"accessed":{"date-parts":[["2024",2,15]]},"issued":{"date-parts":[["2024"]]}}},{"id":1332,"uris":["http://zotero.org/users/11111291/items/7BATMKQU"],"itemData":{"id":1332,"type":"dataset","title":"Health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00657584" w:rsidRPr="00A06DF7">
        <w:rPr>
          <w:rFonts w:cs="Calibri"/>
        </w:rPr>
        <w:fldChar w:fldCharType="separate"/>
      </w:r>
      <w:r w:rsidR="00657584" w:rsidRPr="00A06DF7">
        <w:rPr>
          <w:rFonts w:cs="Calibri"/>
        </w:rPr>
        <w:t>(Department of Internal Affairs, 2023a; Statistics NZ, 2024; Te Whatu Ora, 2020)</w:t>
      </w:r>
      <w:bookmarkEnd w:id="219"/>
      <w:r w:rsidR="00657584" w:rsidRPr="00A06DF7">
        <w:rPr>
          <w:rFonts w:cs="Calibri"/>
        </w:rPr>
        <w:fldChar w:fldCharType="end"/>
      </w:r>
    </w:p>
    <w:p w14:paraId="58C94A65" w14:textId="5A750276" w:rsidR="00DE5CDC" w:rsidRPr="00A06DF7" w:rsidRDefault="00464D9F" w:rsidP="00282994">
      <w:pPr>
        <w:rPr>
          <w:rFonts w:cs="Calibri"/>
        </w:rPr>
      </w:pPr>
      <w:r w:rsidRPr="00A06DF7">
        <w:rPr>
          <w:rFonts w:cs="Calibri"/>
          <w:noProof/>
        </w:rPr>
        <w:t xml:space="preserve"> </w:t>
      </w:r>
      <w:r w:rsidRPr="00A06DF7">
        <w:rPr>
          <w:rFonts w:cs="Calibri"/>
          <w:noProof/>
        </w:rPr>
        <w:drawing>
          <wp:inline distT="0" distB="0" distL="0" distR="0" wp14:anchorId="1DDC7301" wp14:editId="066087E1">
            <wp:extent cx="5731510" cy="3467735"/>
            <wp:effectExtent l="0" t="0" r="2540" b="0"/>
            <wp:docPr id="40" name="Graphic 40" descr="A bar chart showing harm presentations to gambling harm intervention services per 10,000 participant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A bar chart showing harm presentations to gambling harm intervention services per 10,000 participants in 2020"/>
                    <pic:cNvPicPr/>
                  </pic:nvPicPr>
                  <pic:blipFill rotWithShape="1">
                    <a:blip r:embed="rId38">
                      <a:extLst>
                        <a:ext uri="{96DAC541-7B7A-43D3-8B79-37D633B846F1}">
                          <asvg:svgBlip xmlns:asvg="http://schemas.microsoft.com/office/drawing/2016/SVG/main" r:embed="rId39"/>
                        </a:ext>
                      </a:extLst>
                    </a:blip>
                    <a:srcRect t="12637"/>
                    <a:stretch/>
                  </pic:blipFill>
                  <pic:spPr bwMode="auto">
                    <a:xfrm>
                      <a:off x="0" y="0"/>
                      <a:ext cx="5731510" cy="3467735"/>
                    </a:xfrm>
                    <a:prstGeom prst="rect">
                      <a:avLst/>
                    </a:prstGeom>
                    <a:ln>
                      <a:noFill/>
                    </a:ln>
                    <a:extLst>
                      <a:ext uri="{53640926-AAD7-44D8-BBD7-CCE9431645EC}">
                        <a14:shadowObscured xmlns:a14="http://schemas.microsoft.com/office/drawing/2010/main"/>
                      </a:ext>
                    </a:extLst>
                  </pic:spPr>
                </pic:pic>
              </a:graphicData>
            </a:graphic>
          </wp:inline>
        </w:drawing>
      </w:r>
    </w:p>
    <w:p w14:paraId="779DC42A" w14:textId="55CC0EF7" w:rsidR="003266E8" w:rsidRPr="00A06DF7" w:rsidRDefault="00DC6EAE" w:rsidP="00282994">
      <w:pPr>
        <w:rPr>
          <w:rFonts w:cs="Calibri"/>
        </w:rPr>
      </w:pPr>
      <w:r w:rsidRPr="00A06DF7">
        <w:rPr>
          <w:rFonts w:cs="Calibri"/>
        </w:rPr>
        <w:t xml:space="preserve">Figure 15 shows that those gambling </w:t>
      </w:r>
      <w:r w:rsidR="004956CC" w:rsidRPr="00A06DF7">
        <w:rPr>
          <w:rFonts w:cs="Calibri"/>
        </w:rPr>
        <w:t>at casinos,</w:t>
      </w:r>
      <w:r w:rsidR="00203254" w:rsidRPr="00A06DF7">
        <w:rPr>
          <w:rFonts w:cs="Calibri"/>
        </w:rPr>
        <w:t xml:space="preserve"> on</w:t>
      </w:r>
      <w:r w:rsidR="00086EAC" w:rsidRPr="00A06DF7">
        <w:rPr>
          <w:rFonts w:cs="Calibri"/>
        </w:rPr>
        <w:t xml:space="preserve"> offshore-based sites</w:t>
      </w:r>
      <w:r w:rsidR="00C91CB9" w:rsidRPr="00A06DF7">
        <w:rPr>
          <w:rFonts w:cs="Calibri"/>
        </w:rPr>
        <w:t xml:space="preserve"> and</w:t>
      </w:r>
      <w:r w:rsidR="00E72A7B" w:rsidRPr="00A06DF7">
        <w:rPr>
          <w:rFonts w:cs="Calibri"/>
        </w:rPr>
        <w:t xml:space="preserve"> on</w:t>
      </w:r>
      <w:r w:rsidR="00C91CB9" w:rsidRPr="00A06DF7">
        <w:rPr>
          <w:rFonts w:cs="Calibri"/>
        </w:rPr>
        <w:t xml:space="preserve"> </w:t>
      </w:r>
      <w:r w:rsidRPr="00A06DF7">
        <w:rPr>
          <w:rFonts w:cs="Calibri"/>
        </w:rPr>
        <w:t>EGMs</w:t>
      </w:r>
      <w:r w:rsidR="00086EAC" w:rsidRPr="00A06DF7">
        <w:rPr>
          <w:rFonts w:cs="Calibri"/>
        </w:rPr>
        <w:t xml:space="preserve"> at pubs and clubs</w:t>
      </w:r>
      <w:r w:rsidR="00ED3CDD" w:rsidRPr="00A06DF7">
        <w:rPr>
          <w:rFonts w:cs="Calibri"/>
        </w:rPr>
        <w:t xml:space="preserve"> </w:t>
      </w:r>
      <w:r w:rsidR="00195248" w:rsidRPr="00A06DF7">
        <w:rPr>
          <w:rFonts w:cs="Calibri"/>
        </w:rPr>
        <w:t>appear</w:t>
      </w:r>
      <w:r w:rsidR="00ED3CDD" w:rsidRPr="00A06DF7">
        <w:rPr>
          <w:rFonts w:cs="Calibri"/>
        </w:rPr>
        <w:t xml:space="preserve"> more likely to receive gambling harm intervention services</w:t>
      </w:r>
      <w:r w:rsidR="00B903E4" w:rsidRPr="00A06DF7">
        <w:rPr>
          <w:rFonts w:cs="Calibri"/>
        </w:rPr>
        <w:t xml:space="preserve"> than those gambling on Lotto or the TAB. </w:t>
      </w:r>
      <w:r w:rsidR="00B92160" w:rsidRPr="00A06DF7">
        <w:rPr>
          <w:rFonts w:cs="Calibri"/>
        </w:rPr>
        <w:t xml:space="preserve">In </w:t>
      </w:r>
      <w:r w:rsidR="00B92160" w:rsidRPr="00A06DF7">
        <w:rPr>
          <w:rFonts w:cs="Calibri"/>
        </w:rPr>
        <w:fldChar w:fldCharType="begin"/>
      </w:r>
      <w:r w:rsidR="00B92160" w:rsidRPr="00A06DF7">
        <w:rPr>
          <w:rFonts w:cs="Calibri"/>
        </w:rPr>
        <w:instrText xml:space="preserve"> REF _Ref158890388 \h </w:instrText>
      </w:r>
      <w:r w:rsidR="00F13056" w:rsidRPr="00A06DF7">
        <w:rPr>
          <w:rFonts w:cs="Calibri"/>
        </w:rPr>
        <w:instrText xml:space="preserve"> \* MERGEFORMAT </w:instrText>
      </w:r>
      <w:r w:rsidR="00B92160" w:rsidRPr="00A06DF7">
        <w:rPr>
          <w:rFonts w:cs="Calibri"/>
        </w:rPr>
      </w:r>
      <w:r w:rsidR="00B92160" w:rsidRPr="00A06DF7">
        <w:rPr>
          <w:rFonts w:cs="Calibri"/>
        </w:rPr>
        <w:fldChar w:fldCharType="separate"/>
      </w:r>
      <w:r w:rsidR="004F4DA7" w:rsidRPr="00A06DF7">
        <w:rPr>
          <w:rFonts w:cs="Calibri"/>
        </w:rPr>
        <w:t xml:space="preserve">Figure </w:t>
      </w:r>
      <w:r w:rsidR="004F4DA7">
        <w:rPr>
          <w:rFonts w:cs="Calibri"/>
          <w:noProof/>
        </w:rPr>
        <w:t>13</w:t>
      </w:r>
      <w:r w:rsidR="00B92160" w:rsidRPr="00A06DF7">
        <w:rPr>
          <w:rFonts w:cs="Calibri"/>
        </w:rPr>
        <w:fldChar w:fldCharType="end"/>
      </w:r>
      <w:r w:rsidR="00B92160" w:rsidRPr="00A06DF7">
        <w:rPr>
          <w:rFonts w:cs="Calibri"/>
        </w:rPr>
        <w:t xml:space="preserve">, we employ the same methodology but analyse expenditure rather than presentations.  </w:t>
      </w:r>
    </w:p>
    <w:p w14:paraId="69C115AF" w14:textId="5080BBD2" w:rsidR="00DE4945" w:rsidRPr="00A06DF7" w:rsidRDefault="00B0176F" w:rsidP="00B0176F">
      <w:pPr>
        <w:pStyle w:val="Caption"/>
        <w:rPr>
          <w:rFonts w:cs="Calibri"/>
        </w:rPr>
      </w:pPr>
      <w:bookmarkStart w:id="220" w:name="_Ref158890388"/>
      <w:bookmarkStart w:id="221" w:name="_Toc166580308"/>
      <w:r w:rsidRPr="00A06DF7">
        <w:rPr>
          <w:rFonts w:cs="Calibri"/>
        </w:rPr>
        <w:lastRenderedPageBreak/>
        <w:t xml:space="preserve">Figure </w:t>
      </w:r>
      <w:r w:rsidR="004867DB" w:rsidRPr="00A06DF7">
        <w:rPr>
          <w:rFonts w:cs="Calibri"/>
        </w:rPr>
        <w:fldChar w:fldCharType="begin"/>
      </w:r>
      <w:r w:rsidR="004867DB" w:rsidRPr="00A06DF7">
        <w:rPr>
          <w:rFonts w:cs="Calibri"/>
        </w:rPr>
        <w:instrText xml:space="preserve"> SEQ Figure \* ARABIC </w:instrText>
      </w:r>
      <w:r w:rsidR="004867DB" w:rsidRPr="00A06DF7">
        <w:rPr>
          <w:rFonts w:cs="Calibri"/>
        </w:rPr>
        <w:fldChar w:fldCharType="separate"/>
      </w:r>
      <w:r w:rsidR="004F4DA7">
        <w:rPr>
          <w:rFonts w:cs="Calibri"/>
          <w:noProof/>
        </w:rPr>
        <w:t>13</w:t>
      </w:r>
      <w:r w:rsidR="004867DB" w:rsidRPr="00A06DF7">
        <w:rPr>
          <w:rFonts w:cs="Calibri"/>
          <w:noProof/>
        </w:rPr>
        <w:fldChar w:fldCharType="end"/>
      </w:r>
      <w:bookmarkEnd w:id="220"/>
      <w:r w:rsidRPr="00A06DF7">
        <w:rPr>
          <w:rFonts w:cs="Calibri"/>
        </w:rPr>
        <w:t xml:space="preserve">. </w:t>
      </w:r>
      <w:r w:rsidR="00CE60D3" w:rsidRPr="00A06DF7">
        <w:rPr>
          <w:rFonts w:cs="Calibri"/>
        </w:rPr>
        <w:t>E</w:t>
      </w:r>
      <w:r w:rsidRPr="00A06DF7">
        <w:rPr>
          <w:rFonts w:cs="Calibri"/>
        </w:rPr>
        <w:t>xpenditure per player by gambling type</w:t>
      </w:r>
      <w:r w:rsidR="008E41AE" w:rsidRPr="00A06DF7">
        <w:rPr>
          <w:rFonts w:cs="Calibri"/>
        </w:rPr>
        <w:t xml:space="preserve"> </w:t>
      </w:r>
      <w:r w:rsidR="00CE60D3" w:rsidRPr="00A06DF7">
        <w:rPr>
          <w:rFonts w:cs="Calibri"/>
        </w:rPr>
        <w:t>in 2020</w:t>
      </w:r>
      <w:r w:rsidR="009D292B" w:rsidRPr="00A06DF7">
        <w:rPr>
          <w:rStyle w:val="FootnoteReference"/>
          <w:rFonts w:cs="Calibri"/>
        </w:rPr>
        <w:footnoteReference w:id="35"/>
      </w:r>
      <w:r w:rsidR="0099235A" w:rsidRPr="00A06DF7">
        <w:rPr>
          <w:rStyle w:val="FootnoteReference"/>
          <w:rFonts w:cs="Calibri"/>
        </w:rPr>
        <w:footnoteReference w:id="36"/>
      </w:r>
      <w:r w:rsidR="00CE60D3" w:rsidRPr="00A06DF7">
        <w:rPr>
          <w:rFonts w:cs="Calibri"/>
        </w:rPr>
        <w:t xml:space="preserve"> </w:t>
      </w:r>
      <w:r w:rsidR="00531469" w:rsidRPr="00A06DF7">
        <w:rPr>
          <w:rFonts w:cs="Calibri"/>
        </w:rPr>
        <w:fldChar w:fldCharType="begin"/>
      </w:r>
      <w:r w:rsidR="00531469" w:rsidRPr="00A06DF7">
        <w:rPr>
          <w:rFonts w:cs="Calibri"/>
        </w:rPr>
        <w:instrText xml:space="preserve"> ADDIN ZOTERO_ITEM CSL_CITATION {"citationID":"RqbqLkwY","properties":{"formattedCitation":"(Bevin, 2022; Department of Internal Affairs, 2023a; Statistics NZ, 2024; Te Whatu Ora, 2020)","plainCitation":"(Bevin, 2022; Department of Internal Affairs, 2023a; Statistics NZ, 2024; Te Whatu Ora, 2020)","noteIndex":0},"citationItems":[{"id":1535,"uris":["http://zotero.org/users/11111291/items/6C3T86E9"],"itemData":{"id":1535,"type":"webpage","abstract":"A lack of regulation has made NZ an easy target for online gambling providers, with estimated spending jumping from $139.3m in 2014 to $332.6m in 2020.","container-title":"Newsroom","language":"en-US","title":"Online gambling products 'aggressively' targeting NZ","URL":"http://newsroom.co.nz/2022/10/10/online-gambling-aggressively-targeting-new-zealand/","author":[{"family":"Bevin","given":"Andrew"}],"accessed":{"date-parts":[["2024",1,30]]},"issued":{"date-parts":[["2022",10,10]]}}},{"id":1427,"uris":["http://zotero.org/users/11111291/items/S4F3RHNR"],"itemData":{"id":1427,"type":"dataset","title":"Annual Gambling Expenditure Statistics","URL":"https://catalogue.data.govt.nz/dataset/gambling-expenditure-statistics","author":[{"literal":"Department of Internal Affairs"}],"issued":{"date-parts":[["2023"]]}}},{"id":1547,"uris":["http://zotero.org/users/11111291/items/WAHLFENY"],"itemData":{"id":1547,"type":"dataset","language":"en","title":"Subnational population estimates (DHB, DHB constituency), by age and sex, at 30 June 1996-2023 (2015 boundaries)","URL":"https://nzdotstat.stats.govt.nz/wbos/Index.aspx?_ga=2.215179479.1541391696.1707881081-1022415708.1707355376","author":[{"literal":"Statistics NZ"}],"accessed":{"date-parts":[["2024",2,15]]},"issued":{"date-parts":[["2024"]]}}},{"id":1332,"uris":["http://zotero.org/users/11111291/items/7BATMKQU"],"itemData":{"id":1332,"type":"dataset","title":"Health and Lifestyle Survey gambling data","URL":"https://kupe.healthpromotion.govt.nz/#!/gambling","author":[{"literal":"Te Whatu Ora"}],"issued":{"date-parts":[["2020"]]}}}],"schema":"https://github.com/citation-style-language/schema/raw/master/csl-citation.json"} </w:instrText>
      </w:r>
      <w:r w:rsidR="00531469" w:rsidRPr="00A06DF7">
        <w:rPr>
          <w:rFonts w:cs="Calibri"/>
        </w:rPr>
        <w:fldChar w:fldCharType="separate"/>
      </w:r>
      <w:r w:rsidR="00531469" w:rsidRPr="00A06DF7">
        <w:rPr>
          <w:rFonts w:cs="Calibri"/>
        </w:rPr>
        <w:t>(Bevin, 2022; Department of Internal Affairs, 2023a; Statistics NZ, 2024; Te Whatu Ora, 2020)</w:t>
      </w:r>
      <w:bookmarkEnd w:id="221"/>
      <w:r w:rsidR="00531469" w:rsidRPr="00A06DF7">
        <w:rPr>
          <w:rFonts w:cs="Calibri"/>
        </w:rPr>
        <w:fldChar w:fldCharType="end"/>
      </w:r>
    </w:p>
    <w:p w14:paraId="011A2767" w14:textId="3EC4D02D" w:rsidR="00B24F11" w:rsidRPr="00A06DF7" w:rsidRDefault="00700F1E" w:rsidP="00282994">
      <w:pPr>
        <w:rPr>
          <w:rFonts w:cs="Calibri"/>
        </w:rPr>
      </w:pPr>
      <w:r w:rsidRPr="00A06DF7">
        <w:rPr>
          <w:rFonts w:cs="Calibri"/>
          <w:noProof/>
        </w:rPr>
        <w:t xml:space="preserve"> </w:t>
      </w:r>
      <w:r w:rsidRPr="00A06DF7">
        <w:rPr>
          <w:rFonts w:cs="Calibri"/>
          <w:noProof/>
        </w:rPr>
        <w:drawing>
          <wp:inline distT="0" distB="0" distL="0" distR="0" wp14:anchorId="0A5EFC33" wp14:editId="010BD4FC">
            <wp:extent cx="5731510" cy="3816350"/>
            <wp:effectExtent l="0" t="0" r="2540" b="0"/>
            <wp:docPr id="41" name="Graphic 41" descr="A bar chart showing expenditure per player by gambling type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A bar chart showing expenditure per player by gambling type in 2020"/>
                    <pic:cNvPicPr/>
                  </pic:nvPicPr>
                  <pic:blipFill>
                    <a:blip r:embed="rId40">
                      <a:extLst>
                        <a:ext uri="{96DAC541-7B7A-43D3-8B79-37D633B846F1}">
                          <asvg:svgBlip xmlns:asvg="http://schemas.microsoft.com/office/drawing/2016/SVG/main" r:embed="rId41"/>
                        </a:ext>
                      </a:extLst>
                    </a:blip>
                    <a:stretch>
                      <a:fillRect/>
                    </a:stretch>
                  </pic:blipFill>
                  <pic:spPr>
                    <a:xfrm>
                      <a:off x="0" y="0"/>
                      <a:ext cx="5731510" cy="3816350"/>
                    </a:xfrm>
                    <a:prstGeom prst="rect">
                      <a:avLst/>
                    </a:prstGeom>
                  </pic:spPr>
                </pic:pic>
              </a:graphicData>
            </a:graphic>
          </wp:inline>
        </w:drawing>
      </w:r>
    </w:p>
    <w:p w14:paraId="38B7D0E2" w14:textId="68999245" w:rsidR="00E5237B" w:rsidRPr="00A06DF7" w:rsidRDefault="007A1966" w:rsidP="00282994">
      <w:pPr>
        <w:rPr>
          <w:rFonts w:cs="Calibri"/>
        </w:rPr>
      </w:pPr>
      <w:r w:rsidRPr="00A06DF7">
        <w:rPr>
          <w:rFonts w:cs="Calibri"/>
        </w:rPr>
        <w:t>Similar trends emerge</w:t>
      </w:r>
      <w:r w:rsidR="003F3A01" w:rsidRPr="00A06DF7">
        <w:rPr>
          <w:rFonts w:cs="Calibri"/>
        </w:rPr>
        <w:t xml:space="preserve"> when </w:t>
      </w:r>
      <w:r w:rsidR="003A598D" w:rsidRPr="00A06DF7">
        <w:rPr>
          <w:rFonts w:cs="Calibri"/>
        </w:rPr>
        <w:t xml:space="preserve">looking at expenditure, as individuals gambling </w:t>
      </w:r>
      <w:r w:rsidR="00C91CB9" w:rsidRPr="00A06DF7">
        <w:rPr>
          <w:rFonts w:cs="Calibri"/>
        </w:rPr>
        <w:t xml:space="preserve">at casinos, </w:t>
      </w:r>
      <w:r w:rsidR="00E72A7B" w:rsidRPr="00A06DF7">
        <w:rPr>
          <w:rFonts w:cs="Calibri"/>
        </w:rPr>
        <w:t xml:space="preserve">on </w:t>
      </w:r>
      <w:r w:rsidR="00C91CB9" w:rsidRPr="00A06DF7">
        <w:rPr>
          <w:rFonts w:cs="Calibri"/>
        </w:rPr>
        <w:t>offshore-based sites and</w:t>
      </w:r>
      <w:r w:rsidR="00E72A7B" w:rsidRPr="00A06DF7">
        <w:rPr>
          <w:rFonts w:cs="Calibri"/>
        </w:rPr>
        <w:t xml:space="preserve"> on</w:t>
      </w:r>
      <w:r w:rsidR="00C91CB9" w:rsidRPr="00A06DF7">
        <w:rPr>
          <w:rFonts w:cs="Calibri"/>
        </w:rPr>
        <w:t xml:space="preserve"> EGMs at pubs and clubs</w:t>
      </w:r>
      <w:r w:rsidR="008109B8" w:rsidRPr="00A06DF7">
        <w:rPr>
          <w:rFonts w:cs="Calibri"/>
        </w:rPr>
        <w:t xml:space="preserve"> appear to</w:t>
      </w:r>
      <w:r w:rsidR="003A598D" w:rsidRPr="00A06DF7">
        <w:rPr>
          <w:rFonts w:cs="Calibri"/>
        </w:rPr>
        <w:t xml:space="preserve"> </w:t>
      </w:r>
      <w:r w:rsidR="00C52D39" w:rsidRPr="00A06DF7">
        <w:rPr>
          <w:rFonts w:cs="Calibri"/>
        </w:rPr>
        <w:t xml:space="preserve">lose </w:t>
      </w:r>
      <w:r w:rsidR="008336A1" w:rsidRPr="00A06DF7">
        <w:rPr>
          <w:rFonts w:cs="Calibri"/>
        </w:rPr>
        <w:t xml:space="preserve">significantly </w:t>
      </w:r>
      <w:r w:rsidR="00C52D39" w:rsidRPr="00A06DF7">
        <w:rPr>
          <w:rFonts w:cs="Calibri"/>
        </w:rPr>
        <w:t>more annually than those gambling on Lotto or the TAB.</w:t>
      </w:r>
      <w:r w:rsidR="001C2C96" w:rsidRPr="00A06DF7">
        <w:rPr>
          <w:rFonts w:cs="Calibri"/>
        </w:rPr>
        <w:t xml:space="preserve"> The levy </w:t>
      </w:r>
      <w:r w:rsidR="00700F19" w:rsidRPr="00A06DF7">
        <w:rPr>
          <w:rFonts w:cs="Calibri"/>
        </w:rPr>
        <w:t>for each sector is currently determined by expenditure and presentations, with a higher weighting for presentations</w:t>
      </w:r>
      <w:r w:rsidR="00B85D09" w:rsidRPr="00A06DF7">
        <w:rPr>
          <w:rFonts w:cs="Calibri"/>
        </w:rPr>
        <w:t xml:space="preserve"> (70/30)</w:t>
      </w:r>
      <w:r w:rsidR="003E42D0" w:rsidRPr="00A06DF7">
        <w:rPr>
          <w:rFonts w:cs="Calibri"/>
        </w:rPr>
        <w:t xml:space="preserve"> </w:t>
      </w:r>
      <w:r w:rsidR="003E42D0" w:rsidRPr="00A06DF7">
        <w:rPr>
          <w:rFonts w:cs="Calibri"/>
        </w:rPr>
        <w:fldChar w:fldCharType="begin"/>
      </w:r>
      <w:r w:rsidR="003E42D0" w:rsidRPr="00A06DF7">
        <w:rPr>
          <w:rFonts w:cs="Calibri"/>
        </w:rPr>
        <w:instrText xml:space="preserve"> ADDIN ZOTERO_ITEM CSL_CITATION {"citationID":"uwdrQMC3","properties":{"formattedCitation":"(Ministry of Health, 2022)","plainCitation":"(Ministry of Health, 2022)","noteIndex":0},"citationItems":[{"id":1494,"uris":["http://zotero.org/users/11111291/items/ZVLBJS5G"],"itemData":{"id":1494,"type":"report","language":"en","source":"Zotero","title":"Strategy to Prevent and Minimise Gambling Harm 2022/23 to 2024/25","URL":"https://www.beehive.govt.nz/sites/default/files/2022-06/Strategy-to-Prevent-and-Minimise-Gambling-Harm.PDF","author":[{"literal":"Ministry of Health"}],"issued":{"date-parts":[["2022"]]}}}],"schema":"https://github.com/citation-style-language/schema/raw/master/csl-citation.json"} </w:instrText>
      </w:r>
      <w:r w:rsidR="003E42D0" w:rsidRPr="00A06DF7">
        <w:rPr>
          <w:rFonts w:cs="Calibri"/>
        </w:rPr>
        <w:fldChar w:fldCharType="separate"/>
      </w:r>
      <w:r w:rsidR="003E42D0" w:rsidRPr="00A06DF7">
        <w:rPr>
          <w:rFonts w:cs="Calibri"/>
        </w:rPr>
        <w:t>(Ministry of Health, 2022)</w:t>
      </w:r>
      <w:r w:rsidR="003E42D0" w:rsidRPr="00A06DF7">
        <w:rPr>
          <w:rFonts w:cs="Calibri"/>
        </w:rPr>
        <w:fldChar w:fldCharType="end"/>
      </w:r>
      <w:r w:rsidR="00700F19" w:rsidRPr="00A06DF7">
        <w:rPr>
          <w:rFonts w:cs="Calibri"/>
        </w:rPr>
        <w:t xml:space="preserve">. </w:t>
      </w:r>
      <w:r w:rsidR="00BD778A" w:rsidRPr="00A06DF7">
        <w:rPr>
          <w:rFonts w:cs="Calibri"/>
        </w:rPr>
        <w:t xml:space="preserve">The </w:t>
      </w:r>
      <w:r w:rsidR="00905D3C" w:rsidRPr="00A06DF7">
        <w:rPr>
          <w:rFonts w:cs="Calibri"/>
        </w:rPr>
        <w:t xml:space="preserve">current levies reflect </w:t>
      </w:r>
      <w:r w:rsidR="0021765D" w:rsidRPr="00A06DF7">
        <w:rPr>
          <w:rFonts w:cs="Calibri"/>
        </w:rPr>
        <w:t>the relative harm shown in</w:t>
      </w:r>
      <w:r w:rsidR="00DE33E5" w:rsidRPr="00A06DF7">
        <w:rPr>
          <w:rFonts w:cs="Calibri"/>
        </w:rPr>
        <w:t xml:space="preserve"> </w:t>
      </w:r>
      <w:r w:rsidR="00DE33E5" w:rsidRPr="00A06DF7">
        <w:rPr>
          <w:rFonts w:cs="Calibri"/>
        </w:rPr>
        <w:fldChar w:fldCharType="begin"/>
      </w:r>
      <w:r w:rsidR="00DE33E5" w:rsidRPr="00A06DF7">
        <w:rPr>
          <w:rFonts w:cs="Calibri"/>
        </w:rPr>
        <w:instrText xml:space="preserve"> REF _Ref158889461 \h </w:instrText>
      </w:r>
      <w:r w:rsidR="00A06DF7">
        <w:rPr>
          <w:rFonts w:cs="Calibri"/>
        </w:rPr>
        <w:instrText xml:space="preserve"> \* MERGEFORMAT </w:instrText>
      </w:r>
      <w:r w:rsidR="00DE33E5" w:rsidRPr="00A06DF7">
        <w:rPr>
          <w:rFonts w:cs="Calibri"/>
        </w:rPr>
      </w:r>
      <w:r w:rsidR="00DE33E5" w:rsidRPr="00A06DF7">
        <w:rPr>
          <w:rFonts w:cs="Calibri"/>
        </w:rPr>
        <w:fldChar w:fldCharType="separate"/>
      </w:r>
      <w:r w:rsidR="004F4DA7" w:rsidRPr="00A06DF7">
        <w:rPr>
          <w:rFonts w:cs="Calibri"/>
        </w:rPr>
        <w:t xml:space="preserve">Figure </w:t>
      </w:r>
      <w:r w:rsidR="004F4DA7">
        <w:rPr>
          <w:rFonts w:cs="Calibri"/>
          <w:noProof/>
        </w:rPr>
        <w:t>12</w:t>
      </w:r>
      <w:r w:rsidR="00DE33E5" w:rsidRPr="00A06DF7">
        <w:rPr>
          <w:rFonts w:cs="Calibri"/>
        </w:rPr>
        <w:fldChar w:fldCharType="end"/>
      </w:r>
      <w:r w:rsidR="00DE33E5" w:rsidRPr="00A06DF7">
        <w:rPr>
          <w:rFonts w:cs="Calibri"/>
        </w:rPr>
        <w:t xml:space="preserve"> and </w:t>
      </w:r>
      <w:r w:rsidR="00DE33E5" w:rsidRPr="00A06DF7">
        <w:rPr>
          <w:rFonts w:cs="Calibri"/>
        </w:rPr>
        <w:fldChar w:fldCharType="begin"/>
      </w:r>
      <w:r w:rsidR="00DE33E5" w:rsidRPr="00A06DF7">
        <w:rPr>
          <w:rFonts w:cs="Calibri"/>
        </w:rPr>
        <w:instrText xml:space="preserve"> REF _Ref158890388 \h </w:instrText>
      </w:r>
      <w:r w:rsidR="00A06DF7">
        <w:rPr>
          <w:rFonts w:cs="Calibri"/>
        </w:rPr>
        <w:instrText xml:space="preserve"> \* MERGEFORMAT </w:instrText>
      </w:r>
      <w:r w:rsidR="00DE33E5" w:rsidRPr="00A06DF7">
        <w:rPr>
          <w:rFonts w:cs="Calibri"/>
        </w:rPr>
      </w:r>
      <w:r w:rsidR="00DE33E5" w:rsidRPr="00A06DF7">
        <w:rPr>
          <w:rFonts w:cs="Calibri"/>
        </w:rPr>
        <w:fldChar w:fldCharType="separate"/>
      </w:r>
      <w:r w:rsidR="004F4DA7" w:rsidRPr="00A06DF7">
        <w:rPr>
          <w:rFonts w:cs="Calibri"/>
          <w:noProof/>
        </w:rPr>
        <w:t>Figure</w:t>
      </w:r>
      <w:r w:rsidR="004F4DA7" w:rsidRPr="00A06DF7">
        <w:rPr>
          <w:rFonts w:cs="Calibri"/>
        </w:rPr>
        <w:t xml:space="preserve"> </w:t>
      </w:r>
      <w:r w:rsidR="004F4DA7">
        <w:rPr>
          <w:rFonts w:cs="Calibri"/>
          <w:noProof/>
        </w:rPr>
        <w:t>13</w:t>
      </w:r>
      <w:r w:rsidR="00DE33E5" w:rsidRPr="00A06DF7">
        <w:rPr>
          <w:rFonts w:cs="Calibri"/>
        </w:rPr>
        <w:fldChar w:fldCharType="end"/>
      </w:r>
      <w:r w:rsidR="0021765D" w:rsidRPr="00A06DF7">
        <w:rPr>
          <w:rFonts w:cs="Calibri"/>
        </w:rPr>
        <w:t>, as EGM</w:t>
      </w:r>
      <w:r w:rsidR="007C5770" w:rsidRPr="00A06DF7">
        <w:rPr>
          <w:rFonts w:cs="Calibri"/>
        </w:rPr>
        <w:t xml:space="preserve"> operators</w:t>
      </w:r>
      <w:r w:rsidR="0021765D" w:rsidRPr="00A06DF7">
        <w:rPr>
          <w:rFonts w:cs="Calibri"/>
        </w:rPr>
        <w:t xml:space="preserve"> </w:t>
      </w:r>
      <w:r w:rsidR="00DD4454" w:rsidRPr="00A06DF7">
        <w:rPr>
          <w:rFonts w:cs="Calibri"/>
        </w:rPr>
        <w:t>incur</w:t>
      </w:r>
      <w:r w:rsidR="0021765D" w:rsidRPr="00A06DF7">
        <w:rPr>
          <w:rFonts w:cs="Calibri"/>
        </w:rPr>
        <w:t xml:space="preserve"> the highest levy</w:t>
      </w:r>
      <w:r w:rsidR="00421534" w:rsidRPr="00A06DF7">
        <w:rPr>
          <w:rFonts w:cs="Calibri"/>
        </w:rPr>
        <w:t xml:space="preserve"> (1.08%)</w:t>
      </w:r>
      <w:r w:rsidR="0021765D" w:rsidRPr="00A06DF7">
        <w:rPr>
          <w:rFonts w:cs="Calibri"/>
        </w:rPr>
        <w:t>, followed by casino</w:t>
      </w:r>
      <w:r w:rsidR="007C5770" w:rsidRPr="00A06DF7">
        <w:rPr>
          <w:rFonts w:cs="Calibri"/>
        </w:rPr>
        <w:t xml:space="preserve"> operators</w:t>
      </w:r>
      <w:r w:rsidR="00421534" w:rsidRPr="00A06DF7">
        <w:rPr>
          <w:rFonts w:cs="Calibri"/>
        </w:rPr>
        <w:t xml:space="preserve"> (</w:t>
      </w:r>
      <w:r w:rsidR="007C5770" w:rsidRPr="00A06DF7">
        <w:rPr>
          <w:rFonts w:cs="Calibri"/>
        </w:rPr>
        <w:t>0.87%)</w:t>
      </w:r>
      <w:r w:rsidR="0021765D" w:rsidRPr="00A06DF7">
        <w:rPr>
          <w:rFonts w:cs="Calibri"/>
        </w:rPr>
        <w:t>, the TAB</w:t>
      </w:r>
      <w:r w:rsidR="007C5770" w:rsidRPr="00A06DF7">
        <w:rPr>
          <w:rFonts w:cs="Calibri"/>
        </w:rPr>
        <w:t xml:space="preserve"> (0.76%)</w:t>
      </w:r>
      <w:r w:rsidR="0021765D" w:rsidRPr="00A06DF7">
        <w:rPr>
          <w:rFonts w:cs="Calibri"/>
        </w:rPr>
        <w:t xml:space="preserve"> and Lo</w:t>
      </w:r>
      <w:r w:rsidR="007C5770" w:rsidRPr="00A06DF7">
        <w:rPr>
          <w:rFonts w:cs="Calibri"/>
        </w:rPr>
        <w:t>tteries Commission (</w:t>
      </w:r>
      <w:r w:rsidR="003528B3" w:rsidRPr="00A06DF7">
        <w:rPr>
          <w:rFonts w:cs="Calibri"/>
        </w:rPr>
        <w:t>0.44%)</w:t>
      </w:r>
      <w:r w:rsidR="0021765D" w:rsidRPr="00A06DF7">
        <w:rPr>
          <w:rFonts w:cs="Calibri"/>
        </w:rPr>
        <w:t xml:space="preserve">. The results </w:t>
      </w:r>
      <w:r w:rsidR="00DD4454" w:rsidRPr="00A06DF7">
        <w:rPr>
          <w:rFonts w:cs="Calibri"/>
        </w:rPr>
        <w:t>indicate</w:t>
      </w:r>
      <w:r w:rsidR="0021765D" w:rsidRPr="00A06DF7">
        <w:rPr>
          <w:rFonts w:cs="Calibri"/>
        </w:rPr>
        <w:t xml:space="preserve"> that </w:t>
      </w:r>
      <w:r w:rsidR="00A07280" w:rsidRPr="00A06DF7">
        <w:rPr>
          <w:rFonts w:cs="Calibri"/>
        </w:rPr>
        <w:t>offshore</w:t>
      </w:r>
      <w:r w:rsidR="00BC4644" w:rsidRPr="00A06DF7">
        <w:rPr>
          <w:rFonts w:cs="Calibri"/>
        </w:rPr>
        <w:t>-based</w:t>
      </w:r>
      <w:r w:rsidR="00A07280" w:rsidRPr="00A06DF7">
        <w:rPr>
          <w:rFonts w:cs="Calibri"/>
        </w:rPr>
        <w:t xml:space="preserve"> gambling incurs a similar amount of harm to EGMs/casinos, </w:t>
      </w:r>
      <w:r w:rsidR="00DD4454" w:rsidRPr="00A06DF7">
        <w:rPr>
          <w:rFonts w:cs="Calibri"/>
        </w:rPr>
        <w:t>suggesting</w:t>
      </w:r>
      <w:r w:rsidR="00A07280" w:rsidRPr="00A06DF7">
        <w:rPr>
          <w:rFonts w:cs="Calibri"/>
        </w:rPr>
        <w:t xml:space="preserve"> that </w:t>
      </w:r>
      <w:r w:rsidR="008D6670" w:rsidRPr="00A06DF7">
        <w:rPr>
          <w:rFonts w:cs="Calibri"/>
        </w:rPr>
        <w:t xml:space="preserve">a levy </w:t>
      </w:r>
      <w:r w:rsidR="002C1081" w:rsidRPr="00A06DF7">
        <w:rPr>
          <w:rFonts w:cs="Calibri"/>
        </w:rPr>
        <w:t>of similar magnitude could be appropriate</w:t>
      </w:r>
      <w:r w:rsidR="008D6670" w:rsidRPr="00A06DF7">
        <w:rPr>
          <w:rFonts w:cs="Calibri"/>
        </w:rPr>
        <w:t xml:space="preserve">. </w:t>
      </w:r>
      <w:r w:rsidR="00553CAB" w:rsidRPr="00A06DF7">
        <w:rPr>
          <w:rFonts w:cs="Calibri"/>
        </w:rPr>
        <w:t xml:space="preserve"> </w:t>
      </w:r>
    </w:p>
    <w:p w14:paraId="7D216BFF" w14:textId="22B2D4F8" w:rsidR="0017201B" w:rsidRPr="00A06DF7" w:rsidRDefault="00443F06" w:rsidP="00282994">
      <w:pPr>
        <w:rPr>
          <w:rFonts w:cs="Calibri"/>
        </w:rPr>
      </w:pPr>
      <w:r w:rsidRPr="00A06DF7">
        <w:rPr>
          <w:rFonts w:cs="Calibri"/>
        </w:rPr>
        <w:t>The</w:t>
      </w:r>
      <w:r w:rsidR="00FB1901" w:rsidRPr="00A06DF7">
        <w:rPr>
          <w:rFonts w:cs="Calibri"/>
        </w:rPr>
        <w:t xml:space="preserve"> </w:t>
      </w:r>
      <w:r w:rsidRPr="00A06DF7">
        <w:rPr>
          <w:rFonts w:cs="Calibri"/>
        </w:rPr>
        <w:t xml:space="preserve">Strategy outlines </w:t>
      </w:r>
      <w:r w:rsidR="00FB1901" w:rsidRPr="00A06DF7">
        <w:rPr>
          <w:rFonts w:cs="Calibri"/>
        </w:rPr>
        <w:t xml:space="preserve">a total investment package of $76.123 million over three years </w:t>
      </w:r>
      <w:r w:rsidR="000B42F5" w:rsidRPr="00A06DF7">
        <w:rPr>
          <w:rFonts w:cs="Calibri"/>
        </w:rPr>
        <w:t>to fund</w:t>
      </w:r>
      <w:r w:rsidR="00736A2E" w:rsidRPr="00A06DF7">
        <w:rPr>
          <w:rFonts w:cs="Calibri"/>
        </w:rPr>
        <w:t xml:space="preserve"> various services aimed at minimising gambling harm</w:t>
      </w:r>
      <w:r w:rsidR="00196174" w:rsidRPr="00A06DF7">
        <w:rPr>
          <w:rFonts w:cs="Calibri"/>
        </w:rPr>
        <w:t xml:space="preserve"> </w:t>
      </w:r>
      <w:r w:rsidR="00196174" w:rsidRPr="00A06DF7">
        <w:rPr>
          <w:rFonts w:cs="Calibri"/>
        </w:rPr>
        <w:fldChar w:fldCharType="begin"/>
      </w:r>
      <w:r w:rsidR="005F6AF5" w:rsidRPr="00A06DF7">
        <w:rPr>
          <w:rFonts w:cs="Calibri"/>
        </w:rPr>
        <w:instrText xml:space="preserve"> ADDIN ZOTERO_ITEM CSL_CITATION {"citationID":"jZO3FNpC","properties":{"formattedCitation":"(Ministry of Health, 2022)","plainCitation":"(Ministry of Health, 2022)","noteIndex":0},"citationItems":[{"id":1494,"uris":["http://zotero.org/users/11111291/items/ZVLBJS5G"],"itemData":{"id":1494,"type":"report","language":"en","source":"Zotero","title":"Strategy to Prevent and Minimise Gambling Harm 2022/23 to 2024/25","URL":"https://www.beehive.govt.nz/sites/default/files/2022-06/Strategy-to-Prevent-and-Minimise-Gambling-Harm.PDF","author":[{"literal":"Ministry of Health"}],"issued":{"date-parts":[["2022"]]}}}],"schema":"https://github.com/citation-style-language/schema/raw/master/csl-citation.json"} </w:instrText>
      </w:r>
      <w:r w:rsidR="00196174" w:rsidRPr="00A06DF7">
        <w:rPr>
          <w:rFonts w:cs="Calibri"/>
        </w:rPr>
        <w:fldChar w:fldCharType="separate"/>
      </w:r>
      <w:r w:rsidR="00196174" w:rsidRPr="00A06DF7">
        <w:rPr>
          <w:rFonts w:cs="Calibri"/>
        </w:rPr>
        <w:t>(Ministry of Health, 2022)</w:t>
      </w:r>
      <w:r w:rsidR="00196174" w:rsidRPr="00A06DF7">
        <w:rPr>
          <w:rFonts w:cs="Calibri"/>
        </w:rPr>
        <w:fldChar w:fldCharType="end"/>
      </w:r>
      <w:r w:rsidR="00736A2E" w:rsidRPr="00A06DF7">
        <w:rPr>
          <w:rFonts w:cs="Calibri"/>
        </w:rPr>
        <w:t xml:space="preserve">. </w:t>
      </w:r>
      <w:r w:rsidR="00B52440" w:rsidRPr="00A06DF7">
        <w:rPr>
          <w:rFonts w:cs="Calibri"/>
        </w:rPr>
        <w:t xml:space="preserve">If the Gambling Act was amended to include </w:t>
      </w:r>
      <w:r w:rsidR="005C447B" w:rsidRPr="00A06DF7">
        <w:rPr>
          <w:rFonts w:cs="Calibri"/>
        </w:rPr>
        <w:t>offshore-based</w:t>
      </w:r>
      <w:r w:rsidR="00B52440" w:rsidRPr="00A06DF7">
        <w:rPr>
          <w:rFonts w:cs="Calibri"/>
        </w:rPr>
        <w:t xml:space="preserve"> operators as an additional levy-paying sector, </w:t>
      </w:r>
      <w:r w:rsidR="00094831" w:rsidRPr="00A06DF7">
        <w:rPr>
          <w:rFonts w:cs="Calibri"/>
        </w:rPr>
        <w:t>and the</w:t>
      </w:r>
      <w:r w:rsidR="00162EB2" w:rsidRPr="00A06DF7">
        <w:rPr>
          <w:rFonts w:cs="Calibri"/>
        </w:rPr>
        <w:t xml:space="preserve"> </w:t>
      </w:r>
      <w:r w:rsidR="00094831" w:rsidRPr="00A06DF7">
        <w:rPr>
          <w:rFonts w:cs="Calibri"/>
        </w:rPr>
        <w:t xml:space="preserve">levy </w:t>
      </w:r>
      <w:r w:rsidR="00094831" w:rsidRPr="00A06DF7">
        <w:rPr>
          <w:rFonts w:cs="Calibri"/>
        </w:rPr>
        <w:lastRenderedPageBreak/>
        <w:t>amount</w:t>
      </w:r>
      <w:r w:rsidR="00162EB2" w:rsidRPr="00A06DF7">
        <w:rPr>
          <w:rFonts w:cs="Calibri"/>
        </w:rPr>
        <w:t xml:space="preserve"> remain</w:t>
      </w:r>
      <w:r w:rsidR="00094831" w:rsidRPr="00A06DF7">
        <w:rPr>
          <w:rFonts w:cs="Calibri"/>
        </w:rPr>
        <w:t>ed</w:t>
      </w:r>
      <w:r w:rsidR="00162EB2" w:rsidRPr="00A06DF7">
        <w:rPr>
          <w:rFonts w:cs="Calibri"/>
        </w:rPr>
        <w:t xml:space="preserve"> </w:t>
      </w:r>
      <w:r w:rsidR="000D7B0C" w:rsidRPr="00A06DF7">
        <w:rPr>
          <w:rFonts w:cs="Calibri"/>
        </w:rPr>
        <w:t>unchanged</w:t>
      </w:r>
      <w:r w:rsidR="00094831" w:rsidRPr="00A06DF7">
        <w:rPr>
          <w:rFonts w:cs="Calibri"/>
        </w:rPr>
        <w:t xml:space="preserve">, </w:t>
      </w:r>
      <w:r w:rsidR="00162EB2" w:rsidRPr="00A06DF7">
        <w:rPr>
          <w:rFonts w:cs="Calibri"/>
        </w:rPr>
        <w:t>the</w:t>
      </w:r>
      <w:r w:rsidR="004F1FCB" w:rsidRPr="00A06DF7">
        <w:rPr>
          <w:rFonts w:cs="Calibri"/>
        </w:rPr>
        <w:t xml:space="preserve"> levies for the</w:t>
      </w:r>
      <w:r w:rsidR="00162EB2" w:rsidRPr="00A06DF7">
        <w:rPr>
          <w:rFonts w:cs="Calibri"/>
        </w:rPr>
        <w:t xml:space="preserve"> </w:t>
      </w:r>
      <w:r w:rsidR="004F1FCB" w:rsidRPr="00A06DF7">
        <w:rPr>
          <w:rFonts w:cs="Calibri"/>
        </w:rPr>
        <w:t xml:space="preserve">four </w:t>
      </w:r>
      <w:r w:rsidR="000D7B0C" w:rsidRPr="00A06DF7">
        <w:rPr>
          <w:rFonts w:cs="Calibri"/>
        </w:rPr>
        <w:t>existing</w:t>
      </w:r>
      <w:r w:rsidR="004F1FCB" w:rsidRPr="00A06DF7">
        <w:rPr>
          <w:rFonts w:cs="Calibri"/>
        </w:rPr>
        <w:t xml:space="preserve"> sectors would </w:t>
      </w:r>
      <w:r w:rsidR="000D7B0C" w:rsidRPr="00A06DF7">
        <w:rPr>
          <w:rFonts w:cs="Calibri"/>
        </w:rPr>
        <w:t>decrease</w:t>
      </w:r>
      <w:r w:rsidR="00F8577D" w:rsidRPr="00A06DF7">
        <w:rPr>
          <w:rFonts w:cs="Calibri"/>
        </w:rPr>
        <w:t>, reflecting their proportionally reduced expenditure and presentations relative to the overall sum under consideration.</w:t>
      </w:r>
      <w:r w:rsidR="00310020" w:rsidRPr="00A06DF7">
        <w:rPr>
          <w:rFonts w:cs="Calibri"/>
        </w:rPr>
        <w:t xml:space="preserve"> In this scenario, </w:t>
      </w:r>
      <w:r w:rsidR="002101D9" w:rsidRPr="00A06DF7">
        <w:rPr>
          <w:rFonts w:cs="Calibri"/>
        </w:rPr>
        <w:t xml:space="preserve">harm minimisation would </w:t>
      </w:r>
      <w:r w:rsidR="00DC5FDD" w:rsidRPr="00A06DF7">
        <w:rPr>
          <w:rFonts w:cs="Calibri"/>
        </w:rPr>
        <w:t xml:space="preserve">remain the same, and the benefits of regulating </w:t>
      </w:r>
      <w:r w:rsidR="005C447B" w:rsidRPr="00A06DF7">
        <w:rPr>
          <w:rFonts w:cs="Calibri"/>
        </w:rPr>
        <w:t xml:space="preserve">offshore-based </w:t>
      </w:r>
      <w:r w:rsidR="00DC5FDD" w:rsidRPr="00A06DF7">
        <w:rPr>
          <w:rFonts w:cs="Calibri"/>
        </w:rPr>
        <w:t>providers would be directed towards the existing levy-paying sectors in the form of reduced levies</w:t>
      </w:r>
      <w:r w:rsidR="00A3407B" w:rsidRPr="00A06DF7">
        <w:rPr>
          <w:rFonts w:cs="Calibri"/>
        </w:rPr>
        <w:t xml:space="preserve">. </w:t>
      </w:r>
      <w:r w:rsidR="008916DD" w:rsidRPr="00A06DF7">
        <w:rPr>
          <w:rFonts w:cs="Calibri"/>
        </w:rPr>
        <w:t>Given our comments above, a</w:t>
      </w:r>
      <w:r w:rsidR="00001884" w:rsidRPr="00A06DF7">
        <w:rPr>
          <w:rFonts w:cs="Calibri"/>
        </w:rPr>
        <w:t xml:space="preserve"> more </w:t>
      </w:r>
      <w:r w:rsidR="008916DD" w:rsidRPr="00A06DF7">
        <w:rPr>
          <w:rFonts w:cs="Calibri"/>
        </w:rPr>
        <w:t>consistent</w:t>
      </w:r>
      <w:r w:rsidR="00E86CB4" w:rsidRPr="00A06DF7">
        <w:rPr>
          <w:rFonts w:cs="Calibri"/>
        </w:rPr>
        <w:t xml:space="preserve"> approach could involve a</w:t>
      </w:r>
      <w:r w:rsidR="00C14DE4" w:rsidRPr="00A06DF7">
        <w:rPr>
          <w:rFonts w:cs="Calibri"/>
        </w:rPr>
        <w:t xml:space="preserve">n additional </w:t>
      </w:r>
      <w:r w:rsidR="00E86CB4" w:rsidRPr="00A06DF7">
        <w:rPr>
          <w:rFonts w:cs="Calibri"/>
        </w:rPr>
        <w:t xml:space="preserve">investment package directed </w:t>
      </w:r>
      <w:r w:rsidR="00126045" w:rsidRPr="00A06DF7">
        <w:rPr>
          <w:rFonts w:cs="Calibri"/>
        </w:rPr>
        <w:t>at minimising online gambling harm specifically</w:t>
      </w:r>
      <w:r w:rsidR="008E5CED" w:rsidRPr="00A06DF7">
        <w:rPr>
          <w:rFonts w:cs="Calibri"/>
        </w:rPr>
        <w:t xml:space="preserve"> that is funded through </w:t>
      </w:r>
      <w:r w:rsidR="00374FDC" w:rsidRPr="00A06DF7">
        <w:rPr>
          <w:rFonts w:cs="Calibri"/>
        </w:rPr>
        <w:t>extending the existing levy (or POCC) or introducing a</w:t>
      </w:r>
      <w:r w:rsidR="008E5CED" w:rsidRPr="00A06DF7">
        <w:rPr>
          <w:rFonts w:cs="Calibri"/>
        </w:rPr>
        <w:t xml:space="preserve"> separate levy to offshore</w:t>
      </w:r>
      <w:r w:rsidR="00F05C16" w:rsidRPr="00A06DF7">
        <w:rPr>
          <w:rFonts w:cs="Calibri"/>
        </w:rPr>
        <w:t>-based</w:t>
      </w:r>
      <w:r w:rsidR="008E5CED" w:rsidRPr="00A06DF7">
        <w:rPr>
          <w:rFonts w:cs="Calibri"/>
        </w:rPr>
        <w:t xml:space="preserve"> gambling providers.</w:t>
      </w:r>
      <w:r w:rsidR="00126045" w:rsidRPr="00A06DF7">
        <w:rPr>
          <w:rFonts w:cs="Calibri"/>
        </w:rPr>
        <w:t xml:space="preserve"> </w:t>
      </w:r>
    </w:p>
    <w:p w14:paraId="4761624A" w14:textId="18D1963C" w:rsidR="002768AE" w:rsidRPr="00A06DF7" w:rsidRDefault="00B90E17" w:rsidP="00EC3629">
      <w:pPr>
        <w:rPr>
          <w:rFonts w:cs="Calibri"/>
        </w:rPr>
      </w:pPr>
      <w:r w:rsidRPr="00A06DF7">
        <w:rPr>
          <w:rFonts w:cs="Calibri"/>
        </w:rPr>
        <w:t xml:space="preserve">Regulating </w:t>
      </w:r>
      <w:r w:rsidR="005C447B" w:rsidRPr="00A06DF7">
        <w:rPr>
          <w:rFonts w:cs="Calibri"/>
        </w:rPr>
        <w:t xml:space="preserve">offshore-based </w:t>
      </w:r>
      <w:r w:rsidRPr="00A06DF7">
        <w:rPr>
          <w:rFonts w:cs="Calibri"/>
        </w:rPr>
        <w:t xml:space="preserve">gambling </w:t>
      </w:r>
      <w:r w:rsidR="00645F8C" w:rsidRPr="00A06DF7">
        <w:rPr>
          <w:rFonts w:cs="Calibri"/>
        </w:rPr>
        <w:t>operators</w:t>
      </w:r>
      <w:r w:rsidRPr="00A06DF7">
        <w:rPr>
          <w:rFonts w:cs="Calibri"/>
        </w:rPr>
        <w:t xml:space="preserve"> acknowledges the harm associated with </w:t>
      </w:r>
      <w:r w:rsidR="00604602" w:rsidRPr="00A06DF7">
        <w:rPr>
          <w:rFonts w:cs="Calibri"/>
        </w:rPr>
        <w:t>this growing market</w:t>
      </w:r>
      <w:r w:rsidR="00645F8C" w:rsidRPr="00A06DF7">
        <w:rPr>
          <w:rFonts w:cs="Calibri"/>
        </w:rPr>
        <w:t xml:space="preserve">, </w:t>
      </w:r>
      <w:r w:rsidR="003B3D4D" w:rsidRPr="00A06DF7">
        <w:rPr>
          <w:rFonts w:cs="Calibri"/>
        </w:rPr>
        <w:t xml:space="preserve">and potentially justifies </w:t>
      </w:r>
      <w:r w:rsidR="00BD1EF8" w:rsidRPr="00A06DF7">
        <w:rPr>
          <w:rFonts w:cs="Calibri"/>
        </w:rPr>
        <w:t xml:space="preserve">additional funding and therefore an additional levy. </w:t>
      </w:r>
      <w:r w:rsidR="002768AE" w:rsidRPr="00A06DF7">
        <w:rPr>
          <w:rFonts w:cs="Calibri"/>
        </w:rPr>
        <w:t xml:space="preserve">The magnitude of this new levy would be determined </w:t>
      </w:r>
      <w:r w:rsidR="00334E67" w:rsidRPr="00A06DF7">
        <w:rPr>
          <w:rFonts w:cs="Calibri"/>
        </w:rPr>
        <w:t>by the sum of the additional investment</w:t>
      </w:r>
      <w:r w:rsidR="00BF7639" w:rsidRPr="00A06DF7">
        <w:rPr>
          <w:rFonts w:cs="Calibri"/>
        </w:rPr>
        <w:t xml:space="preserve"> package</w:t>
      </w:r>
      <w:r w:rsidR="00C379EE" w:rsidRPr="00A06DF7">
        <w:rPr>
          <w:rFonts w:cs="Calibri"/>
        </w:rPr>
        <w:t xml:space="preserve"> </w:t>
      </w:r>
      <w:r w:rsidR="00E239D4" w:rsidRPr="00A06DF7">
        <w:rPr>
          <w:rFonts w:cs="Calibri"/>
        </w:rPr>
        <w:t xml:space="preserve">in the next Strategy </w:t>
      </w:r>
      <w:r w:rsidR="00C379EE" w:rsidRPr="00A06DF7">
        <w:rPr>
          <w:rFonts w:cs="Calibri"/>
        </w:rPr>
        <w:t xml:space="preserve">and the </w:t>
      </w:r>
      <w:r w:rsidR="00AC102A" w:rsidRPr="00A06DF7">
        <w:rPr>
          <w:rFonts w:cs="Calibri"/>
        </w:rPr>
        <w:t>projected</w:t>
      </w:r>
      <w:r w:rsidR="00C379EE" w:rsidRPr="00A06DF7">
        <w:rPr>
          <w:rFonts w:cs="Calibri"/>
        </w:rPr>
        <w:t xml:space="preserve"> expenditure/harm presentations of the </w:t>
      </w:r>
      <w:r w:rsidR="005C447B" w:rsidRPr="00A06DF7">
        <w:rPr>
          <w:rFonts w:cs="Calibri"/>
        </w:rPr>
        <w:t xml:space="preserve">offshore-based </w:t>
      </w:r>
      <w:r w:rsidR="00C379EE" w:rsidRPr="00A06DF7">
        <w:rPr>
          <w:rFonts w:cs="Calibri"/>
        </w:rPr>
        <w:t>gambling market</w:t>
      </w:r>
      <w:r w:rsidR="00AC102A" w:rsidRPr="00A06DF7">
        <w:rPr>
          <w:rFonts w:cs="Calibri"/>
        </w:rPr>
        <w:t>, should</w:t>
      </w:r>
      <w:r w:rsidR="00C379EE" w:rsidRPr="00A06DF7">
        <w:rPr>
          <w:rFonts w:cs="Calibri"/>
        </w:rPr>
        <w:t xml:space="preserve"> </w:t>
      </w:r>
      <w:r w:rsidR="00BF7639" w:rsidRPr="00A06DF7">
        <w:rPr>
          <w:rFonts w:cs="Calibri"/>
        </w:rPr>
        <w:t xml:space="preserve">a similar approach </w:t>
      </w:r>
      <w:r w:rsidR="00AC102A" w:rsidRPr="00A06DF7">
        <w:rPr>
          <w:rFonts w:cs="Calibri"/>
        </w:rPr>
        <w:t>be</w:t>
      </w:r>
      <w:r w:rsidR="00BF7639" w:rsidRPr="00A06DF7">
        <w:rPr>
          <w:rFonts w:cs="Calibri"/>
        </w:rPr>
        <w:t xml:space="preserve"> adopted </w:t>
      </w:r>
      <w:r w:rsidR="00AC102A" w:rsidRPr="00A06DF7">
        <w:rPr>
          <w:rFonts w:cs="Calibri"/>
        </w:rPr>
        <w:t>to that of</w:t>
      </w:r>
      <w:r w:rsidR="00BF7639" w:rsidRPr="00A06DF7">
        <w:rPr>
          <w:rFonts w:cs="Calibri"/>
        </w:rPr>
        <w:t xml:space="preserve"> the existing Strategy.</w:t>
      </w:r>
      <w:r w:rsidR="003F3319" w:rsidRPr="00A06DF7">
        <w:rPr>
          <w:rFonts w:cs="Calibri"/>
        </w:rPr>
        <w:t xml:space="preserve"> Although </w:t>
      </w:r>
      <w:r w:rsidR="00327C00" w:rsidRPr="00A06DF7">
        <w:rPr>
          <w:rFonts w:cs="Calibri"/>
        </w:rPr>
        <w:fldChar w:fldCharType="begin"/>
      </w:r>
      <w:r w:rsidR="00327C00" w:rsidRPr="00A06DF7">
        <w:rPr>
          <w:rFonts w:cs="Calibri"/>
        </w:rPr>
        <w:instrText xml:space="preserve"> REF _Ref158889461 \h </w:instrText>
      </w:r>
      <w:r w:rsidR="00A06DF7">
        <w:rPr>
          <w:rFonts w:cs="Calibri"/>
        </w:rPr>
        <w:instrText xml:space="preserve"> \* MERGEFORMAT </w:instrText>
      </w:r>
      <w:r w:rsidR="00327C00" w:rsidRPr="00A06DF7">
        <w:rPr>
          <w:rFonts w:cs="Calibri"/>
        </w:rPr>
      </w:r>
      <w:r w:rsidR="00327C00" w:rsidRPr="00A06DF7">
        <w:rPr>
          <w:rFonts w:cs="Calibri"/>
        </w:rPr>
        <w:fldChar w:fldCharType="separate"/>
      </w:r>
      <w:r w:rsidR="004F4DA7" w:rsidRPr="00A06DF7">
        <w:rPr>
          <w:rFonts w:cs="Calibri"/>
        </w:rPr>
        <w:t xml:space="preserve">Figure </w:t>
      </w:r>
      <w:r w:rsidR="004F4DA7">
        <w:rPr>
          <w:rFonts w:cs="Calibri"/>
          <w:noProof/>
        </w:rPr>
        <w:t>12</w:t>
      </w:r>
      <w:r w:rsidR="00327C00" w:rsidRPr="00A06DF7">
        <w:rPr>
          <w:rFonts w:cs="Calibri"/>
        </w:rPr>
        <w:fldChar w:fldCharType="end"/>
      </w:r>
      <w:r w:rsidR="00327C00" w:rsidRPr="00A06DF7">
        <w:rPr>
          <w:rFonts w:cs="Calibri"/>
        </w:rPr>
        <w:t xml:space="preserve"> and </w:t>
      </w:r>
      <w:r w:rsidR="00327C00" w:rsidRPr="00A06DF7">
        <w:rPr>
          <w:rFonts w:cs="Calibri"/>
        </w:rPr>
        <w:fldChar w:fldCharType="begin"/>
      </w:r>
      <w:r w:rsidR="00327C00" w:rsidRPr="00A06DF7">
        <w:rPr>
          <w:rFonts w:cs="Calibri"/>
        </w:rPr>
        <w:instrText xml:space="preserve"> REF _Ref158890388 \h </w:instrText>
      </w:r>
      <w:r w:rsidR="00A06DF7">
        <w:rPr>
          <w:rFonts w:cs="Calibri"/>
        </w:rPr>
        <w:instrText xml:space="preserve"> \* MERGEFORMAT </w:instrText>
      </w:r>
      <w:r w:rsidR="00327C00" w:rsidRPr="00A06DF7">
        <w:rPr>
          <w:rFonts w:cs="Calibri"/>
        </w:rPr>
      </w:r>
      <w:r w:rsidR="00327C00" w:rsidRPr="00A06DF7">
        <w:rPr>
          <w:rFonts w:cs="Calibri"/>
        </w:rPr>
        <w:fldChar w:fldCharType="separate"/>
      </w:r>
      <w:r w:rsidR="004F4DA7" w:rsidRPr="00A06DF7">
        <w:rPr>
          <w:rFonts w:cs="Calibri"/>
          <w:noProof/>
        </w:rPr>
        <w:t>Figure</w:t>
      </w:r>
      <w:r w:rsidR="004F4DA7" w:rsidRPr="00A06DF7">
        <w:rPr>
          <w:rFonts w:cs="Calibri"/>
        </w:rPr>
        <w:t xml:space="preserve"> </w:t>
      </w:r>
      <w:r w:rsidR="004F4DA7">
        <w:rPr>
          <w:rFonts w:cs="Calibri"/>
          <w:noProof/>
        </w:rPr>
        <w:t>13</w:t>
      </w:r>
      <w:r w:rsidR="00327C00" w:rsidRPr="00A06DF7">
        <w:rPr>
          <w:rFonts w:cs="Calibri"/>
        </w:rPr>
        <w:fldChar w:fldCharType="end"/>
      </w:r>
      <w:r w:rsidR="003F3319" w:rsidRPr="00A06DF7">
        <w:rPr>
          <w:rFonts w:cs="Calibri"/>
        </w:rPr>
        <w:t xml:space="preserve"> suggest that offshore</w:t>
      </w:r>
      <w:r w:rsidR="00630055" w:rsidRPr="00A06DF7">
        <w:rPr>
          <w:rFonts w:cs="Calibri"/>
        </w:rPr>
        <w:t>-based</w:t>
      </w:r>
      <w:r w:rsidR="003F3319" w:rsidRPr="00A06DF7">
        <w:rPr>
          <w:rFonts w:cs="Calibri"/>
        </w:rPr>
        <w:t xml:space="preserve"> gambling incurs less harm relative to EGMs/casinos, </w:t>
      </w:r>
      <w:r w:rsidR="00A13EE0" w:rsidRPr="00A06DF7">
        <w:rPr>
          <w:rFonts w:cs="Calibri"/>
        </w:rPr>
        <w:t xml:space="preserve">there are three distinct elements of </w:t>
      </w:r>
      <w:r w:rsidR="000A7B69" w:rsidRPr="00A06DF7">
        <w:rPr>
          <w:rFonts w:cs="Calibri"/>
        </w:rPr>
        <w:t>this market</w:t>
      </w:r>
      <w:r w:rsidR="000F39F6" w:rsidRPr="00A06DF7">
        <w:rPr>
          <w:rFonts w:cs="Calibri"/>
        </w:rPr>
        <w:t xml:space="preserve"> that may justify a </w:t>
      </w:r>
      <w:r w:rsidR="00A107C0" w:rsidRPr="00A06DF7">
        <w:rPr>
          <w:rFonts w:cs="Calibri"/>
        </w:rPr>
        <w:t>higher</w:t>
      </w:r>
      <w:r w:rsidR="000F39F6" w:rsidRPr="00A06DF7">
        <w:rPr>
          <w:rFonts w:cs="Calibri"/>
        </w:rPr>
        <w:t xml:space="preserve"> levy </w:t>
      </w:r>
      <w:r w:rsidR="000A7B69" w:rsidRPr="00A06DF7">
        <w:rPr>
          <w:rFonts w:cs="Calibri"/>
        </w:rPr>
        <w:t xml:space="preserve">and are worth considering </w:t>
      </w:r>
      <w:r w:rsidR="00327C00" w:rsidRPr="00A06DF7">
        <w:rPr>
          <w:rFonts w:cs="Calibri"/>
        </w:rPr>
        <w:t>from a regulatory and policy point of view:</w:t>
      </w:r>
    </w:p>
    <w:p w14:paraId="61A9035D" w14:textId="77777777" w:rsidR="00742A6F" w:rsidRPr="00A06DF7" w:rsidRDefault="00D411CA" w:rsidP="00282994">
      <w:pPr>
        <w:pStyle w:val="ListParagraph"/>
        <w:numPr>
          <w:ilvl w:val="0"/>
          <w:numId w:val="24"/>
        </w:numPr>
        <w:rPr>
          <w:rFonts w:cs="Calibri"/>
          <w:b/>
          <w:bCs/>
        </w:rPr>
      </w:pPr>
      <w:r w:rsidRPr="00A06DF7">
        <w:rPr>
          <w:rFonts w:cs="Calibri"/>
          <w:b/>
          <w:bCs/>
        </w:rPr>
        <w:t xml:space="preserve">Accessibility </w:t>
      </w:r>
    </w:p>
    <w:p w14:paraId="24066121" w14:textId="70BE49BE" w:rsidR="00A107C0" w:rsidRPr="00A06DF7" w:rsidRDefault="00742A6F" w:rsidP="00282994">
      <w:pPr>
        <w:pStyle w:val="ListParagraph"/>
        <w:numPr>
          <w:ilvl w:val="1"/>
          <w:numId w:val="24"/>
        </w:numPr>
        <w:rPr>
          <w:rFonts w:cs="Calibri"/>
        </w:rPr>
      </w:pPr>
      <w:r w:rsidRPr="00A06DF7">
        <w:rPr>
          <w:rFonts w:cs="Calibri"/>
        </w:rPr>
        <w:t>O</w:t>
      </w:r>
      <w:r w:rsidR="00286AA9" w:rsidRPr="00A06DF7">
        <w:rPr>
          <w:rFonts w:cs="Calibri"/>
        </w:rPr>
        <w:t xml:space="preserve">nline casinos </w:t>
      </w:r>
      <w:r w:rsidR="00BF39CD" w:rsidRPr="00A06DF7">
        <w:rPr>
          <w:rFonts w:cs="Calibri"/>
        </w:rPr>
        <w:t xml:space="preserve">mostly </w:t>
      </w:r>
      <w:r w:rsidR="00286AA9" w:rsidRPr="00A06DF7">
        <w:rPr>
          <w:rFonts w:cs="Calibri"/>
        </w:rPr>
        <w:t xml:space="preserve">offer a </w:t>
      </w:r>
      <w:r w:rsidR="00B66E4C" w:rsidRPr="00A06DF7">
        <w:rPr>
          <w:rFonts w:cs="Calibri"/>
        </w:rPr>
        <w:t>level of continuity comparable to that of EGMs and physical casinos.</w:t>
      </w:r>
      <w:r w:rsidR="003169AC" w:rsidRPr="00A06DF7">
        <w:rPr>
          <w:rFonts w:cs="Calibri"/>
        </w:rPr>
        <w:t xml:space="preserve"> </w:t>
      </w:r>
      <w:r w:rsidR="00B66E4C" w:rsidRPr="00A06DF7">
        <w:rPr>
          <w:rFonts w:cs="Calibri"/>
        </w:rPr>
        <w:t>H</w:t>
      </w:r>
      <w:r w:rsidR="003169AC" w:rsidRPr="00A06DF7">
        <w:rPr>
          <w:rFonts w:cs="Calibri"/>
        </w:rPr>
        <w:t>owever</w:t>
      </w:r>
      <w:r w:rsidR="00B66E4C" w:rsidRPr="00A06DF7">
        <w:rPr>
          <w:rFonts w:cs="Calibri"/>
        </w:rPr>
        <w:t>,</w:t>
      </w:r>
      <w:r w:rsidR="003169AC" w:rsidRPr="00A06DF7">
        <w:rPr>
          <w:rFonts w:cs="Calibri"/>
        </w:rPr>
        <w:t xml:space="preserve"> the online </w:t>
      </w:r>
      <w:r w:rsidR="00B66E4C" w:rsidRPr="00A06DF7">
        <w:rPr>
          <w:rFonts w:cs="Calibri"/>
        </w:rPr>
        <w:t>platform</w:t>
      </w:r>
      <w:r w:rsidR="003169AC" w:rsidRPr="00A06DF7">
        <w:rPr>
          <w:rFonts w:cs="Calibri"/>
        </w:rPr>
        <w:t xml:space="preserve"> </w:t>
      </w:r>
      <w:r w:rsidR="00B66E4C" w:rsidRPr="00A06DF7">
        <w:rPr>
          <w:rFonts w:cs="Calibri"/>
        </w:rPr>
        <w:t>introduces</w:t>
      </w:r>
      <w:r w:rsidR="00966145" w:rsidRPr="00A06DF7">
        <w:rPr>
          <w:rFonts w:cs="Calibri"/>
        </w:rPr>
        <w:t xml:space="preserve"> a unique</w:t>
      </w:r>
      <w:r w:rsidR="00AF767D" w:rsidRPr="00A06DF7">
        <w:rPr>
          <w:rFonts w:cs="Calibri"/>
        </w:rPr>
        <w:t xml:space="preserve"> level of accessibility</w:t>
      </w:r>
      <w:r w:rsidR="008D0371" w:rsidRPr="00A06DF7">
        <w:rPr>
          <w:rFonts w:cs="Calibri"/>
        </w:rPr>
        <w:t xml:space="preserve">, often with minimal </w:t>
      </w:r>
      <w:r w:rsidR="00003738" w:rsidRPr="00A06DF7">
        <w:rPr>
          <w:rFonts w:cs="Calibri"/>
        </w:rPr>
        <w:t>or</w:t>
      </w:r>
      <w:r w:rsidR="008D0371" w:rsidRPr="00A06DF7">
        <w:rPr>
          <w:rFonts w:cs="Calibri"/>
        </w:rPr>
        <w:t xml:space="preserve"> no restrictions</w:t>
      </w:r>
      <w:r w:rsidR="00C05D36" w:rsidRPr="00A06DF7">
        <w:rPr>
          <w:rFonts w:cs="Calibri"/>
        </w:rPr>
        <w:t>.</w:t>
      </w:r>
    </w:p>
    <w:p w14:paraId="56458814" w14:textId="77777777" w:rsidR="00742A6F" w:rsidRPr="00A06DF7" w:rsidRDefault="00C05D36" w:rsidP="00282994">
      <w:pPr>
        <w:pStyle w:val="ListParagraph"/>
        <w:numPr>
          <w:ilvl w:val="0"/>
          <w:numId w:val="24"/>
        </w:numPr>
        <w:rPr>
          <w:rFonts w:cs="Calibri"/>
          <w:b/>
          <w:bCs/>
        </w:rPr>
      </w:pPr>
      <w:r w:rsidRPr="00A06DF7">
        <w:rPr>
          <w:rFonts w:cs="Calibri"/>
          <w:b/>
          <w:bCs/>
        </w:rPr>
        <w:t>Harm minimisation</w:t>
      </w:r>
    </w:p>
    <w:p w14:paraId="6C4195FC" w14:textId="2AFAE7BB" w:rsidR="00C05D36" w:rsidRPr="00A06DF7" w:rsidRDefault="00742A6F" w:rsidP="00282994">
      <w:pPr>
        <w:pStyle w:val="ListParagraph"/>
        <w:numPr>
          <w:ilvl w:val="1"/>
          <w:numId w:val="24"/>
        </w:numPr>
        <w:rPr>
          <w:rFonts w:cs="Calibri"/>
        </w:rPr>
      </w:pPr>
      <w:r w:rsidRPr="00A06DF7">
        <w:rPr>
          <w:rFonts w:cs="Calibri"/>
        </w:rPr>
        <w:t>O</w:t>
      </w:r>
      <w:r w:rsidR="00FB1EB5" w:rsidRPr="00A06DF7">
        <w:rPr>
          <w:rFonts w:cs="Calibri"/>
        </w:rPr>
        <w:t>nline casinos are not subject to the harm minimisation approaches that are undertaken by Class 4 venues and casinos</w:t>
      </w:r>
      <w:r w:rsidR="00EC3AAC" w:rsidRPr="00A06DF7">
        <w:rPr>
          <w:rFonts w:cs="Calibri"/>
        </w:rPr>
        <w:t>.</w:t>
      </w:r>
    </w:p>
    <w:p w14:paraId="24034390" w14:textId="77777777" w:rsidR="00742A6F" w:rsidRPr="00A06DF7" w:rsidRDefault="00EC3AAC" w:rsidP="00282994">
      <w:pPr>
        <w:pStyle w:val="ListParagraph"/>
        <w:numPr>
          <w:ilvl w:val="0"/>
          <w:numId w:val="24"/>
        </w:numPr>
        <w:rPr>
          <w:rFonts w:cs="Calibri"/>
          <w:b/>
          <w:bCs/>
        </w:rPr>
      </w:pPr>
      <w:r w:rsidRPr="00A06DF7">
        <w:rPr>
          <w:rFonts w:cs="Calibri"/>
          <w:b/>
          <w:bCs/>
        </w:rPr>
        <w:t>Social investment</w:t>
      </w:r>
    </w:p>
    <w:p w14:paraId="650ADC95" w14:textId="197FC7C9" w:rsidR="00EC3AAC" w:rsidRPr="00A06DF7" w:rsidRDefault="00742A6F" w:rsidP="00282994">
      <w:pPr>
        <w:pStyle w:val="ListParagraph"/>
        <w:numPr>
          <w:ilvl w:val="1"/>
          <w:numId w:val="24"/>
        </w:numPr>
        <w:rPr>
          <w:rFonts w:cs="Calibri"/>
        </w:rPr>
      </w:pPr>
      <w:r w:rsidRPr="00A06DF7">
        <w:rPr>
          <w:rFonts w:cs="Calibri"/>
        </w:rPr>
        <w:t>T</w:t>
      </w:r>
      <w:r w:rsidR="00EC3AAC" w:rsidRPr="00A06DF7">
        <w:rPr>
          <w:rFonts w:cs="Calibri"/>
        </w:rPr>
        <w:t xml:space="preserve">he existing regulated sectors are either </w:t>
      </w:r>
      <w:r w:rsidR="005C7C33" w:rsidRPr="00A06DF7">
        <w:rPr>
          <w:rFonts w:cs="Calibri"/>
        </w:rPr>
        <w:t>not-for-profit or</w:t>
      </w:r>
      <w:r w:rsidR="00EC3AAC" w:rsidRPr="00A06DF7">
        <w:rPr>
          <w:rFonts w:cs="Calibri"/>
        </w:rPr>
        <w:t xml:space="preserve"> return</w:t>
      </w:r>
      <w:r w:rsidR="00CF0E7D" w:rsidRPr="00A06DF7">
        <w:rPr>
          <w:rFonts w:cs="Calibri"/>
        </w:rPr>
        <w:t xml:space="preserve"> </w:t>
      </w:r>
      <w:r w:rsidR="00EC3AAC" w:rsidRPr="00A06DF7">
        <w:rPr>
          <w:rFonts w:cs="Calibri"/>
        </w:rPr>
        <w:t>significan</w:t>
      </w:r>
      <w:r w:rsidR="00CF0E7D" w:rsidRPr="00A06DF7">
        <w:rPr>
          <w:rFonts w:cs="Calibri"/>
        </w:rPr>
        <w:t>t</w:t>
      </w:r>
      <w:r w:rsidR="00EC3AAC" w:rsidRPr="00A06DF7">
        <w:rPr>
          <w:rFonts w:cs="Calibri"/>
        </w:rPr>
        <w:t xml:space="preserve"> profits to communities through grants and other funding.</w:t>
      </w:r>
      <w:r w:rsidR="00671156" w:rsidRPr="00A06DF7">
        <w:rPr>
          <w:rFonts w:cs="Calibri"/>
        </w:rPr>
        <w:t xml:space="preserve"> </w:t>
      </w:r>
      <w:r w:rsidR="00D81BDE" w:rsidRPr="00A06DF7">
        <w:rPr>
          <w:rFonts w:cs="Calibri"/>
        </w:rPr>
        <w:t xml:space="preserve">While </w:t>
      </w:r>
      <w:r w:rsidR="005C447B" w:rsidRPr="00A06DF7">
        <w:rPr>
          <w:rFonts w:cs="Calibri"/>
        </w:rPr>
        <w:t>offshore-based</w:t>
      </w:r>
      <w:r w:rsidR="00D81BDE" w:rsidRPr="00A06DF7">
        <w:rPr>
          <w:rFonts w:cs="Calibri"/>
        </w:rPr>
        <w:t xml:space="preserve"> sports and race betting sites do return a portion back to the NZ Sports and Racing sector</w:t>
      </w:r>
      <w:r w:rsidR="007C0A9D" w:rsidRPr="00A06DF7">
        <w:rPr>
          <w:rFonts w:cs="Calibri"/>
        </w:rPr>
        <w:t xml:space="preserve">, this amount is </w:t>
      </w:r>
      <w:r w:rsidR="000F379F" w:rsidRPr="00A06DF7">
        <w:rPr>
          <w:rFonts w:cs="Calibri"/>
        </w:rPr>
        <w:t xml:space="preserve">only </w:t>
      </w:r>
      <w:r w:rsidR="007C0A9D" w:rsidRPr="00A06DF7">
        <w:rPr>
          <w:rFonts w:cs="Calibri"/>
        </w:rPr>
        <w:t xml:space="preserve">a fraction of the </w:t>
      </w:r>
      <w:r w:rsidR="000F379F" w:rsidRPr="00A06DF7">
        <w:rPr>
          <w:rFonts w:cs="Calibri"/>
        </w:rPr>
        <w:t xml:space="preserve">POCC, </w:t>
      </w:r>
      <w:r w:rsidR="009D5885" w:rsidRPr="00A06DF7">
        <w:rPr>
          <w:rFonts w:cs="Calibri"/>
        </w:rPr>
        <w:t>and</w:t>
      </w:r>
      <w:r w:rsidR="000F379F" w:rsidRPr="00A06DF7">
        <w:rPr>
          <w:rFonts w:cs="Calibri"/>
        </w:rPr>
        <w:t xml:space="preserve"> does not apply to online casinos.</w:t>
      </w:r>
    </w:p>
    <w:p w14:paraId="22965094" w14:textId="77777777" w:rsidR="00332F4B" w:rsidRPr="00A06DF7" w:rsidRDefault="00332F4B" w:rsidP="00332F4B">
      <w:pPr>
        <w:pStyle w:val="ListBullet"/>
        <w:ind w:left="0" w:firstLine="0"/>
        <w:rPr>
          <w:rFonts w:cs="Calibri"/>
          <w:b/>
          <w:bCs/>
        </w:rPr>
      </w:pPr>
    </w:p>
    <w:p w14:paraId="7F8F643E" w14:textId="686A866F" w:rsidR="00FA2BD7" w:rsidRPr="00BD1050" w:rsidRDefault="00FA2BD7" w:rsidP="00FA2BD7">
      <w:pPr>
        <w:rPr>
          <w:b/>
          <w:bCs/>
        </w:rPr>
      </w:pPr>
    </w:p>
    <w:p w14:paraId="4FB8641B" w14:textId="3D72CA18" w:rsidR="0020412A" w:rsidRDefault="009E457B" w:rsidP="009E457B">
      <w:pPr>
        <w:pStyle w:val="Heading5"/>
      </w:pPr>
      <w:bookmarkStart w:id="222" w:name="_Toc166507413"/>
      <w:r>
        <w:lastRenderedPageBreak/>
        <w:t xml:space="preserve">Minimising gambling harm sector </w:t>
      </w:r>
      <w:r w:rsidR="009D5CF0">
        <w:t>needs</w:t>
      </w:r>
      <w:bookmarkEnd w:id="222"/>
    </w:p>
    <w:p w14:paraId="75A5AD1E" w14:textId="3598E845" w:rsidR="00CE3478" w:rsidRDefault="00CE3478" w:rsidP="00CE3478">
      <w:r>
        <w:t>As noted throughout this report, the 2024 Needs Assessment was conducted during a significant time of change across Aotearoa New Zealand’s government, health, minimising gambling harm agency and provider sectors. These changes provide important context for the following participants’ perspectives about gambling harm sector needs</w:t>
      </w:r>
      <w:r>
        <w:rPr>
          <w:rStyle w:val="FootnoteReference"/>
        </w:rPr>
        <w:footnoteReference w:id="37"/>
      </w:r>
      <w:r>
        <w:t xml:space="preserve">. Overall, although a small number of participants highlighted a few systems change opportunities, almost all identified a number of </w:t>
      </w:r>
      <w:r w:rsidR="00237538">
        <w:t xml:space="preserve">perceived </w:t>
      </w:r>
      <w:r>
        <w:t>gaps and risks that require attention.</w:t>
      </w:r>
    </w:p>
    <w:p w14:paraId="6FEF4CA2" w14:textId="77777777" w:rsidR="00CE3478" w:rsidRDefault="00CE3478" w:rsidP="00CE3478">
      <w:pPr>
        <w:jc w:val="center"/>
      </w:pPr>
      <w:r w:rsidRPr="00BE3D19">
        <w:rPr>
          <w:noProof/>
        </w:rPr>
        <w:drawing>
          <wp:inline distT="0" distB="0" distL="0" distR="0" wp14:anchorId="775C99A3" wp14:editId="7026D2EB">
            <wp:extent cx="3356810" cy="1056904"/>
            <wp:effectExtent l="0" t="0" r="0" b="0"/>
            <wp:docPr id="642591557" name="Picture 1" descr="A quote in white text with a red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91557" name="Picture 1" descr="A quote in white text with a red background&#10;&#10;"/>
                    <pic:cNvPicPr/>
                  </pic:nvPicPr>
                  <pic:blipFill>
                    <a:blip r:embed="rId42"/>
                    <a:stretch>
                      <a:fillRect/>
                    </a:stretch>
                  </pic:blipFill>
                  <pic:spPr>
                    <a:xfrm>
                      <a:off x="0" y="0"/>
                      <a:ext cx="3391212" cy="1067736"/>
                    </a:xfrm>
                    <a:prstGeom prst="rect">
                      <a:avLst/>
                    </a:prstGeom>
                  </pic:spPr>
                </pic:pic>
              </a:graphicData>
            </a:graphic>
          </wp:inline>
        </w:drawing>
      </w:r>
    </w:p>
    <w:p w14:paraId="343A6C0D" w14:textId="5351FCDD" w:rsidR="004776CD" w:rsidRDefault="004776CD" w:rsidP="00CE3478">
      <w:pPr>
        <w:pStyle w:val="Heading6"/>
      </w:pPr>
      <w:bookmarkStart w:id="223" w:name="_Toc166507414"/>
      <w:r>
        <w:t>Participants’ perce</w:t>
      </w:r>
      <w:r w:rsidR="00B91D6C">
        <w:t>ptions of</w:t>
      </w:r>
      <w:r>
        <w:t xml:space="preserve"> sector </w:t>
      </w:r>
      <w:r w:rsidR="00B91D6C">
        <w:t>strengths</w:t>
      </w:r>
      <w:bookmarkEnd w:id="223"/>
    </w:p>
    <w:p w14:paraId="422261D5" w14:textId="6A9AA66F" w:rsidR="00CE3478" w:rsidRPr="00032C19" w:rsidRDefault="00CE3478" w:rsidP="00CE3478">
      <w:r w:rsidRPr="004776CD">
        <w:rPr>
          <w:b/>
          <w:bCs/>
        </w:rPr>
        <w:t>A few participants perceived that systems change has provided some new opportunities</w:t>
      </w:r>
      <w:r w:rsidR="004776CD">
        <w:rPr>
          <w:b/>
          <w:bCs/>
        </w:rPr>
        <w:t xml:space="preserve">: </w:t>
      </w:r>
      <w:r>
        <w:t>A small number of interviewed gambling agency representatives highlighted that systems change provided a range of new opportunities for the minimising gambling harm Strategy and sector, such as:</w:t>
      </w:r>
    </w:p>
    <w:p w14:paraId="3C1008BD" w14:textId="77777777" w:rsidR="00CE3478" w:rsidRDefault="00CE3478" w:rsidP="00CE3478">
      <w:pPr>
        <w:pStyle w:val="Bulleted"/>
      </w:pPr>
      <w:r w:rsidRPr="008C60D1">
        <w:t>Improved partnership</w:t>
      </w:r>
      <w:r>
        <w:t>s</w:t>
      </w:r>
      <w:r w:rsidRPr="008C60D1">
        <w:t xml:space="preserve"> between Te Whatu Ora and Te Aka Whai Ora</w:t>
      </w:r>
    </w:p>
    <w:p w14:paraId="4E2C04C4" w14:textId="77777777" w:rsidR="00CE3478" w:rsidRDefault="00CE3478" w:rsidP="00CE3478">
      <w:pPr>
        <w:pStyle w:val="Bulleted"/>
      </w:pPr>
      <w:r w:rsidRPr="008C60D1">
        <w:t>Collective government agency responsibility and response to provider</w:t>
      </w:r>
      <w:r>
        <w:t xml:space="preserve"> queries</w:t>
      </w:r>
    </w:p>
    <w:p w14:paraId="09BF9F55" w14:textId="77777777" w:rsidR="00CE3478" w:rsidRDefault="00CE3478" w:rsidP="00CE3478">
      <w:pPr>
        <w:pStyle w:val="Bulleted"/>
      </w:pPr>
      <w:r w:rsidRPr="008C60D1">
        <w:t>Open and challenging conversations and shared learnings across government agencie</w:t>
      </w:r>
      <w:r>
        <w:t>s particularly in relation to priority population and lived experience realities, contexts and needs</w:t>
      </w:r>
    </w:p>
    <w:p w14:paraId="17504856" w14:textId="77777777" w:rsidR="00CE3478" w:rsidRDefault="00CE3478" w:rsidP="00CE3478">
      <w:pPr>
        <w:pStyle w:val="Bulleted"/>
      </w:pPr>
      <w:r w:rsidRPr="008C60D1">
        <w:t xml:space="preserve">A review of minimising gambling harm systems and providers who have had contract roll-over for several years </w:t>
      </w:r>
    </w:p>
    <w:p w14:paraId="7DF3D784" w14:textId="77777777" w:rsidR="00CE3478" w:rsidRDefault="00CE3478" w:rsidP="00CE3478">
      <w:pPr>
        <w:pStyle w:val="Bulleted"/>
      </w:pPr>
      <w:r>
        <w:t>A review of outdated and inconsistent gambling regulations.</w:t>
      </w:r>
    </w:p>
    <w:p w14:paraId="0E9FDFB6" w14:textId="77777777" w:rsidR="00CE3478" w:rsidRDefault="00CE3478" w:rsidP="00CE3478">
      <w:pPr>
        <w:jc w:val="center"/>
      </w:pPr>
    </w:p>
    <w:p w14:paraId="26560D3B" w14:textId="77777777" w:rsidR="00CE3478" w:rsidRDefault="00CE3478" w:rsidP="00CE3478">
      <w:pPr>
        <w:jc w:val="center"/>
      </w:pPr>
    </w:p>
    <w:p w14:paraId="4E46482E" w14:textId="77777777" w:rsidR="00CE3478" w:rsidRDefault="00CE3478" w:rsidP="00CE3478">
      <w:pPr>
        <w:jc w:val="center"/>
      </w:pPr>
    </w:p>
    <w:p w14:paraId="6BF54477" w14:textId="4F224B87" w:rsidR="00FF3ED1" w:rsidRPr="00D01DD1" w:rsidRDefault="00FF3ED1" w:rsidP="00CE3478">
      <w:pPr>
        <w:ind w:left="-567"/>
        <w:jc w:val="center"/>
      </w:pPr>
      <w:r w:rsidRPr="00FF3ED1">
        <w:rPr>
          <w:noProof/>
        </w:rPr>
        <w:lastRenderedPageBreak/>
        <w:drawing>
          <wp:inline distT="0" distB="0" distL="0" distR="0" wp14:anchorId="71B84DBC" wp14:editId="00A47B7B">
            <wp:extent cx="5716488" cy="3181350"/>
            <wp:effectExtent l="0" t="0" r="0" b="0"/>
            <wp:docPr id="1113654175" name="Picture 1" descr="Multiple quotes from government and research participants. Some quotes in red text, and others in white text with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54175" name="Picture 1" descr="Multiple quotes from government and research participants. Some quotes in red text, and others in white text with a blue background."/>
                    <pic:cNvPicPr/>
                  </pic:nvPicPr>
                  <pic:blipFill>
                    <a:blip r:embed="rId43"/>
                    <a:stretch>
                      <a:fillRect/>
                    </a:stretch>
                  </pic:blipFill>
                  <pic:spPr>
                    <a:xfrm>
                      <a:off x="0" y="0"/>
                      <a:ext cx="5729834" cy="3188777"/>
                    </a:xfrm>
                    <a:prstGeom prst="rect">
                      <a:avLst/>
                    </a:prstGeom>
                  </pic:spPr>
                </pic:pic>
              </a:graphicData>
            </a:graphic>
          </wp:inline>
        </w:drawing>
      </w:r>
    </w:p>
    <w:p w14:paraId="3CC7A863" w14:textId="4C84460B" w:rsidR="004776CD" w:rsidRDefault="004776CD" w:rsidP="00CE3478">
      <w:pPr>
        <w:pStyle w:val="Heading6"/>
      </w:pPr>
      <w:bookmarkStart w:id="224" w:name="_Toc166507415"/>
      <w:r>
        <w:t>Participants’ perce</w:t>
      </w:r>
      <w:r w:rsidR="00B91D6C">
        <w:t>ptions of</w:t>
      </w:r>
      <w:r>
        <w:t xml:space="preserve"> sector gaps</w:t>
      </w:r>
      <w:bookmarkEnd w:id="224"/>
    </w:p>
    <w:p w14:paraId="63A372DB" w14:textId="0739BD19" w:rsidR="00CE3478" w:rsidRDefault="00CE3478" w:rsidP="00CE3478">
      <w:pPr>
        <w:rPr>
          <w:shd w:val="clear" w:color="auto" w:fill="FFFFFF"/>
        </w:rPr>
      </w:pPr>
      <w:r w:rsidRPr="004776CD">
        <w:rPr>
          <w:b/>
          <w:bCs/>
        </w:rPr>
        <w:t>Most participants perceived that systems change has not been well executed</w:t>
      </w:r>
      <w:r w:rsidR="004776CD">
        <w:rPr>
          <w:b/>
          <w:bCs/>
        </w:rPr>
        <w:t xml:space="preserve">: </w:t>
      </w:r>
      <w:r>
        <w:t xml:space="preserve">Most interviewed participants emphasised that systems change was extensive and gambling agencies, industry and providers were neither well prepared nor supported to understand and work with these changes. Some participants described systems change as </w:t>
      </w:r>
      <w:r w:rsidRPr="006A6265">
        <w:rPr>
          <w:rStyle w:val="QuotesChar"/>
          <w:rFonts w:eastAsiaTheme="minorHAnsi"/>
          <w:sz w:val="22"/>
          <w:szCs w:val="22"/>
        </w:rPr>
        <w:t>building the plane while we’re flying it (</w:t>
      </w:r>
      <w:r w:rsidR="007118F2">
        <w:rPr>
          <w:rStyle w:val="QuotesChar"/>
          <w:rFonts w:eastAsiaTheme="minorHAnsi"/>
          <w:sz w:val="22"/>
          <w:szCs w:val="22"/>
        </w:rPr>
        <w:t>Government &amp; research</w:t>
      </w:r>
      <w:r w:rsidRPr="006A6265">
        <w:rPr>
          <w:rStyle w:val="QuotesChar"/>
          <w:rFonts w:eastAsiaTheme="minorHAnsi"/>
          <w:sz w:val="22"/>
          <w:szCs w:val="22"/>
        </w:rPr>
        <w:t>)</w:t>
      </w:r>
      <w:r w:rsidRPr="006A6265">
        <w:rPr>
          <w:i/>
          <w:iCs/>
        </w:rPr>
        <w:t xml:space="preserve"> </w:t>
      </w:r>
      <w:r>
        <w:t xml:space="preserve">and perceived that the separation and sharing of roles and responsibilities for implementing the Strategy across </w:t>
      </w:r>
      <w:r>
        <w:rPr>
          <w:rFonts w:cstheme="minorHAnsi"/>
          <w:shd w:val="clear" w:color="auto" w:fill="FFFFFF"/>
        </w:rPr>
        <w:t>three government agencies has f</w:t>
      </w:r>
      <w:r>
        <w:rPr>
          <w:shd w:val="clear" w:color="auto" w:fill="FFFFFF"/>
        </w:rPr>
        <w:t>urther complicated an already complex system and introduced three key risks that require mitigation.</w:t>
      </w:r>
    </w:p>
    <w:p w14:paraId="107A32C6" w14:textId="77777777" w:rsidR="00CE3478" w:rsidRDefault="00CE3478" w:rsidP="004F6F53">
      <w:pPr>
        <w:pStyle w:val="Bulleted"/>
        <w:numPr>
          <w:ilvl w:val="0"/>
          <w:numId w:val="0"/>
        </w:numPr>
        <w:ind w:left="284" w:hanging="357"/>
        <w:jc w:val="center"/>
        <w:rPr>
          <w:shd w:val="clear" w:color="auto" w:fill="FFFFFF"/>
        </w:rPr>
      </w:pPr>
      <w:r w:rsidRPr="00BE3D19">
        <w:rPr>
          <w:noProof/>
          <w:shd w:val="clear" w:color="auto" w:fill="FFFFFF"/>
        </w:rPr>
        <w:drawing>
          <wp:inline distT="0" distB="0" distL="0" distR="0" wp14:anchorId="277DADD0" wp14:editId="7123CB31">
            <wp:extent cx="3448685" cy="1138402"/>
            <wp:effectExtent l="0" t="0" r="0" b="5080"/>
            <wp:docPr id="158220712" name="Picture 1" descr="A quote in white text on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0712" name="Picture 1" descr="A quote in white text on a red background"/>
                    <pic:cNvPicPr/>
                  </pic:nvPicPr>
                  <pic:blipFill>
                    <a:blip r:embed="rId44"/>
                    <a:stretch>
                      <a:fillRect/>
                    </a:stretch>
                  </pic:blipFill>
                  <pic:spPr>
                    <a:xfrm>
                      <a:off x="0" y="0"/>
                      <a:ext cx="3462784" cy="1143056"/>
                    </a:xfrm>
                    <a:prstGeom prst="rect">
                      <a:avLst/>
                    </a:prstGeom>
                  </pic:spPr>
                </pic:pic>
              </a:graphicData>
            </a:graphic>
          </wp:inline>
        </w:drawing>
      </w:r>
    </w:p>
    <w:p w14:paraId="3AFA8908" w14:textId="15C5D679" w:rsidR="00CE3478" w:rsidRDefault="00CE3478" w:rsidP="007118F2">
      <w:pPr>
        <w:pStyle w:val="Bulleted"/>
      </w:pPr>
      <w:r w:rsidRPr="00030D44">
        <w:rPr>
          <w:b/>
          <w:bCs/>
        </w:rPr>
        <w:t xml:space="preserve">Risk </w:t>
      </w:r>
      <w:r w:rsidR="00B91D6C">
        <w:rPr>
          <w:b/>
          <w:bCs/>
        </w:rPr>
        <w:t>one</w:t>
      </w:r>
      <w:r w:rsidRPr="00030D44">
        <w:rPr>
          <w:b/>
          <w:bCs/>
        </w:rPr>
        <w:t xml:space="preserve"> - Separation of specialist gambling harm and multi-disciplinary skillsets within government agencies:</w:t>
      </w:r>
      <w:r w:rsidRPr="004B0E82">
        <w:t xml:space="preserve"> </w:t>
      </w:r>
      <w:r>
        <w:t>Splitting</w:t>
      </w:r>
      <w:r w:rsidRPr="004B0E82">
        <w:t xml:space="preserve"> </w:t>
      </w:r>
      <w:r>
        <w:t xml:space="preserve">functions for </w:t>
      </w:r>
      <w:r w:rsidRPr="004B0E82">
        <w:t>procurement, funding and commissioning, and evaluation of services from policy and research</w:t>
      </w:r>
      <w:r>
        <w:t xml:space="preserve"> was perceived as:</w:t>
      </w:r>
    </w:p>
    <w:p w14:paraId="3867CD1A" w14:textId="77777777" w:rsidR="00CE3478" w:rsidRDefault="00CE3478" w:rsidP="007118F2">
      <w:pPr>
        <w:pStyle w:val="Second-levelbullets"/>
      </w:pPr>
      <w:r>
        <w:t>Ignorant of interdependencies between different components of the gambling sector</w:t>
      </w:r>
    </w:p>
    <w:p w14:paraId="01342615" w14:textId="77777777" w:rsidR="00CE3478" w:rsidRDefault="00CE3478" w:rsidP="007118F2">
      <w:pPr>
        <w:pStyle w:val="Second-levelbullets"/>
      </w:pPr>
      <w:r>
        <w:t>R</w:t>
      </w:r>
      <w:r w:rsidRPr="004B0E82">
        <w:t>educ</w:t>
      </w:r>
      <w:r>
        <w:t xml:space="preserve">ing </w:t>
      </w:r>
      <w:r w:rsidRPr="004B0E82">
        <w:t>access to specialist skillsets and expertise within agencies</w:t>
      </w:r>
      <w:r>
        <w:t xml:space="preserve"> </w:t>
      </w:r>
      <w:r w:rsidRPr="006A6265">
        <w:t xml:space="preserve">- </w:t>
      </w:r>
      <w:r w:rsidRPr="006A6265">
        <w:rPr>
          <w:rStyle w:val="QuotesChar"/>
          <w:rFonts w:eastAsiaTheme="minorHAnsi"/>
          <w:sz w:val="22"/>
          <w:szCs w:val="22"/>
        </w:rPr>
        <w:t>you've just got really small groups of people across three agencies (Agency)</w:t>
      </w:r>
      <w:r w:rsidRPr="006A6265">
        <w:t>.</w:t>
      </w:r>
      <w:r>
        <w:t xml:space="preserve"> Alongside consideration of </w:t>
      </w:r>
      <w:r>
        <w:lastRenderedPageBreak/>
        <w:t xml:space="preserve">a lead provider model between 2022-2023, this resulted in delayed provider and research contracting and commissioning. </w:t>
      </w:r>
      <w:r w:rsidRPr="004B0E82">
        <w:t>While efforts were made to establish efficient interagency engagement, some participants noted this was not yet functioning optimally, likely due to a lack of time and/or commitment within agencies.</w:t>
      </w:r>
    </w:p>
    <w:p w14:paraId="69E587D5" w14:textId="5B42029C" w:rsidR="007C52D9" w:rsidRDefault="007C52D9" w:rsidP="00CE3478">
      <w:pPr>
        <w:pStyle w:val="Bulleted"/>
        <w:numPr>
          <w:ilvl w:val="0"/>
          <w:numId w:val="0"/>
        </w:numPr>
        <w:ind w:left="993" w:hanging="357"/>
        <w:jc w:val="center"/>
      </w:pPr>
      <w:r w:rsidRPr="007C52D9">
        <w:rPr>
          <w:noProof/>
        </w:rPr>
        <w:drawing>
          <wp:inline distT="0" distB="0" distL="0" distR="0" wp14:anchorId="0E6AF2F1" wp14:editId="609ED326">
            <wp:extent cx="3825382" cy="1533525"/>
            <wp:effectExtent l="0" t="0" r="3810" b="0"/>
            <wp:docPr id="1036018367" name="Picture 1" descr="A quote in white text on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18367" name="Picture 1" descr="A quote in white text on a red background"/>
                    <pic:cNvPicPr/>
                  </pic:nvPicPr>
                  <pic:blipFill>
                    <a:blip r:embed="rId45"/>
                    <a:stretch>
                      <a:fillRect/>
                    </a:stretch>
                  </pic:blipFill>
                  <pic:spPr>
                    <a:xfrm>
                      <a:off x="0" y="0"/>
                      <a:ext cx="3853003" cy="1544598"/>
                    </a:xfrm>
                    <a:prstGeom prst="rect">
                      <a:avLst/>
                    </a:prstGeom>
                  </pic:spPr>
                </pic:pic>
              </a:graphicData>
            </a:graphic>
          </wp:inline>
        </w:drawing>
      </w:r>
    </w:p>
    <w:p w14:paraId="14031FC3" w14:textId="77777777" w:rsidR="00CE3478" w:rsidRDefault="00CE3478" w:rsidP="007118F2">
      <w:pPr>
        <w:pStyle w:val="Bulleted"/>
        <w:rPr>
          <w:lang w:val="en-US"/>
        </w:rPr>
      </w:pPr>
      <w:r w:rsidRPr="00030D44">
        <w:rPr>
          <w:b/>
          <w:bCs/>
        </w:rPr>
        <w:t>Risk two - A lack of clarity and understanding about different government agency roles and responsibilities:</w:t>
      </w:r>
      <w:r w:rsidRPr="008C60D1">
        <w:t xml:space="preserve"> While a systemic process appears to have been followed within agencies, some participants remained unclear and uncertain about </w:t>
      </w:r>
      <w:r>
        <w:t xml:space="preserve">how </w:t>
      </w:r>
      <w:r w:rsidRPr="008C60D1">
        <w:t xml:space="preserve">roles and responsibilities across agencies </w:t>
      </w:r>
      <w:r>
        <w:t>were</w:t>
      </w:r>
      <w:r w:rsidRPr="008C60D1">
        <w:t xml:space="preserve"> determined and noted limited communication has led to confusion for some in the agency and provider sector.</w:t>
      </w:r>
      <w:r>
        <w:t xml:space="preserve"> </w:t>
      </w:r>
      <w:r w:rsidRPr="00E03AC2">
        <w:rPr>
          <w:lang w:val="en-US"/>
        </w:rPr>
        <w:t>Some participants also highlighted potential ongoing risks relating to the Government’s indications about disestablishing Te Aka Whai Ora and the implications of this for Kaupapa Māori provider commissioning and contracts.</w:t>
      </w:r>
      <w:r>
        <w:rPr>
          <w:rStyle w:val="FootnoteReference"/>
          <w:lang w:val="en-US"/>
        </w:rPr>
        <w:footnoteReference w:id="38"/>
      </w:r>
      <w:r w:rsidRPr="00E03AC2">
        <w:rPr>
          <w:lang w:val="en-US"/>
        </w:rPr>
        <w:t xml:space="preserve"> </w:t>
      </w:r>
    </w:p>
    <w:p w14:paraId="332C3307" w14:textId="4908CADA" w:rsidR="002A399E" w:rsidRDefault="004C3D6D" w:rsidP="004C3D6D">
      <w:pPr>
        <w:pStyle w:val="Bulleted"/>
        <w:numPr>
          <w:ilvl w:val="0"/>
          <w:numId w:val="0"/>
        </w:numPr>
        <w:ind w:left="567" w:hanging="357"/>
        <w:jc w:val="center"/>
        <w:rPr>
          <w:lang w:val="en-US"/>
        </w:rPr>
      </w:pPr>
      <w:r w:rsidRPr="004C3D6D">
        <w:rPr>
          <w:noProof/>
        </w:rPr>
        <w:t xml:space="preserve"> </w:t>
      </w:r>
      <w:r w:rsidRPr="004C3D6D">
        <w:rPr>
          <w:noProof/>
          <w:lang w:val="en-US"/>
        </w:rPr>
        <w:drawing>
          <wp:inline distT="0" distB="0" distL="0" distR="0" wp14:anchorId="4AF3E376" wp14:editId="318CEDBA">
            <wp:extent cx="5048250" cy="1786304"/>
            <wp:effectExtent l="0" t="0" r="0" b="4445"/>
            <wp:docPr id="1093479879" name="Picture 1" descr="Two quotes in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79879" name="Picture 1" descr="Two quotes in red text"/>
                    <pic:cNvPicPr/>
                  </pic:nvPicPr>
                  <pic:blipFill>
                    <a:blip r:embed="rId46"/>
                    <a:stretch>
                      <a:fillRect/>
                    </a:stretch>
                  </pic:blipFill>
                  <pic:spPr>
                    <a:xfrm>
                      <a:off x="0" y="0"/>
                      <a:ext cx="5084269" cy="1799049"/>
                    </a:xfrm>
                    <a:prstGeom prst="rect">
                      <a:avLst/>
                    </a:prstGeom>
                  </pic:spPr>
                </pic:pic>
              </a:graphicData>
            </a:graphic>
          </wp:inline>
        </w:drawing>
      </w:r>
    </w:p>
    <w:p w14:paraId="5B46FED7" w14:textId="77777777" w:rsidR="00CE3478" w:rsidRDefault="00CE3478" w:rsidP="007118F2">
      <w:pPr>
        <w:pStyle w:val="Bulleted"/>
        <w:rPr>
          <w:lang w:val="en-US"/>
        </w:rPr>
      </w:pPr>
      <w:r w:rsidRPr="00030D44">
        <w:rPr>
          <w:b/>
          <w:bCs/>
          <w:lang w:val="en-US"/>
        </w:rPr>
        <w:t>Risk 3 - Reduced gambling-specific public sector workforce capacity:</w:t>
      </w:r>
      <w:r>
        <w:rPr>
          <w:lang w:val="en-US"/>
        </w:rPr>
        <w:t xml:space="preserve"> A small number of participants highlighted that integration of gambling agencies into Te Whatu Ora and initiatives with a broader AoD focus has reduced gambling-specific workforce capacity, autonomy and institutional knowledge within agencies.</w:t>
      </w:r>
    </w:p>
    <w:p w14:paraId="719FA9FE" w14:textId="1DFDE656" w:rsidR="007C52D9" w:rsidRDefault="007C52D9" w:rsidP="009417E1">
      <w:pPr>
        <w:jc w:val="center"/>
        <w:rPr>
          <w:lang w:val="en-US"/>
        </w:rPr>
      </w:pPr>
      <w:r w:rsidRPr="007C52D9">
        <w:rPr>
          <w:noProof/>
          <w:lang w:val="en-US"/>
        </w:rPr>
        <w:lastRenderedPageBreak/>
        <w:drawing>
          <wp:inline distT="0" distB="0" distL="0" distR="0" wp14:anchorId="307A32F5" wp14:editId="5CAF51F8">
            <wp:extent cx="5713641" cy="1628775"/>
            <wp:effectExtent l="0" t="0" r="1905" b="0"/>
            <wp:docPr id="565105537" name="Picture 1" descr="Three quotes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05537" name="Picture 1" descr="Three quotes in blue text"/>
                    <pic:cNvPicPr/>
                  </pic:nvPicPr>
                  <pic:blipFill>
                    <a:blip r:embed="rId47"/>
                    <a:stretch>
                      <a:fillRect/>
                    </a:stretch>
                  </pic:blipFill>
                  <pic:spPr>
                    <a:xfrm>
                      <a:off x="0" y="0"/>
                      <a:ext cx="5724992" cy="1632011"/>
                    </a:xfrm>
                    <a:prstGeom prst="rect">
                      <a:avLst/>
                    </a:prstGeom>
                  </pic:spPr>
                </pic:pic>
              </a:graphicData>
            </a:graphic>
          </wp:inline>
        </w:drawing>
      </w:r>
    </w:p>
    <w:p w14:paraId="457E60DD" w14:textId="77777777" w:rsidR="00CE3478" w:rsidRDefault="00CE3478" w:rsidP="00CE3478">
      <w:pPr>
        <w:rPr>
          <w:lang w:val="en-US"/>
        </w:rPr>
      </w:pPr>
      <w:r>
        <w:rPr>
          <w:lang w:val="en-US"/>
        </w:rPr>
        <w:t>Although most stakeholders considered sector change responsive to inequities and the needs of priority populations within the gambling sector – specifically expansion and national delivery of Pacific and Asian provider services, and allocation of Kaupapa Māori provider contracting and commissioning to Te Aka Whai Ora – some participants highlighted:</w:t>
      </w:r>
    </w:p>
    <w:p w14:paraId="1C56E58A" w14:textId="77777777" w:rsidR="00CE3478" w:rsidRPr="008C60D1" w:rsidRDefault="00CE3478" w:rsidP="00CE3478">
      <w:pPr>
        <w:pStyle w:val="Bulleted"/>
      </w:pPr>
      <w:r w:rsidRPr="008C60D1">
        <w:t>A need to acknowledge within Asian and Pacific service</w:t>
      </w:r>
      <w:r>
        <w:t xml:space="preserve"> and funding</w:t>
      </w:r>
      <w:r w:rsidRPr="008C60D1">
        <w:t xml:space="preserve"> </w:t>
      </w:r>
      <w:r>
        <w:t xml:space="preserve">requirements the need to service </w:t>
      </w:r>
      <w:r w:rsidRPr="008C60D1">
        <w:t>diverse ethnic-specific population groups</w:t>
      </w:r>
      <w:r>
        <w:t xml:space="preserve"> in ways that resonate with deep cultural and contextual understandings.</w:t>
      </w:r>
    </w:p>
    <w:p w14:paraId="4CB09E26" w14:textId="77777777" w:rsidR="00CE3478" w:rsidRDefault="00CE3478" w:rsidP="007C52D9">
      <w:pPr>
        <w:pStyle w:val="Bulleted"/>
        <w:spacing w:after="120"/>
        <w:rPr>
          <w:lang w:val="en-US"/>
        </w:rPr>
      </w:pPr>
      <w:r>
        <w:rPr>
          <w:lang w:val="en-US"/>
        </w:rPr>
        <w:t xml:space="preserve">A lack of clarity about how Te Tiriti obligations would be upheld by national provider services to ensure all providers are adequately equipped to respond to Māori gambling harm needs. </w:t>
      </w:r>
    </w:p>
    <w:p w14:paraId="4DEC4E1C" w14:textId="1519C684" w:rsidR="007C52D9" w:rsidRDefault="007C52D9" w:rsidP="00F62F6B">
      <w:pPr>
        <w:jc w:val="center"/>
        <w:rPr>
          <w:lang w:val="en-US"/>
        </w:rPr>
      </w:pPr>
      <w:r w:rsidRPr="007C52D9">
        <w:rPr>
          <w:noProof/>
          <w:lang w:val="en-US"/>
        </w:rPr>
        <w:drawing>
          <wp:inline distT="0" distB="0" distL="0" distR="0" wp14:anchorId="18E17E56" wp14:editId="44F390C3">
            <wp:extent cx="3662797" cy="952500"/>
            <wp:effectExtent l="0" t="0" r="0" b="0"/>
            <wp:docPr id="1034149520" name="Picture 1" descr="Two quotes in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9520" name="Picture 1" descr="Two quotes in red text"/>
                    <pic:cNvPicPr/>
                  </pic:nvPicPr>
                  <pic:blipFill>
                    <a:blip r:embed="rId48"/>
                    <a:stretch>
                      <a:fillRect/>
                    </a:stretch>
                  </pic:blipFill>
                  <pic:spPr>
                    <a:xfrm>
                      <a:off x="0" y="0"/>
                      <a:ext cx="3678341" cy="956542"/>
                    </a:xfrm>
                    <a:prstGeom prst="rect">
                      <a:avLst/>
                    </a:prstGeom>
                  </pic:spPr>
                </pic:pic>
              </a:graphicData>
            </a:graphic>
          </wp:inline>
        </w:drawing>
      </w:r>
    </w:p>
    <w:p w14:paraId="2EAFE86E" w14:textId="4C8C3359" w:rsidR="00CE3478" w:rsidRDefault="00CE3478" w:rsidP="00CE3478">
      <w:r>
        <w:rPr>
          <w:lang w:val="en-US"/>
        </w:rPr>
        <w:t xml:space="preserve">Some participants also perceived that although young people/rangatahi are a priority population, recent sector/systems changes do not adequately respond to youth gambling needs. It is important to note however that Te Whatu Ora have recently contracted the New Zealand Drug Foundation to add gambling harm components to their </w:t>
      </w:r>
      <w:r w:rsidRPr="008C60D1">
        <w:t>Tūturu education program in schools</w:t>
      </w:r>
      <w:r>
        <w:rPr>
          <w:rStyle w:val="FootnoteReference"/>
        </w:rPr>
        <w:footnoteReference w:id="39"/>
      </w:r>
      <w:r>
        <w:t xml:space="preserve"> - funded from the Strategy line “Public health in Schools (young people/rangatahi)”. Evidently, clear communications about this are required across the sector, particularly since some participants noted the importance of engaging with primary schools/parents and in small localities liaising with immersed and locally-known community agency representatives in schools (e.g., NZ Police) who are/can be first point of contact and referral to providers.</w:t>
      </w:r>
    </w:p>
    <w:p w14:paraId="0D8745C4" w14:textId="6ADBB40A" w:rsidR="00F62F6B" w:rsidRDefault="00F62F6B" w:rsidP="00F62F6B">
      <w:pPr>
        <w:jc w:val="center"/>
      </w:pPr>
    </w:p>
    <w:p w14:paraId="3E53B8A0" w14:textId="270739A2" w:rsidR="007C52D9" w:rsidRDefault="007C52D9" w:rsidP="00F62F6B">
      <w:pPr>
        <w:jc w:val="center"/>
      </w:pPr>
      <w:r w:rsidRPr="007C52D9">
        <w:rPr>
          <w:noProof/>
        </w:rPr>
        <w:lastRenderedPageBreak/>
        <w:drawing>
          <wp:inline distT="0" distB="0" distL="0" distR="0" wp14:anchorId="5B3AD098" wp14:editId="2FB9DA9D">
            <wp:extent cx="3657162" cy="1123950"/>
            <wp:effectExtent l="0" t="0" r="635" b="0"/>
            <wp:docPr id="402055093" name="Picture 1" descr="Two quotes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55093" name="Picture 1" descr="Two quotes in blue text"/>
                    <pic:cNvPicPr/>
                  </pic:nvPicPr>
                  <pic:blipFill>
                    <a:blip r:embed="rId49"/>
                    <a:stretch>
                      <a:fillRect/>
                    </a:stretch>
                  </pic:blipFill>
                  <pic:spPr>
                    <a:xfrm>
                      <a:off x="0" y="0"/>
                      <a:ext cx="3673327" cy="1128918"/>
                    </a:xfrm>
                    <a:prstGeom prst="rect">
                      <a:avLst/>
                    </a:prstGeom>
                  </pic:spPr>
                </pic:pic>
              </a:graphicData>
            </a:graphic>
          </wp:inline>
        </w:drawing>
      </w:r>
    </w:p>
    <w:p w14:paraId="05BA52E3" w14:textId="0AFF5C8A" w:rsidR="00CE3478" w:rsidRDefault="00CE3478" w:rsidP="00CE3478">
      <w:r w:rsidRPr="007118F2">
        <w:rPr>
          <w:b/>
          <w:bCs/>
        </w:rPr>
        <w:t>Most participants perceived that recent provider procurement was not well executed</w:t>
      </w:r>
      <w:r w:rsidR="007118F2">
        <w:rPr>
          <w:b/>
          <w:bCs/>
        </w:rPr>
        <w:t xml:space="preserve">: </w:t>
      </w:r>
      <w:r>
        <w:t xml:space="preserve">A small number of participants noted that moving commissioning functions to Te Whatu Ora and Te Aka Whai Ora could potentially strengthen provider procurement. </w:t>
      </w:r>
    </w:p>
    <w:p w14:paraId="580A7F04" w14:textId="77777777" w:rsidR="00CE3478" w:rsidRDefault="00CE3478" w:rsidP="00CE3478">
      <w:pPr>
        <w:jc w:val="center"/>
      </w:pPr>
      <w:r w:rsidRPr="00262AE8">
        <w:rPr>
          <w:noProof/>
        </w:rPr>
        <w:drawing>
          <wp:inline distT="0" distB="0" distL="0" distR="0" wp14:anchorId="696119D6" wp14:editId="4A24BB51">
            <wp:extent cx="3356471" cy="1095375"/>
            <wp:effectExtent l="0" t="0" r="0" b="0"/>
            <wp:docPr id="1006223144" name="Picture 1" descr="A quote in white text on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23144" name="Picture 1" descr="A quote in white text on a red background"/>
                    <pic:cNvPicPr/>
                  </pic:nvPicPr>
                  <pic:blipFill>
                    <a:blip r:embed="rId50"/>
                    <a:stretch>
                      <a:fillRect/>
                    </a:stretch>
                  </pic:blipFill>
                  <pic:spPr>
                    <a:xfrm>
                      <a:off x="0" y="0"/>
                      <a:ext cx="3359394" cy="1096329"/>
                    </a:xfrm>
                    <a:prstGeom prst="rect">
                      <a:avLst/>
                    </a:prstGeom>
                  </pic:spPr>
                </pic:pic>
              </a:graphicData>
            </a:graphic>
          </wp:inline>
        </w:drawing>
      </w:r>
    </w:p>
    <w:p w14:paraId="25B7B145" w14:textId="77777777" w:rsidR="00CE3478" w:rsidRDefault="00CE3478" w:rsidP="00CE3478">
      <w:r>
        <w:t>However, most participants did not consider this the case and highlighted several challenges with Te Whatu Ora’s recent provider procurement process which was described as:</w:t>
      </w:r>
    </w:p>
    <w:p w14:paraId="13185E5D" w14:textId="77777777" w:rsidR="00CE3478" w:rsidRDefault="00CE3478" w:rsidP="00CE3478">
      <w:pPr>
        <w:pStyle w:val="Bulleted"/>
        <w:rPr>
          <w:shd w:val="clear" w:color="auto" w:fill="FFFFFF"/>
        </w:rPr>
      </w:pPr>
      <w:r w:rsidRPr="001E09F0">
        <w:rPr>
          <w:b/>
          <w:bCs/>
          <w:shd w:val="clear" w:color="auto" w:fill="FFFFFF"/>
        </w:rPr>
        <w:t>Litigious and transactional:</w:t>
      </w:r>
      <w:r w:rsidRPr="008740F6">
        <w:rPr>
          <w:shd w:val="clear" w:color="auto" w:fill="FFFFFF"/>
        </w:rPr>
        <w:t xml:space="preserve"> </w:t>
      </w:r>
      <w:r>
        <w:rPr>
          <w:shd w:val="clear" w:color="auto" w:fill="FFFFFF"/>
        </w:rPr>
        <w:t>P</w:t>
      </w:r>
      <w:r w:rsidRPr="008740F6">
        <w:rPr>
          <w:shd w:val="clear" w:color="auto" w:fill="FFFFFF"/>
        </w:rPr>
        <w:t xml:space="preserve">rocurement processes </w:t>
      </w:r>
      <w:r>
        <w:rPr>
          <w:shd w:val="clear" w:color="auto" w:fill="FFFFFF"/>
        </w:rPr>
        <w:t xml:space="preserve">were noted as </w:t>
      </w:r>
      <w:r w:rsidRPr="008740F6">
        <w:rPr>
          <w:shd w:val="clear" w:color="auto" w:fill="FFFFFF"/>
        </w:rPr>
        <w:t xml:space="preserve">prescriptive, rigid and government agency led. A small number of participants noted these processes limited Māori inclusion and representation. </w:t>
      </w:r>
      <w:r>
        <w:rPr>
          <w:shd w:val="clear" w:color="auto" w:fill="FFFFFF"/>
        </w:rPr>
        <w:t xml:space="preserve">In </w:t>
      </w:r>
      <w:r w:rsidRPr="008C60D1">
        <w:t>contrast</w:t>
      </w:r>
      <w:r>
        <w:rPr>
          <w:shd w:val="clear" w:color="auto" w:fill="FFFFFF"/>
        </w:rPr>
        <w:t>, some participants reflected on Te Aka Whai Ora’s procurement co-design process, with Māori for Māori, noting this as inclusive and respectful of provider expertise and genuine partnership.</w:t>
      </w:r>
    </w:p>
    <w:p w14:paraId="45B5F66D" w14:textId="56D34B41" w:rsidR="00AC64F9" w:rsidRDefault="00AC64F9" w:rsidP="009417E1">
      <w:pPr>
        <w:ind w:left="426"/>
        <w:jc w:val="center"/>
        <w:rPr>
          <w:shd w:val="clear" w:color="auto" w:fill="FFFFFF"/>
        </w:rPr>
      </w:pPr>
      <w:r w:rsidRPr="00AC64F9">
        <w:rPr>
          <w:noProof/>
          <w:shd w:val="clear" w:color="auto" w:fill="FFFFFF"/>
        </w:rPr>
        <w:drawing>
          <wp:inline distT="0" distB="0" distL="0" distR="0" wp14:anchorId="02FADD93" wp14:editId="2D46A716">
            <wp:extent cx="5716655" cy="647700"/>
            <wp:effectExtent l="0" t="0" r="0" b="0"/>
            <wp:docPr id="1247079535" name="Picture 1" descr="A quote in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79535" name="Picture 1" descr="A quote in red text"/>
                    <pic:cNvPicPr/>
                  </pic:nvPicPr>
                  <pic:blipFill>
                    <a:blip r:embed="rId51"/>
                    <a:stretch>
                      <a:fillRect/>
                    </a:stretch>
                  </pic:blipFill>
                  <pic:spPr>
                    <a:xfrm>
                      <a:off x="0" y="0"/>
                      <a:ext cx="5762493" cy="652893"/>
                    </a:xfrm>
                    <a:prstGeom prst="rect">
                      <a:avLst/>
                    </a:prstGeom>
                  </pic:spPr>
                </pic:pic>
              </a:graphicData>
            </a:graphic>
          </wp:inline>
        </w:drawing>
      </w:r>
    </w:p>
    <w:p w14:paraId="074F8C11" w14:textId="77777777" w:rsidR="00CE3478" w:rsidRDefault="00CE3478" w:rsidP="00CE3478">
      <w:pPr>
        <w:ind w:left="720"/>
        <w:rPr>
          <w:shd w:val="clear" w:color="auto" w:fill="FFFFFF"/>
        </w:rPr>
      </w:pPr>
      <w:r>
        <w:rPr>
          <w:shd w:val="clear" w:color="auto" w:fill="FFFFFF"/>
        </w:rPr>
        <w:t>It is important to note that an MoU signed in good faith between Man</w:t>
      </w:r>
      <w:r w:rsidRPr="008C60D1">
        <w:t>ā</w:t>
      </w:r>
      <w:r>
        <w:rPr>
          <w:shd w:val="clear" w:color="auto" w:fill="FFFFFF"/>
        </w:rPr>
        <w:t xml:space="preserve">tu Hauora, </w:t>
      </w:r>
      <w:r w:rsidRPr="00B3649D">
        <w:t>Te Whatu Ora and Te Aka Whai Ora</w:t>
      </w:r>
      <w:r>
        <w:t xml:space="preserve"> delegated Kaupapa Māori provider commissioning and funding to Te Aka Whai Ora. However, </w:t>
      </w:r>
      <w:r>
        <w:rPr>
          <w:shd w:val="clear" w:color="auto" w:fill="FFFFFF"/>
        </w:rPr>
        <w:t>mixed understandings remained about Kaupapa Māori service providers who submitted separate bids for Te Whatu Ora funds - particularly since no Kaupapa Māori providers were selected in this space despite some being the only gambling harm provider in their region and servicing both Māori and mainstream communities. Despite no longer being funded to service non-Māori these providers are committed to remaining accessible to all.</w:t>
      </w:r>
    </w:p>
    <w:p w14:paraId="681C006F" w14:textId="78B68B78" w:rsidR="00AC64F9" w:rsidRDefault="00AC64F9" w:rsidP="009417E1">
      <w:pPr>
        <w:pStyle w:val="Quotes"/>
        <w:ind w:left="426"/>
        <w:jc w:val="center"/>
        <w:rPr>
          <w:shd w:val="clear" w:color="auto" w:fill="FFFFFF"/>
        </w:rPr>
      </w:pPr>
      <w:r w:rsidRPr="00AC64F9">
        <w:rPr>
          <w:shd w:val="clear" w:color="auto" w:fill="FFFFFF"/>
        </w:rPr>
        <w:lastRenderedPageBreak/>
        <w:drawing>
          <wp:inline distT="0" distB="0" distL="0" distR="0" wp14:anchorId="0E117FE5" wp14:editId="0E6DBABC">
            <wp:extent cx="5160172" cy="1876425"/>
            <wp:effectExtent l="0" t="0" r="2540" b="0"/>
            <wp:docPr id="15810792" name="Picture 1" descr="A person standing next to a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792" name="Picture 1" descr="A person standing next to a note"/>
                    <pic:cNvPicPr/>
                  </pic:nvPicPr>
                  <pic:blipFill>
                    <a:blip r:embed="rId52"/>
                    <a:stretch>
                      <a:fillRect/>
                    </a:stretch>
                  </pic:blipFill>
                  <pic:spPr>
                    <a:xfrm>
                      <a:off x="0" y="0"/>
                      <a:ext cx="5177640" cy="1882777"/>
                    </a:xfrm>
                    <a:prstGeom prst="rect">
                      <a:avLst/>
                    </a:prstGeom>
                  </pic:spPr>
                </pic:pic>
              </a:graphicData>
            </a:graphic>
          </wp:inline>
        </w:drawing>
      </w:r>
    </w:p>
    <w:p w14:paraId="1C7942C2" w14:textId="77777777" w:rsidR="00CE3478" w:rsidRPr="00D94B54" w:rsidRDefault="00CE3478" w:rsidP="00CE3478">
      <w:pPr>
        <w:pStyle w:val="Bulleted"/>
      </w:pPr>
      <w:r w:rsidRPr="001E09F0">
        <w:rPr>
          <w:rFonts w:cstheme="minorHAnsi"/>
          <w:b/>
          <w:bCs/>
          <w:shd w:val="clear" w:color="auto" w:fill="FFFFFF"/>
        </w:rPr>
        <w:t>Resource and time intensive:</w:t>
      </w:r>
      <w:r>
        <w:rPr>
          <w:rFonts w:cstheme="minorHAnsi"/>
          <w:shd w:val="clear" w:color="auto" w:fill="FFFFFF"/>
        </w:rPr>
        <w:t xml:space="preserve"> Release of the provider RFP in June 2023 and short-turn around requirements placed extensive resource and time constraints on providers. A few participants noted Te Whatu Ora provided limited clarity, communication and support around the RFP requirements.</w:t>
      </w:r>
    </w:p>
    <w:p w14:paraId="4FEBD2E0" w14:textId="77777777" w:rsidR="00CE3478" w:rsidRPr="008C60D1" w:rsidRDefault="00CE3478" w:rsidP="00AC64F9">
      <w:pPr>
        <w:pStyle w:val="Quotes"/>
        <w:spacing w:after="60"/>
        <w:ind w:left="426"/>
        <w:jc w:val="center"/>
      </w:pPr>
      <w:r w:rsidRPr="00F6771B">
        <w:drawing>
          <wp:inline distT="0" distB="0" distL="0" distR="0" wp14:anchorId="12802776" wp14:editId="77320AFA">
            <wp:extent cx="5124450" cy="743166"/>
            <wp:effectExtent l="0" t="0" r="0" b="0"/>
            <wp:docPr id="1613047516" name="Picture 1" descr="A quote in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47516" name="Picture 1" descr="A quote in red text"/>
                    <pic:cNvPicPr/>
                  </pic:nvPicPr>
                  <pic:blipFill>
                    <a:blip r:embed="rId53"/>
                    <a:stretch>
                      <a:fillRect/>
                    </a:stretch>
                  </pic:blipFill>
                  <pic:spPr>
                    <a:xfrm>
                      <a:off x="0" y="0"/>
                      <a:ext cx="5250418" cy="761434"/>
                    </a:xfrm>
                    <a:prstGeom prst="rect">
                      <a:avLst/>
                    </a:prstGeom>
                  </pic:spPr>
                </pic:pic>
              </a:graphicData>
            </a:graphic>
          </wp:inline>
        </w:drawing>
      </w:r>
    </w:p>
    <w:p w14:paraId="2505B8D0" w14:textId="77777777" w:rsidR="00CE3478" w:rsidRDefault="00CE3478" w:rsidP="00CE3478">
      <w:pPr>
        <w:pStyle w:val="Bulleted"/>
      </w:pPr>
      <w:r w:rsidRPr="00591F79">
        <w:rPr>
          <w:b/>
          <w:bCs/>
        </w:rPr>
        <w:t>Informed by agency representatives with limited gambling sector knowledge/engagement and relationships with providers:</w:t>
      </w:r>
      <w:r w:rsidRPr="007F2250">
        <w:t xml:space="preserve"> Notably, </w:t>
      </w:r>
      <w:r>
        <w:t>some</w:t>
      </w:r>
      <w:r w:rsidRPr="007F2250">
        <w:t xml:space="preserve"> participants highlighted that the gambling expertise, experience</w:t>
      </w:r>
      <w:r>
        <w:t>, institutional knowledge</w:t>
      </w:r>
      <w:r w:rsidRPr="007F2250">
        <w:t xml:space="preserve"> and provider relationships that sit within </w:t>
      </w:r>
      <w:r w:rsidRPr="008C60D1">
        <w:t xml:space="preserve">Manatū Hauora were critical but excluded from recent provider procurement processes and commissioning between late 2023-early 2024. </w:t>
      </w:r>
      <w:r>
        <w:t xml:space="preserve">This seemed to contradict the working relationship intended across three government agencies, especially given the important role that a small number of </w:t>
      </w:r>
      <w:r w:rsidRPr="008C60D1">
        <w:t xml:space="preserve">Manatū Hauora </w:t>
      </w:r>
      <w:r>
        <w:t xml:space="preserve">staff </w:t>
      </w:r>
      <w:r w:rsidRPr="00AD1151">
        <w:t>played in supporting new staff and management entering the minimising gambling harm space.</w:t>
      </w:r>
    </w:p>
    <w:p w14:paraId="12EC7EA7" w14:textId="72AC4BB5" w:rsidR="002B329B" w:rsidRPr="00AD1151" w:rsidRDefault="002B329B" w:rsidP="00F30975">
      <w:pPr>
        <w:ind w:left="426"/>
        <w:jc w:val="center"/>
      </w:pPr>
      <w:r w:rsidRPr="002B329B">
        <w:rPr>
          <w:noProof/>
        </w:rPr>
        <w:drawing>
          <wp:inline distT="0" distB="0" distL="0" distR="0" wp14:anchorId="56E16241" wp14:editId="198F70E9">
            <wp:extent cx="5408037" cy="839972"/>
            <wp:effectExtent l="0" t="0" r="2540" b="0"/>
            <wp:docPr id="163523248" name="Picture 1" descr="Two quotes in pur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3248" name="Picture 1" descr="Two quotes in purple text"/>
                    <pic:cNvPicPr/>
                  </pic:nvPicPr>
                  <pic:blipFill>
                    <a:blip r:embed="rId54"/>
                    <a:stretch>
                      <a:fillRect/>
                    </a:stretch>
                  </pic:blipFill>
                  <pic:spPr>
                    <a:xfrm>
                      <a:off x="0" y="0"/>
                      <a:ext cx="5450233" cy="846526"/>
                    </a:xfrm>
                    <a:prstGeom prst="rect">
                      <a:avLst/>
                    </a:prstGeom>
                  </pic:spPr>
                </pic:pic>
              </a:graphicData>
            </a:graphic>
          </wp:inline>
        </w:drawing>
      </w:r>
    </w:p>
    <w:p w14:paraId="12564AD0" w14:textId="77777777" w:rsidR="00CE3478" w:rsidRPr="008C60D1" w:rsidRDefault="00CE3478" w:rsidP="00CE3478">
      <w:pPr>
        <w:pStyle w:val="Bulleted"/>
      </w:pPr>
      <w:r w:rsidRPr="001E09F0">
        <w:rPr>
          <w:b/>
          <w:bCs/>
          <w:shd w:val="clear" w:color="auto" w:fill="FFFFFF"/>
        </w:rPr>
        <w:t>Limiting service options and increasing clinical risk:</w:t>
      </w:r>
      <w:r w:rsidRPr="001831E5">
        <w:rPr>
          <w:shd w:val="clear" w:color="auto" w:fill="FFFFFF"/>
        </w:rPr>
        <w:t xml:space="preserve"> Most </w:t>
      </w:r>
      <w:r>
        <w:rPr>
          <w:shd w:val="clear" w:color="auto" w:fill="FFFFFF"/>
        </w:rPr>
        <w:t xml:space="preserve">provider and gambling industry </w:t>
      </w:r>
      <w:r w:rsidRPr="001831E5">
        <w:rPr>
          <w:shd w:val="clear" w:color="auto" w:fill="FFFFFF"/>
        </w:rPr>
        <w:t xml:space="preserve">participants </w:t>
      </w:r>
      <w:r w:rsidRPr="001831E5">
        <w:rPr>
          <w:rFonts w:cstheme="minorHAnsi"/>
          <w:shd w:val="clear" w:color="auto" w:fill="FFFFFF"/>
        </w:rPr>
        <w:t xml:space="preserve">noted that </w:t>
      </w:r>
      <w:r w:rsidRPr="001831E5">
        <w:rPr>
          <w:shd w:val="clear" w:color="auto" w:fill="FFFFFF"/>
        </w:rPr>
        <w:t>the disestablishment of one long-standing national harmful gambling service provider:</w:t>
      </w:r>
    </w:p>
    <w:p w14:paraId="1380C769" w14:textId="77777777" w:rsidR="00CE3478" w:rsidRDefault="00CE3478" w:rsidP="00CE3478">
      <w:pPr>
        <w:pStyle w:val="Second-levelbullets"/>
        <w:spacing w:after="120"/>
      </w:pPr>
      <w:r w:rsidRPr="001E09F0">
        <w:rPr>
          <w:b/>
          <w:bCs/>
          <w:shd w:val="clear" w:color="auto" w:fill="FFFFFF"/>
        </w:rPr>
        <w:t>Reduced</w:t>
      </w:r>
      <w:r w:rsidRPr="001E09F0">
        <w:rPr>
          <w:b/>
          <w:bCs/>
        </w:rPr>
        <w:t xml:space="preserve"> service options, access and choice for potential harmful gamblers and whānau/families.</w:t>
      </w:r>
      <w:r>
        <w:t xml:space="preserve"> A few participants also noted concerns that the sole </w:t>
      </w:r>
      <w:r w:rsidRPr="005F0E34">
        <w:rPr>
          <w:rStyle w:val="QuotesChar"/>
          <w:sz w:val="22"/>
          <w:szCs w:val="22"/>
        </w:rPr>
        <w:t>mainstream</w:t>
      </w:r>
      <w:r w:rsidRPr="005F0E34">
        <w:rPr>
          <w:sz w:val="24"/>
          <w:szCs w:val="24"/>
        </w:rPr>
        <w:t xml:space="preserve"> </w:t>
      </w:r>
      <w:r>
        <w:t>national provider service moving forward does not provide a range of in-house wrap-</w:t>
      </w:r>
      <w:r>
        <w:lastRenderedPageBreak/>
        <w:t>around social and support services like those offered by the disestablished provider, and do not have on-site premises in many regions across Aotearoa New Zealand.</w:t>
      </w:r>
    </w:p>
    <w:p w14:paraId="4E6EC350" w14:textId="77777777" w:rsidR="00CE3478" w:rsidRPr="00086392" w:rsidRDefault="00CE3478" w:rsidP="00AC64F9">
      <w:pPr>
        <w:pStyle w:val="Quotes"/>
        <w:spacing w:after="0"/>
        <w:jc w:val="center"/>
        <w:rPr>
          <w:i w:val="0"/>
          <w:iCs/>
        </w:rPr>
      </w:pPr>
      <w:r w:rsidRPr="00F6771B">
        <w:rPr>
          <w:i w:val="0"/>
          <w:iCs/>
        </w:rPr>
        <w:drawing>
          <wp:inline distT="0" distB="0" distL="0" distR="0" wp14:anchorId="03AB018C" wp14:editId="54CC1E99">
            <wp:extent cx="5430014" cy="754168"/>
            <wp:effectExtent l="0" t="0" r="0" b="8255"/>
            <wp:docPr id="470909564" name="Picture 1" descr="Two quotes in pur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09564" name="Picture 1" descr="Two quotes in purple text"/>
                    <pic:cNvPicPr/>
                  </pic:nvPicPr>
                  <pic:blipFill>
                    <a:blip r:embed="rId55"/>
                    <a:stretch>
                      <a:fillRect/>
                    </a:stretch>
                  </pic:blipFill>
                  <pic:spPr>
                    <a:xfrm>
                      <a:off x="0" y="0"/>
                      <a:ext cx="5496925" cy="763461"/>
                    </a:xfrm>
                    <a:prstGeom prst="rect">
                      <a:avLst/>
                    </a:prstGeom>
                  </pic:spPr>
                </pic:pic>
              </a:graphicData>
            </a:graphic>
          </wp:inline>
        </w:drawing>
      </w:r>
    </w:p>
    <w:p w14:paraId="0A47A86F" w14:textId="77777777" w:rsidR="00CE3478" w:rsidRDefault="00CE3478" w:rsidP="00CE3478">
      <w:pPr>
        <w:pStyle w:val="Second-levelbullets"/>
      </w:pPr>
      <w:r w:rsidRPr="001E09F0">
        <w:rPr>
          <w:b/>
          <w:bCs/>
        </w:rPr>
        <w:t>Was not well managed.</w:t>
      </w:r>
      <w:r>
        <w:t xml:space="preserve"> As described by a small number of participants, processes were unrealistic and disrespectful of the gambling specialist expertise within this service and relationships held across the gambling sector with government agencies, providers and industry. A few pa</w:t>
      </w:r>
      <w:r w:rsidRPr="00DC5A6E">
        <w:t xml:space="preserve">rticipants noted that the </w:t>
      </w:r>
      <w:r>
        <w:t xml:space="preserve">proposed </w:t>
      </w:r>
      <w:r w:rsidRPr="00DC5A6E">
        <w:t>process and timing to dissolve this service</w:t>
      </w:r>
      <w:r>
        <w:t xml:space="preserve"> by end-December 2023 and notification two-months prior:</w:t>
      </w:r>
    </w:p>
    <w:p w14:paraId="7A157207" w14:textId="77777777" w:rsidR="00CE3478" w:rsidRDefault="00CE3478" w:rsidP="00CE3478">
      <w:pPr>
        <w:pStyle w:val="Second-levelbullets"/>
        <w:numPr>
          <w:ilvl w:val="2"/>
          <w:numId w:val="8"/>
        </w:numPr>
      </w:pPr>
      <w:r>
        <w:t>Enhanced staff pressures and anxiety about future employment options just before Christmas</w:t>
      </w:r>
    </w:p>
    <w:p w14:paraId="23C4703B" w14:textId="77777777" w:rsidR="00CE3478" w:rsidRDefault="00CE3478" w:rsidP="00CE3478">
      <w:pPr>
        <w:pStyle w:val="Second-levelbullets"/>
        <w:numPr>
          <w:ilvl w:val="2"/>
          <w:numId w:val="8"/>
        </w:numPr>
      </w:pPr>
      <w:r w:rsidRPr="00DC5A6E">
        <w:t>Increased potential clinical risks due to the loss of a specialist workforce within this provider setting (in addition to limited workforce capacity challenges across the health sector).</w:t>
      </w:r>
      <w:r>
        <w:t xml:space="preserve"> Participants also perceived a lack of regard about the transition of current clients receiving support from this provider as a critical risk.</w:t>
      </w:r>
    </w:p>
    <w:p w14:paraId="7964EC3A" w14:textId="2B194048" w:rsidR="007118F2" w:rsidRDefault="007118F2" w:rsidP="00CE3478">
      <w:pPr>
        <w:pStyle w:val="Heading6"/>
        <w:rPr>
          <w:lang w:val="en-US"/>
        </w:rPr>
      </w:pPr>
      <w:bookmarkStart w:id="225" w:name="_Toc166507416"/>
      <w:r>
        <w:rPr>
          <w:lang w:val="en-US"/>
        </w:rPr>
        <w:t>Participants’ perce</w:t>
      </w:r>
      <w:r w:rsidR="00B91D6C">
        <w:rPr>
          <w:lang w:val="en-US"/>
        </w:rPr>
        <w:t xml:space="preserve">ptions of </w:t>
      </w:r>
      <w:r>
        <w:rPr>
          <w:lang w:val="en-US"/>
        </w:rPr>
        <w:t>sector needs</w:t>
      </w:r>
      <w:bookmarkEnd w:id="225"/>
    </w:p>
    <w:p w14:paraId="3A4683B1" w14:textId="3AAF7C01" w:rsidR="00CE3478" w:rsidRDefault="00CE3478" w:rsidP="00CE3478">
      <w:pPr>
        <w:rPr>
          <w:lang w:val="en-US"/>
        </w:rPr>
      </w:pPr>
      <w:r w:rsidRPr="007118F2">
        <w:rPr>
          <w:b/>
          <w:bCs/>
          <w:lang w:val="en-US"/>
        </w:rPr>
        <w:t>All participants noted that the gambling harm sector needs a well-functioning system</w:t>
      </w:r>
      <w:r w:rsidR="007118F2">
        <w:rPr>
          <w:b/>
          <w:bCs/>
          <w:lang w:val="en-US"/>
        </w:rPr>
        <w:t xml:space="preserve">: </w:t>
      </w:r>
      <w:r>
        <w:rPr>
          <w:lang w:val="en-US"/>
        </w:rPr>
        <w:t xml:space="preserve">All participants were observably in a state of change and disruption at the time of interviewing – while it was noted that change can provide an opportunity to re-set, most participants emphasised that change must be supported by a well-functioning, communicative and co-ordinated system. </w:t>
      </w:r>
    </w:p>
    <w:p w14:paraId="3E36E887" w14:textId="77777777" w:rsidR="00CE3478" w:rsidRDefault="00CE3478" w:rsidP="00CE3478">
      <w:pPr>
        <w:pStyle w:val="Quotes"/>
        <w:jc w:val="center"/>
        <w:rPr>
          <w:lang w:val="en-US"/>
        </w:rPr>
      </w:pPr>
      <w:r w:rsidRPr="00F6771B">
        <w:rPr>
          <w:lang w:val="en-US"/>
        </w:rPr>
        <w:drawing>
          <wp:inline distT="0" distB="0" distL="0" distR="0" wp14:anchorId="588EF85E" wp14:editId="044AD51B">
            <wp:extent cx="3202838" cy="1014232"/>
            <wp:effectExtent l="0" t="0" r="0" b="0"/>
            <wp:docPr id="1492486186" name="Picture 1" descr="A red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86186" name="Picture 1" descr="A red background with white text"/>
                    <pic:cNvPicPr/>
                  </pic:nvPicPr>
                  <pic:blipFill>
                    <a:blip r:embed="rId56"/>
                    <a:stretch>
                      <a:fillRect/>
                    </a:stretch>
                  </pic:blipFill>
                  <pic:spPr>
                    <a:xfrm>
                      <a:off x="0" y="0"/>
                      <a:ext cx="3211335" cy="1016923"/>
                    </a:xfrm>
                    <a:prstGeom prst="rect">
                      <a:avLst/>
                    </a:prstGeom>
                  </pic:spPr>
                </pic:pic>
              </a:graphicData>
            </a:graphic>
          </wp:inline>
        </w:drawing>
      </w:r>
    </w:p>
    <w:p w14:paraId="5B836AF8" w14:textId="77777777" w:rsidR="00CE3478" w:rsidRPr="007B3C87" w:rsidRDefault="00CE3478" w:rsidP="00CE3478">
      <w:pPr>
        <w:rPr>
          <w:lang w:val="en-US"/>
        </w:rPr>
      </w:pPr>
      <w:r w:rsidRPr="00D55A87">
        <w:rPr>
          <w:lang w:val="en-US"/>
        </w:rPr>
        <w:t xml:space="preserve"> </w:t>
      </w:r>
      <w:r>
        <w:rPr>
          <w:lang w:val="en-US"/>
        </w:rPr>
        <w:t>Some participants specifically noted a need for:</w:t>
      </w:r>
    </w:p>
    <w:p w14:paraId="5BAB8375" w14:textId="77777777" w:rsidR="00CE3478" w:rsidRPr="00E03F98" w:rsidRDefault="00CE3478" w:rsidP="00CE3478">
      <w:pPr>
        <w:pStyle w:val="Bulleted"/>
        <w:rPr>
          <w:rFonts w:eastAsiaTheme="minorHAnsi"/>
          <w:color w:val="auto"/>
          <w:lang w:val="en-US" w:eastAsia="en-US"/>
        </w:rPr>
      </w:pPr>
      <w:r w:rsidRPr="00086392">
        <w:rPr>
          <w:b/>
          <w:bCs/>
          <w:lang w:val="en-US"/>
        </w:rPr>
        <w:t>Improved co-ordination across government agencies:</w:t>
      </w:r>
      <w:r>
        <w:rPr>
          <w:lang w:val="en-US"/>
        </w:rPr>
        <w:t xml:space="preserve"> Participants acknowledged the need to allow adequate time/consideration, and cross-agency collaboration lead by  </w:t>
      </w:r>
      <w:r w:rsidRPr="00D12259">
        <w:rPr>
          <w:shd w:val="clear" w:color="auto" w:fill="FFFFFF"/>
        </w:rPr>
        <w:t>Manatū Hauora</w:t>
      </w:r>
      <w:r>
        <w:rPr>
          <w:shd w:val="clear" w:color="auto" w:fill="FFFFFF"/>
        </w:rPr>
        <w:t xml:space="preserve"> to transition systems (especially data and monitoring systems) and knowledge across Te Whatu Ora and Te Aka Whai Ora. Most participants also emphasised increased provider challenges and pressures resulting from all three government agencies undertaking major commissioning processes simultaneously and/or in close succession – many highlighted a </w:t>
      </w:r>
      <w:r>
        <w:rPr>
          <w:shd w:val="clear" w:color="auto" w:fill="FFFFFF"/>
        </w:rPr>
        <w:lastRenderedPageBreak/>
        <w:t xml:space="preserve">need for representation from each of the three agencies on current and future Te Whatu Ora provider procurement panels (similar to how the 2023 Research RFP process was conducted and lead by </w:t>
      </w:r>
      <w:r w:rsidRPr="00D12259">
        <w:rPr>
          <w:shd w:val="clear" w:color="auto" w:fill="FFFFFF"/>
        </w:rPr>
        <w:t>Manatū Hauora</w:t>
      </w:r>
      <w:r>
        <w:rPr>
          <w:shd w:val="clear" w:color="auto" w:fill="FFFFFF"/>
        </w:rPr>
        <w:t>).</w:t>
      </w:r>
    </w:p>
    <w:p w14:paraId="2A94DEFF" w14:textId="0B779DE6" w:rsidR="00AC64F9" w:rsidRPr="007156C7" w:rsidRDefault="00AC64F9" w:rsidP="00AC64F9">
      <w:pPr>
        <w:ind w:left="567"/>
        <w:jc w:val="center"/>
        <w:rPr>
          <w:lang w:val="en-US"/>
        </w:rPr>
      </w:pPr>
      <w:r w:rsidRPr="00AC64F9">
        <w:rPr>
          <w:noProof/>
          <w:lang w:val="en-US"/>
        </w:rPr>
        <w:drawing>
          <wp:inline distT="0" distB="0" distL="0" distR="0" wp14:anchorId="06F1457E" wp14:editId="73C3DAD0">
            <wp:extent cx="5316484" cy="1362075"/>
            <wp:effectExtent l="0" t="0" r="0" b="0"/>
            <wp:docPr id="1363744040" name="Picture 1" descr="Two quotes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44040" name="Picture 1" descr="Two quotes in blue text"/>
                    <pic:cNvPicPr/>
                  </pic:nvPicPr>
                  <pic:blipFill>
                    <a:blip r:embed="rId57"/>
                    <a:stretch>
                      <a:fillRect/>
                    </a:stretch>
                  </pic:blipFill>
                  <pic:spPr>
                    <a:xfrm>
                      <a:off x="0" y="0"/>
                      <a:ext cx="5330132" cy="1365572"/>
                    </a:xfrm>
                    <a:prstGeom prst="rect">
                      <a:avLst/>
                    </a:prstGeom>
                  </pic:spPr>
                </pic:pic>
              </a:graphicData>
            </a:graphic>
          </wp:inline>
        </w:drawing>
      </w:r>
    </w:p>
    <w:p w14:paraId="529F8222" w14:textId="77777777" w:rsidR="00CE3478" w:rsidRDefault="00CE3478" w:rsidP="00CE3478">
      <w:pPr>
        <w:pStyle w:val="Bulleted"/>
        <w:rPr>
          <w:lang w:val="en-US"/>
        </w:rPr>
      </w:pPr>
      <w:r w:rsidRPr="00474435">
        <w:rPr>
          <w:b/>
          <w:bCs/>
          <w:lang w:val="en-US"/>
        </w:rPr>
        <w:t xml:space="preserve">Strong relationships, co-ordination and connection across the sector: </w:t>
      </w:r>
      <w:r w:rsidRPr="00866C59">
        <w:rPr>
          <w:lang w:val="en-US"/>
        </w:rPr>
        <w:t xml:space="preserve">Most participants (agency, providers and industry) </w:t>
      </w:r>
      <w:r>
        <w:rPr>
          <w:lang w:val="en-US"/>
        </w:rPr>
        <w:t xml:space="preserve">commonly </w:t>
      </w:r>
      <w:r w:rsidRPr="00866C59">
        <w:rPr>
          <w:lang w:val="en-US"/>
        </w:rPr>
        <w:t>expressed a sense of</w:t>
      </w:r>
      <w:r>
        <w:rPr>
          <w:lang w:val="en-US"/>
        </w:rPr>
        <w:t xml:space="preserve"> </w:t>
      </w:r>
      <w:r w:rsidRPr="00866C59">
        <w:rPr>
          <w:lang w:val="en-US"/>
        </w:rPr>
        <w:t xml:space="preserve">loss </w:t>
      </w:r>
      <w:r>
        <w:rPr>
          <w:lang w:val="en-US"/>
        </w:rPr>
        <w:t xml:space="preserve">for the gambling harm provider sector </w:t>
      </w:r>
      <w:r w:rsidRPr="00866C59">
        <w:rPr>
          <w:lang w:val="en-US"/>
        </w:rPr>
        <w:t>as a result of recent provider procurement.</w:t>
      </w:r>
      <w:r>
        <w:rPr>
          <w:lang w:val="en-US"/>
        </w:rPr>
        <w:t xml:space="preserve"> A small number of participants noted that the management of this process exemplified relationships across the sector had moved backwards – </w:t>
      </w:r>
      <w:r w:rsidRPr="00D55A87">
        <w:rPr>
          <w:rStyle w:val="QuotesChar"/>
          <w:sz w:val="22"/>
          <w:szCs w:val="22"/>
        </w:rPr>
        <w:t>to the 1990’s</w:t>
      </w:r>
      <w:r w:rsidRPr="00D55A87">
        <w:rPr>
          <w:sz w:val="24"/>
          <w:szCs w:val="24"/>
          <w:lang w:val="en-US"/>
        </w:rPr>
        <w:t xml:space="preserve"> </w:t>
      </w:r>
      <w:r>
        <w:rPr>
          <w:lang w:val="en-US"/>
        </w:rPr>
        <w:t xml:space="preserve">- and emphasised an urgent need to re-establish stronger sectoral relationships. </w:t>
      </w:r>
    </w:p>
    <w:p w14:paraId="4C503A94" w14:textId="6D0EB1FF" w:rsidR="00CE3478" w:rsidRDefault="00CE3478" w:rsidP="00CE3478">
      <w:pPr>
        <w:spacing w:before="120"/>
        <w:ind w:left="720"/>
        <w:rPr>
          <w:lang w:val="en-US"/>
        </w:rPr>
      </w:pPr>
      <w:r>
        <w:rPr>
          <w:lang w:val="en-US"/>
        </w:rPr>
        <w:t>Some participants also considered the gambling industry a critical relationship partner to ensure efficient and effective systems and seamless transitions for harmful gamblers from venues to support services</w:t>
      </w:r>
      <w:r w:rsidRPr="003D12F3">
        <w:rPr>
          <w:lang w:val="en-US"/>
        </w:rPr>
        <w:t>.</w:t>
      </w:r>
      <w:r>
        <w:rPr>
          <w:lang w:val="en-US"/>
        </w:rPr>
        <w:t xml:space="preserve"> However, participants from both the provider and industry sectors expressed </w:t>
      </w:r>
      <w:r w:rsidR="008139E4">
        <w:rPr>
          <w:lang w:val="en-US"/>
        </w:rPr>
        <w:t xml:space="preserve">mixed views </w:t>
      </w:r>
      <w:r>
        <w:rPr>
          <w:lang w:val="en-US"/>
        </w:rPr>
        <w:t xml:space="preserve">about the reality of establishing </w:t>
      </w:r>
      <w:r w:rsidR="008139E4">
        <w:rPr>
          <w:lang w:val="en-US"/>
        </w:rPr>
        <w:t>genuine</w:t>
      </w:r>
      <w:r>
        <w:rPr>
          <w:lang w:val="en-US"/>
        </w:rPr>
        <w:t xml:space="preserve"> relationships and </w:t>
      </w:r>
      <w:r w:rsidR="008139E4">
        <w:rPr>
          <w:lang w:val="en-US"/>
        </w:rPr>
        <w:t xml:space="preserve">some </w:t>
      </w:r>
      <w:r>
        <w:rPr>
          <w:lang w:val="en-US"/>
        </w:rPr>
        <w:t xml:space="preserve">described aspirations for such as superficial </w:t>
      </w:r>
      <w:r w:rsidRPr="00CD180F">
        <w:rPr>
          <w:rStyle w:val="QuotesChar"/>
          <w:rFonts w:eastAsiaTheme="minorHAnsi"/>
        </w:rPr>
        <w:t>lip service</w:t>
      </w:r>
      <w:r>
        <w:rPr>
          <w:lang w:val="en-US"/>
        </w:rPr>
        <w:t xml:space="preserve"> with little commitment or follow-through. </w:t>
      </w:r>
    </w:p>
    <w:p w14:paraId="3CE40CA4" w14:textId="77777777" w:rsidR="00CE3478" w:rsidRDefault="00CE3478" w:rsidP="00CE3478">
      <w:pPr>
        <w:ind w:left="720"/>
        <w:rPr>
          <w:lang w:val="en-US"/>
        </w:rPr>
      </w:pPr>
      <w:r>
        <w:rPr>
          <w:lang w:val="en-US"/>
        </w:rPr>
        <w:t xml:space="preserve">Others described a close working relationship between the sector [casinos] and recently disestablished provider and were unsure about the reality/feasibility of this model in future. Industry lead liaison groups and other forums inclusive of all gambling stakeholders were described as providing an opportunity to improve relationships and communications between the gambling industry and service providers. However, participants expressed mixed views about the purpose and efficiency of these groups, and commitment varied across the country. </w:t>
      </w:r>
    </w:p>
    <w:p w14:paraId="5FC38BFD" w14:textId="308325CE" w:rsidR="00B633F5" w:rsidRDefault="007E3533" w:rsidP="007E3533">
      <w:pPr>
        <w:ind w:left="567"/>
        <w:jc w:val="center"/>
        <w:rPr>
          <w:lang w:val="en-US"/>
        </w:rPr>
      </w:pPr>
      <w:r w:rsidRPr="007E3533">
        <w:rPr>
          <w:noProof/>
          <w:lang w:val="en-US"/>
        </w:rPr>
        <w:lastRenderedPageBreak/>
        <w:drawing>
          <wp:inline distT="0" distB="0" distL="0" distR="0" wp14:anchorId="324E0FD3" wp14:editId="32E36BF0">
            <wp:extent cx="5077861" cy="1555844"/>
            <wp:effectExtent l="0" t="0" r="8890" b="6350"/>
            <wp:docPr id="1565368475" name="Picture 1" descr="A white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68475" name="Picture 1" descr="A white text on a white background"/>
                    <pic:cNvPicPr/>
                  </pic:nvPicPr>
                  <pic:blipFill>
                    <a:blip r:embed="rId58"/>
                    <a:stretch>
                      <a:fillRect/>
                    </a:stretch>
                  </pic:blipFill>
                  <pic:spPr>
                    <a:xfrm>
                      <a:off x="0" y="0"/>
                      <a:ext cx="5116018" cy="1567535"/>
                    </a:xfrm>
                    <a:prstGeom prst="rect">
                      <a:avLst/>
                    </a:prstGeom>
                  </pic:spPr>
                </pic:pic>
              </a:graphicData>
            </a:graphic>
          </wp:inline>
        </w:drawing>
      </w:r>
    </w:p>
    <w:p w14:paraId="3B47F0FC" w14:textId="5028AA6B" w:rsidR="008139E4" w:rsidRDefault="007E3533" w:rsidP="007E3533">
      <w:pPr>
        <w:spacing w:after="0"/>
        <w:jc w:val="center"/>
        <w:rPr>
          <w:lang w:val="en-US"/>
        </w:rPr>
      </w:pPr>
      <w:r w:rsidRPr="007E3533">
        <w:rPr>
          <w:noProof/>
          <w:lang w:val="en-US"/>
        </w:rPr>
        <w:drawing>
          <wp:inline distT="0" distB="0" distL="0" distR="0" wp14:anchorId="431EB62B" wp14:editId="4BDEC5E3">
            <wp:extent cx="5008729" cy="1109316"/>
            <wp:effectExtent l="0" t="0" r="1905" b="0"/>
            <wp:docPr id="385997909" name="Picture 1" descr="Two quotes in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97909" name="Picture 1" descr="Two quotes in red text"/>
                    <pic:cNvPicPr/>
                  </pic:nvPicPr>
                  <pic:blipFill>
                    <a:blip r:embed="rId59"/>
                    <a:stretch>
                      <a:fillRect/>
                    </a:stretch>
                  </pic:blipFill>
                  <pic:spPr>
                    <a:xfrm>
                      <a:off x="0" y="0"/>
                      <a:ext cx="5073403" cy="1123640"/>
                    </a:xfrm>
                    <a:prstGeom prst="rect">
                      <a:avLst/>
                    </a:prstGeom>
                  </pic:spPr>
                </pic:pic>
              </a:graphicData>
            </a:graphic>
          </wp:inline>
        </w:drawing>
      </w:r>
    </w:p>
    <w:p w14:paraId="27E3877D" w14:textId="77777777" w:rsidR="00CE3478" w:rsidRDefault="00CE3478" w:rsidP="00CE3478">
      <w:pPr>
        <w:pStyle w:val="Bulleted"/>
        <w:rPr>
          <w:lang w:val="en-US"/>
        </w:rPr>
      </w:pPr>
      <w:r>
        <w:rPr>
          <w:lang w:val="en-US"/>
        </w:rPr>
        <w:tab/>
      </w:r>
      <w:r w:rsidRPr="00E03F98">
        <w:rPr>
          <w:b/>
          <w:bCs/>
          <w:lang w:val="en-US"/>
        </w:rPr>
        <w:t>Strong communications across the sector:</w:t>
      </w:r>
      <w:r>
        <w:rPr>
          <w:lang w:val="en-US"/>
        </w:rPr>
        <w:t xml:space="preserve"> A</w:t>
      </w:r>
      <w:r w:rsidRPr="00866C59">
        <w:rPr>
          <w:lang w:val="en-US"/>
        </w:rPr>
        <w:t>s above, some participants expressed a lack of communication and clarity from government agencies across the sector – a critical factor given the state of flux and health and gambling sector reforms all stakeholders were experiencing at the time of interviewing.</w:t>
      </w:r>
      <w:r>
        <w:rPr>
          <w:lang w:val="en-US"/>
        </w:rPr>
        <w:t xml:space="preserve"> A small number of participants also noted a critical need to provide clear public communications and messaging for those who may be aware of and/or impacted by sector changes.</w:t>
      </w:r>
    </w:p>
    <w:p w14:paraId="2AD9E2DD" w14:textId="106E2F69" w:rsidR="002B329B" w:rsidRDefault="002B329B" w:rsidP="00AC64F9">
      <w:pPr>
        <w:pStyle w:val="Bulleted"/>
        <w:numPr>
          <w:ilvl w:val="0"/>
          <w:numId w:val="0"/>
        </w:numPr>
        <w:ind w:left="993" w:hanging="357"/>
        <w:rPr>
          <w:lang w:val="en-US"/>
        </w:rPr>
      </w:pPr>
      <w:r w:rsidRPr="002B329B">
        <w:rPr>
          <w:noProof/>
          <w:lang w:val="en-US"/>
        </w:rPr>
        <w:drawing>
          <wp:inline distT="0" distB="0" distL="0" distR="0" wp14:anchorId="6E1D7EF2" wp14:editId="1D8AC4BC">
            <wp:extent cx="5257287" cy="903768"/>
            <wp:effectExtent l="0" t="0" r="635" b="0"/>
            <wp:docPr id="1699736473" name="Picture 1" descr="Two quotes in dark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36473" name="Picture 1" descr="Two quotes in dark red text"/>
                    <pic:cNvPicPr/>
                  </pic:nvPicPr>
                  <pic:blipFill>
                    <a:blip r:embed="rId60"/>
                    <a:stretch>
                      <a:fillRect/>
                    </a:stretch>
                  </pic:blipFill>
                  <pic:spPr>
                    <a:xfrm>
                      <a:off x="0" y="0"/>
                      <a:ext cx="5309685" cy="912776"/>
                    </a:xfrm>
                    <a:prstGeom prst="rect">
                      <a:avLst/>
                    </a:prstGeom>
                  </pic:spPr>
                </pic:pic>
              </a:graphicData>
            </a:graphic>
          </wp:inline>
        </w:drawing>
      </w:r>
    </w:p>
    <w:p w14:paraId="2B090868" w14:textId="77777777" w:rsidR="00CE3478" w:rsidRDefault="00CE3478" w:rsidP="00CE3478">
      <w:pPr>
        <w:pStyle w:val="Bulleted"/>
        <w:rPr>
          <w:lang w:val="en-US"/>
        </w:rPr>
      </w:pPr>
      <w:r w:rsidRPr="00933932">
        <w:rPr>
          <w:b/>
          <w:bCs/>
          <w:lang w:val="en-US"/>
        </w:rPr>
        <w:t xml:space="preserve">Efficient data and monitoring systems: </w:t>
      </w:r>
      <w:r>
        <w:rPr>
          <w:lang w:val="en-US"/>
        </w:rPr>
        <w:t>Some participants highlighted a need for a data collection and monitoring system that enables shared and timely access to data across three separate agencies with different but ideally complementary roles and responsibilities.</w:t>
      </w:r>
    </w:p>
    <w:p w14:paraId="35A3D7C9" w14:textId="6055A004" w:rsidR="00AC64F9" w:rsidRDefault="00AC64F9" w:rsidP="00AC64F9">
      <w:pPr>
        <w:ind w:left="709"/>
        <w:rPr>
          <w:lang w:val="en-US"/>
        </w:rPr>
      </w:pPr>
      <w:r w:rsidRPr="00AC64F9">
        <w:rPr>
          <w:noProof/>
          <w:lang w:val="en-US"/>
        </w:rPr>
        <w:drawing>
          <wp:inline distT="0" distB="0" distL="0" distR="0" wp14:anchorId="4FE89EC1" wp14:editId="2CEA9081">
            <wp:extent cx="5276850" cy="909802"/>
            <wp:effectExtent l="0" t="0" r="0" b="5080"/>
            <wp:docPr id="428737442" name="Picture 1" descr="A quote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37442" name="Picture 1" descr="A quote in blue text"/>
                    <pic:cNvPicPr/>
                  </pic:nvPicPr>
                  <pic:blipFill>
                    <a:blip r:embed="rId61"/>
                    <a:stretch>
                      <a:fillRect/>
                    </a:stretch>
                  </pic:blipFill>
                  <pic:spPr>
                    <a:xfrm>
                      <a:off x="0" y="0"/>
                      <a:ext cx="5316241" cy="916594"/>
                    </a:xfrm>
                    <a:prstGeom prst="rect">
                      <a:avLst/>
                    </a:prstGeom>
                  </pic:spPr>
                </pic:pic>
              </a:graphicData>
            </a:graphic>
          </wp:inline>
        </w:drawing>
      </w:r>
    </w:p>
    <w:p w14:paraId="17689DAA" w14:textId="77777777" w:rsidR="00CE3478" w:rsidRPr="00235599" w:rsidRDefault="00CE3478" w:rsidP="00CE3478">
      <w:pPr>
        <w:pStyle w:val="Bulleted"/>
        <w:ind w:left="720"/>
      </w:pPr>
      <w:r w:rsidRPr="00933932">
        <w:rPr>
          <w:b/>
          <w:bCs/>
        </w:rPr>
        <w:t>A system that genuinely values and integrates lived experience into all aspects of gambling sector service development and delivery:</w:t>
      </w:r>
      <w:r w:rsidRPr="5192E535">
        <w:t xml:space="preserve"> Some participants noted involvement and inclusiveness of lived experience representation in some aspects of sector initiatives and design, and/or partial involvement in critical processes. Partial and/or selective inclusion was not perceived to reflect or value the voice of lived experience.  </w:t>
      </w:r>
    </w:p>
    <w:p w14:paraId="2375406D" w14:textId="77777777" w:rsidR="00CE3478" w:rsidRDefault="00CE3478" w:rsidP="00CE3478">
      <w:pPr>
        <w:ind w:left="720"/>
        <w:rPr>
          <w:lang w:val="en-US"/>
        </w:rPr>
      </w:pPr>
      <w:r>
        <w:rPr>
          <w:lang w:val="en-US"/>
        </w:rPr>
        <w:lastRenderedPageBreak/>
        <w:t>Almost all lived experience participants acknowledged the government’s rhetoric and verbal commitments for inclusiveness but considered this inauthentic since lived experience advice was not necessarily actioned. Lived experience advisors were also described as often receiving limited notification of hui and prior access to necessary information. Limited follow-up and/or notification of decision-making and outcomes after consultation was considered</w:t>
      </w:r>
      <w:r w:rsidRPr="00751AD9">
        <w:rPr>
          <w:lang w:val="en-US"/>
        </w:rPr>
        <w:t xml:space="preserve"> </w:t>
      </w:r>
      <w:r w:rsidRPr="00751AD9">
        <w:rPr>
          <w:rStyle w:val="QuotesChar"/>
          <w:rFonts w:eastAsiaTheme="minorHAnsi"/>
        </w:rPr>
        <w:t>tokenistic</w:t>
      </w:r>
      <w:r w:rsidRPr="00751AD9">
        <w:rPr>
          <w:lang w:val="en-US"/>
        </w:rPr>
        <w:t xml:space="preserve"> and </w:t>
      </w:r>
      <w:r w:rsidRPr="00751AD9">
        <w:rPr>
          <w:rStyle w:val="QuotesChar"/>
          <w:rFonts w:eastAsiaTheme="minorHAnsi"/>
        </w:rPr>
        <w:t>tick-box.</w:t>
      </w:r>
    </w:p>
    <w:p w14:paraId="1ADE94AC" w14:textId="7C07F85B" w:rsidR="00FF3ED1" w:rsidRPr="003C41FE" w:rsidRDefault="00FF3ED1" w:rsidP="00CE3478">
      <w:pPr>
        <w:pStyle w:val="Quotes"/>
        <w:ind w:left="720"/>
        <w:jc w:val="center"/>
      </w:pPr>
      <w:r w:rsidRPr="00FF3ED1">
        <w:drawing>
          <wp:inline distT="0" distB="0" distL="0" distR="0" wp14:anchorId="58CFBA8C" wp14:editId="02BDCBB2">
            <wp:extent cx="3562350" cy="2914648"/>
            <wp:effectExtent l="0" t="0" r="0" b="635"/>
            <wp:docPr id="943509302" name="Picture 1" descr="Three quotes in white text on a grey/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09302" name="Picture 1" descr="Three quotes in white text on a grey/blue background"/>
                    <pic:cNvPicPr/>
                  </pic:nvPicPr>
                  <pic:blipFill>
                    <a:blip r:embed="rId62"/>
                    <a:stretch>
                      <a:fillRect/>
                    </a:stretch>
                  </pic:blipFill>
                  <pic:spPr>
                    <a:xfrm>
                      <a:off x="0" y="0"/>
                      <a:ext cx="3574757" cy="2924799"/>
                    </a:xfrm>
                    <a:prstGeom prst="rect">
                      <a:avLst/>
                    </a:prstGeom>
                  </pic:spPr>
                </pic:pic>
              </a:graphicData>
            </a:graphic>
          </wp:inline>
        </w:drawing>
      </w:r>
    </w:p>
    <w:p w14:paraId="6E12AF1C" w14:textId="77777777" w:rsidR="00CE3478" w:rsidRDefault="00CE3478" w:rsidP="00CE3478">
      <w:pPr>
        <w:pStyle w:val="Bulleted"/>
        <w:rPr>
          <w:lang w:val="en-US"/>
        </w:rPr>
      </w:pPr>
      <w:r w:rsidRPr="00933932">
        <w:rPr>
          <w:b/>
          <w:bCs/>
          <w:lang w:val="en-US"/>
        </w:rPr>
        <w:t>Clear and transparent funding:</w:t>
      </w:r>
      <w:r w:rsidRPr="00566DF1">
        <w:rPr>
          <w:lang w:val="en-US"/>
        </w:rPr>
        <w:t xml:space="preserve"> Some participants noted concerns about a reduced clinical workforce and whether funds previously allocated to the now disestablished provider would/could be re-allocated to optimise specialist clinical workforce capacity. Transparency of levy funds and expenditure was considered a critical need.</w:t>
      </w:r>
    </w:p>
    <w:p w14:paraId="5DD4C659" w14:textId="77777777" w:rsidR="00CE3478" w:rsidRDefault="00CE3478" w:rsidP="00CE3478">
      <w:pPr>
        <w:spacing w:before="60"/>
        <w:ind w:left="720"/>
      </w:pPr>
      <w:r>
        <w:rPr>
          <w:lang w:val="en-US"/>
        </w:rPr>
        <w:t>The</w:t>
      </w:r>
      <w:r w:rsidRPr="004D46D5">
        <w:rPr>
          <w:lang w:val="en-US"/>
        </w:rPr>
        <w:t xml:space="preserve"> underutilisation of ear-marked gambling research funds since 2020</w:t>
      </w:r>
      <w:r>
        <w:rPr>
          <w:lang w:val="en-US"/>
        </w:rPr>
        <w:t xml:space="preserve"> was also queried - …</w:t>
      </w:r>
      <w:r w:rsidRPr="00C958C6">
        <w:rPr>
          <w:rStyle w:val="QuotesChar"/>
          <w:rFonts w:eastAsiaTheme="minorHAnsi"/>
          <w:sz w:val="22"/>
          <w:szCs w:val="22"/>
          <w:lang w:val="en-US"/>
        </w:rPr>
        <w:t>two years with no new research funding</w:t>
      </w:r>
      <w:r>
        <w:rPr>
          <w:rStyle w:val="QuotesChar"/>
          <w:rFonts w:eastAsiaTheme="minorHAnsi"/>
          <w:sz w:val="22"/>
          <w:szCs w:val="22"/>
          <w:lang w:val="en-US"/>
        </w:rPr>
        <w:t>?</w:t>
      </w:r>
      <w:r w:rsidRPr="00C958C6">
        <w:rPr>
          <w:rStyle w:val="QuotesChar"/>
          <w:rFonts w:eastAsiaTheme="minorHAnsi"/>
          <w:sz w:val="22"/>
          <w:szCs w:val="22"/>
        </w:rPr>
        <w:t xml:space="preserve"> (Provider 1/3)</w:t>
      </w:r>
      <w:r w:rsidRPr="004D46D5">
        <w:rPr>
          <w:lang w:val="en-US"/>
        </w:rPr>
        <w:t xml:space="preserve">. However, as </w:t>
      </w:r>
      <w:r>
        <w:rPr>
          <w:lang w:val="en-US"/>
        </w:rPr>
        <w:t>data collection was underway</w:t>
      </w:r>
      <w:r w:rsidRPr="004D46D5">
        <w:rPr>
          <w:lang w:val="en-US"/>
        </w:rPr>
        <w:t>, a gambling research RFP was released</w:t>
      </w:r>
      <w:r>
        <w:rPr>
          <w:lang w:val="en-US"/>
        </w:rPr>
        <w:t xml:space="preserve"> in December 2023</w:t>
      </w:r>
      <w:r w:rsidRPr="004D46D5">
        <w:rPr>
          <w:lang w:val="en-US"/>
        </w:rPr>
        <w:t xml:space="preserve">. </w:t>
      </w:r>
      <w:r>
        <w:t>It is important to recognise that one FTE within the Ministry oversees the research function and budget – without accessible procurement support the capacity of this role and future required commissioning is limited. It may be important to consider adequate support for this role.</w:t>
      </w:r>
    </w:p>
    <w:p w14:paraId="5E2D2B7D" w14:textId="17E10B6E" w:rsidR="002B329B" w:rsidRDefault="002B329B" w:rsidP="002B329B">
      <w:pPr>
        <w:tabs>
          <w:tab w:val="left" w:pos="851"/>
        </w:tabs>
        <w:spacing w:before="60"/>
        <w:ind w:left="426"/>
      </w:pPr>
      <w:r w:rsidRPr="002B329B">
        <w:rPr>
          <w:noProof/>
        </w:rPr>
        <w:drawing>
          <wp:inline distT="0" distB="0" distL="0" distR="0" wp14:anchorId="2F803748" wp14:editId="63A84397">
            <wp:extent cx="5622946" cy="1020726"/>
            <wp:effectExtent l="0" t="0" r="0" b="8255"/>
            <wp:docPr id="1092985344" name="Picture 1" descr="Two quotes in dark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85344" name="Picture 1" descr="Two quotes in dark red text"/>
                    <pic:cNvPicPr/>
                  </pic:nvPicPr>
                  <pic:blipFill>
                    <a:blip r:embed="rId63"/>
                    <a:stretch>
                      <a:fillRect/>
                    </a:stretch>
                  </pic:blipFill>
                  <pic:spPr>
                    <a:xfrm>
                      <a:off x="0" y="0"/>
                      <a:ext cx="5646277" cy="1024961"/>
                    </a:xfrm>
                    <a:prstGeom prst="rect">
                      <a:avLst/>
                    </a:prstGeom>
                  </pic:spPr>
                </pic:pic>
              </a:graphicData>
            </a:graphic>
          </wp:inline>
        </w:drawing>
      </w:r>
    </w:p>
    <w:p w14:paraId="53CEC5D4" w14:textId="77777777" w:rsidR="00CE3478" w:rsidRPr="00933932" w:rsidRDefault="00CE3478" w:rsidP="00CE3478">
      <w:pPr>
        <w:pStyle w:val="Bulleted"/>
        <w:rPr>
          <w:b/>
          <w:bCs/>
          <w:lang w:val="en-US"/>
        </w:rPr>
      </w:pPr>
      <w:r w:rsidRPr="00933932">
        <w:rPr>
          <w:b/>
          <w:bCs/>
          <w:lang w:val="en-US"/>
        </w:rPr>
        <w:lastRenderedPageBreak/>
        <w:t>Review of the Strategy to ensure:</w:t>
      </w:r>
    </w:p>
    <w:p w14:paraId="3E88291D" w14:textId="77777777" w:rsidR="00CE3478" w:rsidRDefault="00CE3478" w:rsidP="00CE3478">
      <w:pPr>
        <w:pStyle w:val="Second-levelbullets"/>
        <w:rPr>
          <w:lang w:val="en-US"/>
        </w:rPr>
      </w:pPr>
      <w:r>
        <w:rPr>
          <w:lang w:val="en-US"/>
        </w:rPr>
        <w:t>Funding for provider promotions/communications: Some participants noted current funding allocations do not cover the need for providers to promote and raise awareness of their services.</w:t>
      </w:r>
    </w:p>
    <w:p w14:paraId="089E01E0" w14:textId="77777777" w:rsidR="00CE3478" w:rsidRDefault="00CE3478" w:rsidP="00CE3478">
      <w:pPr>
        <w:pStyle w:val="Second-levelbullets"/>
        <w:rPr>
          <w:lang w:val="en-US"/>
        </w:rPr>
      </w:pPr>
      <w:r>
        <w:rPr>
          <w:lang w:val="en-US"/>
        </w:rPr>
        <w:t>Funding allocations for services across the gambling harm continuum: A small number of participants noted funding allocations prioritise severe harmful gamblers and inadequate investment is currently placed on addressing mild to moderate gambling.</w:t>
      </w:r>
    </w:p>
    <w:p w14:paraId="30BA94AA" w14:textId="77777777" w:rsidR="00CE3478" w:rsidRDefault="00CE3478" w:rsidP="00CE3478">
      <w:pPr>
        <w:pStyle w:val="Bulleted"/>
        <w:rPr>
          <w:lang w:val="en-US"/>
        </w:rPr>
      </w:pPr>
      <w:r w:rsidRPr="00933932">
        <w:rPr>
          <w:b/>
          <w:bCs/>
          <w:lang w:val="en-US"/>
        </w:rPr>
        <w:t xml:space="preserve">Online gambling regulation: </w:t>
      </w:r>
      <w:r>
        <w:rPr>
          <w:lang w:val="en-US"/>
        </w:rPr>
        <w:t>All</w:t>
      </w:r>
      <w:r w:rsidRPr="00DF485A">
        <w:rPr>
          <w:lang w:val="en-US"/>
        </w:rPr>
        <w:t xml:space="preserve"> participants noted an urgent need to regulate online gambling and </w:t>
      </w:r>
      <w:r>
        <w:rPr>
          <w:lang w:val="en-US"/>
        </w:rPr>
        <w:t>develop</w:t>
      </w:r>
      <w:r w:rsidRPr="00DF485A">
        <w:rPr>
          <w:lang w:val="en-US"/>
        </w:rPr>
        <w:t xml:space="preserve"> </w:t>
      </w:r>
      <w:r>
        <w:rPr>
          <w:lang w:val="en-US"/>
        </w:rPr>
        <w:t xml:space="preserve">appropriate legislative requirements to ensure the </w:t>
      </w:r>
      <w:r w:rsidRPr="00DF485A">
        <w:rPr>
          <w:lang w:val="en-US"/>
        </w:rPr>
        <w:t xml:space="preserve">use of harm minimisation strategies across all gambling </w:t>
      </w:r>
      <w:r>
        <w:rPr>
          <w:lang w:val="en-US"/>
        </w:rPr>
        <w:t>forms, as well as appropriate contributions to the gambling levy from offshore online providers.</w:t>
      </w:r>
      <w:r w:rsidRPr="00DF485A">
        <w:rPr>
          <w:lang w:val="en-US"/>
        </w:rPr>
        <w:t xml:space="preserve"> </w:t>
      </w:r>
      <w:r w:rsidRPr="004D46D5">
        <w:rPr>
          <w:lang w:val="en-US"/>
        </w:rPr>
        <w:t>Government agencies have previously reviewed the potential for online gambling regulation – and as noted above it appears there is potential under the current Government for progression in this area.</w:t>
      </w:r>
      <w:r>
        <w:rPr>
          <w:lang w:val="en-US"/>
        </w:rPr>
        <w:t xml:space="preserve"> It is important to note however, that any development of online regulations must consider potential and unanticipated consequences, such as a precedence being set for the expansion of online gambling products and/or advertising.</w:t>
      </w:r>
    </w:p>
    <w:p w14:paraId="545ECEB0" w14:textId="6CDA9093" w:rsidR="00FF3ED1" w:rsidRDefault="00FF3ED1" w:rsidP="00FF3ED1">
      <w:pPr>
        <w:pStyle w:val="Bulleted"/>
        <w:numPr>
          <w:ilvl w:val="0"/>
          <w:numId w:val="0"/>
        </w:numPr>
        <w:ind w:left="993" w:hanging="357"/>
        <w:rPr>
          <w:lang w:val="en-US"/>
        </w:rPr>
      </w:pPr>
      <w:r w:rsidRPr="00FF3ED1">
        <w:rPr>
          <w:noProof/>
          <w:lang w:val="en-US"/>
        </w:rPr>
        <w:drawing>
          <wp:inline distT="0" distB="0" distL="0" distR="0" wp14:anchorId="17E95A9B" wp14:editId="1D4DFC1B">
            <wp:extent cx="5172075" cy="1219503"/>
            <wp:effectExtent l="0" t="0" r="0" b="0"/>
            <wp:docPr id="2023497007" name="Picture 1" descr="Two quotes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97007" name="Picture 1" descr="Two quotes in blue text"/>
                    <pic:cNvPicPr/>
                  </pic:nvPicPr>
                  <pic:blipFill>
                    <a:blip r:embed="rId64"/>
                    <a:stretch>
                      <a:fillRect/>
                    </a:stretch>
                  </pic:blipFill>
                  <pic:spPr>
                    <a:xfrm>
                      <a:off x="0" y="0"/>
                      <a:ext cx="5214493" cy="1229504"/>
                    </a:xfrm>
                    <a:prstGeom prst="rect">
                      <a:avLst/>
                    </a:prstGeom>
                  </pic:spPr>
                </pic:pic>
              </a:graphicData>
            </a:graphic>
          </wp:inline>
        </w:drawing>
      </w:r>
    </w:p>
    <w:p w14:paraId="1518C649" w14:textId="21A07A47" w:rsidR="00CE3478" w:rsidRDefault="00CE3478" w:rsidP="00CE3478">
      <w:pPr>
        <w:pStyle w:val="Bulleted"/>
        <w:rPr>
          <w:lang w:val="en-US"/>
        </w:rPr>
      </w:pPr>
      <w:r w:rsidRPr="008A4AB4">
        <w:rPr>
          <w:b/>
          <w:bCs/>
          <w:lang w:val="en-US"/>
        </w:rPr>
        <w:t xml:space="preserve">Review of the Gambling </w:t>
      </w:r>
      <w:r w:rsidR="00B753D1">
        <w:rPr>
          <w:b/>
          <w:bCs/>
          <w:lang w:val="en-US"/>
        </w:rPr>
        <w:t>L</w:t>
      </w:r>
      <w:r w:rsidRPr="008A4AB4">
        <w:rPr>
          <w:b/>
          <w:bCs/>
          <w:lang w:val="en-US"/>
        </w:rPr>
        <w:t>evy:</w:t>
      </w:r>
      <w:r w:rsidRPr="007156C7">
        <w:rPr>
          <w:lang w:val="en-US"/>
        </w:rPr>
        <w:t xml:space="preserve"> A small number of participants noted a need to review the gambling levy to acknowledge</w:t>
      </w:r>
      <w:r>
        <w:rPr>
          <w:lang w:val="en-US"/>
        </w:rPr>
        <w:t>:</w:t>
      </w:r>
    </w:p>
    <w:p w14:paraId="727B912B" w14:textId="77777777" w:rsidR="00CE3478" w:rsidRPr="007156C7" w:rsidRDefault="00CE3478" w:rsidP="00CE3478">
      <w:pPr>
        <w:pStyle w:val="Second-levelbullets"/>
        <w:rPr>
          <w:lang w:val="en-US"/>
        </w:rPr>
      </w:pPr>
      <w:r>
        <w:rPr>
          <w:lang w:val="en-US"/>
        </w:rPr>
        <w:t>D</w:t>
      </w:r>
      <w:r w:rsidRPr="007156C7">
        <w:rPr>
          <w:lang w:val="en-US"/>
        </w:rPr>
        <w:t>ifferent types of Class 4 venues – Clubs were noted as having stronger controls and relationships with patrons compared to public venues and thus a more controlled environment</w:t>
      </w:r>
      <w:r>
        <w:rPr>
          <w:lang w:val="en-US"/>
        </w:rPr>
        <w:t xml:space="preserve"> which should be reflected in levy calculations</w:t>
      </w:r>
      <w:r w:rsidRPr="007156C7">
        <w:rPr>
          <w:lang w:val="en-US"/>
        </w:rPr>
        <w:t>.</w:t>
      </w:r>
    </w:p>
    <w:p w14:paraId="097D223C" w14:textId="77777777" w:rsidR="00CE3478" w:rsidRDefault="00CE3478" w:rsidP="00CE3478">
      <w:pPr>
        <w:pStyle w:val="Second-levelbullets"/>
      </w:pPr>
      <w:r>
        <w:t>Service provider responses to online gambling</w:t>
      </w:r>
    </w:p>
    <w:p w14:paraId="2097208E" w14:textId="77777777" w:rsidR="00CE3478" w:rsidRDefault="00CE3478" w:rsidP="00CE3478">
      <w:pPr>
        <w:pStyle w:val="Second-levelbullets"/>
        <w:rPr>
          <w:lang w:val="en-US"/>
        </w:rPr>
      </w:pPr>
      <w:r w:rsidRPr="005535E5">
        <w:rPr>
          <w:lang w:val="en-US"/>
        </w:rPr>
        <w:t>Levy funds and calculations based on presentation numbers does not enable provider promotions to reach potential harmful gamblers that do not present to services.</w:t>
      </w:r>
    </w:p>
    <w:p w14:paraId="561E0FAC" w14:textId="44FD5CCB" w:rsidR="00FF3ED1" w:rsidRDefault="00FF3ED1" w:rsidP="00FF3ED1">
      <w:pPr>
        <w:pStyle w:val="Bulleted"/>
        <w:numPr>
          <w:ilvl w:val="0"/>
          <w:numId w:val="0"/>
        </w:numPr>
        <w:spacing w:after="120"/>
        <w:ind w:left="851" w:hanging="357"/>
        <w:rPr>
          <w:lang w:val="en-US"/>
        </w:rPr>
      </w:pPr>
      <w:r w:rsidRPr="00FF3ED1">
        <w:rPr>
          <w:noProof/>
          <w:lang w:val="en-US"/>
        </w:rPr>
        <w:lastRenderedPageBreak/>
        <w:drawing>
          <wp:inline distT="0" distB="0" distL="0" distR="0" wp14:anchorId="46DDA226" wp14:editId="001E336A">
            <wp:extent cx="5347422" cy="1704975"/>
            <wp:effectExtent l="0" t="0" r="5715" b="0"/>
            <wp:docPr id="695694665" name="Picture 1" descr="Three quotes in dark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94665" name="Picture 1" descr="Three quotes in dark red text"/>
                    <pic:cNvPicPr/>
                  </pic:nvPicPr>
                  <pic:blipFill>
                    <a:blip r:embed="rId65"/>
                    <a:stretch>
                      <a:fillRect/>
                    </a:stretch>
                  </pic:blipFill>
                  <pic:spPr>
                    <a:xfrm>
                      <a:off x="0" y="0"/>
                      <a:ext cx="5357114" cy="1708065"/>
                    </a:xfrm>
                    <a:prstGeom prst="rect">
                      <a:avLst/>
                    </a:prstGeom>
                  </pic:spPr>
                </pic:pic>
              </a:graphicData>
            </a:graphic>
          </wp:inline>
        </w:drawing>
      </w:r>
    </w:p>
    <w:p w14:paraId="0D168DC9" w14:textId="02423EC6" w:rsidR="00CE3478" w:rsidRDefault="00CE3478" w:rsidP="00CE3478">
      <w:pPr>
        <w:spacing w:after="0"/>
        <w:ind w:left="567"/>
        <w:rPr>
          <w:lang w:val="en-US"/>
        </w:rPr>
      </w:pPr>
      <w:r>
        <w:rPr>
          <w:lang w:val="en-US"/>
        </w:rPr>
        <w:t xml:space="preserve">For the purpose of wider contextual insights regarding the gambling levy it is important to note </w:t>
      </w:r>
      <w:r w:rsidR="00446432">
        <w:rPr>
          <w:lang w:val="en-US"/>
        </w:rPr>
        <w:t xml:space="preserve">stakeholders hold two distinct and </w:t>
      </w:r>
      <w:r>
        <w:rPr>
          <w:lang w:val="en-US"/>
        </w:rPr>
        <w:t xml:space="preserve">contrasting views about: </w:t>
      </w:r>
    </w:p>
    <w:p w14:paraId="354A1D8E" w14:textId="77777777" w:rsidR="00CE3478" w:rsidRPr="00D92E97" w:rsidRDefault="00CE3478" w:rsidP="00CE3478">
      <w:pPr>
        <w:pStyle w:val="Quotes"/>
        <w:ind w:left="567"/>
        <w:jc w:val="center"/>
        <w:rPr>
          <w:highlight w:val="yellow"/>
        </w:rPr>
      </w:pPr>
      <w:r w:rsidRPr="008A4AB4">
        <w:drawing>
          <wp:inline distT="0" distB="0" distL="0" distR="0" wp14:anchorId="3B9F9DB8" wp14:editId="7316862B">
            <wp:extent cx="4816541" cy="2665852"/>
            <wp:effectExtent l="0" t="0" r="3175" b="1270"/>
            <wp:docPr id="1826784643" name="Picture 1" descr="Three quotes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84643" name="Picture 1" descr="Three quotes in blue text"/>
                    <pic:cNvPicPr/>
                  </pic:nvPicPr>
                  <pic:blipFill>
                    <a:blip r:embed="rId66"/>
                    <a:stretch>
                      <a:fillRect/>
                    </a:stretch>
                  </pic:blipFill>
                  <pic:spPr>
                    <a:xfrm>
                      <a:off x="0" y="0"/>
                      <a:ext cx="4823577" cy="2669746"/>
                    </a:xfrm>
                    <a:prstGeom prst="rect">
                      <a:avLst/>
                    </a:prstGeom>
                  </pic:spPr>
                </pic:pic>
              </a:graphicData>
            </a:graphic>
          </wp:inline>
        </w:drawing>
      </w:r>
    </w:p>
    <w:p w14:paraId="3EB52FEE" w14:textId="66047DAD" w:rsidR="00D92E97" w:rsidRPr="00D92E97" w:rsidRDefault="00D92E97" w:rsidP="00D92E97">
      <w:pPr>
        <w:pStyle w:val="Quotes"/>
        <w:ind w:left="567"/>
        <w:rPr>
          <w:highlight w:val="yellow"/>
        </w:rPr>
      </w:pPr>
    </w:p>
    <w:p w14:paraId="43668157" w14:textId="41E3C428" w:rsidR="009E457B" w:rsidRDefault="009E457B" w:rsidP="009E457B">
      <w:pPr>
        <w:pStyle w:val="Heading5"/>
      </w:pPr>
      <w:bookmarkStart w:id="226" w:name="_Toc166507417"/>
      <w:r>
        <w:lastRenderedPageBreak/>
        <w:t xml:space="preserve">Clinical intervention </w:t>
      </w:r>
      <w:r w:rsidR="009D5CF0">
        <w:t>service needs</w:t>
      </w:r>
      <w:bookmarkEnd w:id="226"/>
    </w:p>
    <w:p w14:paraId="637277CE" w14:textId="2F1097D2" w:rsidR="00855A17" w:rsidRDefault="00855A17" w:rsidP="00855A17">
      <w:r>
        <w:t xml:space="preserve">Most interviewed participants highlighted a number of clinical intervention service </w:t>
      </w:r>
      <w:r w:rsidR="006B5F22">
        <w:t xml:space="preserve">gaps </w:t>
      </w:r>
      <w:r w:rsidR="007A53F1">
        <w:t>such as ongoin</w:t>
      </w:r>
      <w:r>
        <w:t xml:space="preserve">g workforce capacity challenges within the harmful gambling sector (and across the health sector generally), </w:t>
      </w:r>
      <w:r w:rsidR="00910AD0">
        <w:t>a</w:t>
      </w:r>
      <w:r w:rsidR="00112D0F">
        <w:t xml:space="preserve">s well as </w:t>
      </w:r>
      <w:r>
        <w:t>new gaps in clinical responses to potential online gambling harms within the Strategy.</w:t>
      </w:r>
      <w:r w:rsidR="009D2C6F">
        <w:t xml:space="preserve"> </w:t>
      </w:r>
    </w:p>
    <w:p w14:paraId="55551396" w14:textId="554FFBB7" w:rsidR="0003296D" w:rsidRDefault="0003296D" w:rsidP="00855A17">
      <w:pPr>
        <w:pStyle w:val="Quotes"/>
        <w:jc w:val="center"/>
      </w:pPr>
      <w:r w:rsidRPr="0003296D">
        <w:drawing>
          <wp:inline distT="0" distB="0" distL="0" distR="0" wp14:anchorId="78787025" wp14:editId="3CCC639A">
            <wp:extent cx="4103073" cy="1066800"/>
            <wp:effectExtent l="0" t="0" r="0" b="0"/>
            <wp:docPr id="1817729410" name="Picture 1" descr="Two quotes in white text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29410" name="Picture 1" descr="Two quotes in white text on a blue background"/>
                    <pic:cNvPicPr/>
                  </pic:nvPicPr>
                  <pic:blipFill>
                    <a:blip r:embed="rId67"/>
                    <a:stretch>
                      <a:fillRect/>
                    </a:stretch>
                  </pic:blipFill>
                  <pic:spPr>
                    <a:xfrm>
                      <a:off x="0" y="0"/>
                      <a:ext cx="4108213" cy="1068137"/>
                    </a:xfrm>
                    <a:prstGeom prst="rect">
                      <a:avLst/>
                    </a:prstGeom>
                  </pic:spPr>
                </pic:pic>
              </a:graphicData>
            </a:graphic>
          </wp:inline>
        </w:drawing>
      </w:r>
    </w:p>
    <w:p w14:paraId="6CFF0C99" w14:textId="20CEECBE" w:rsidR="00550A0B" w:rsidRDefault="009D2C6F" w:rsidP="00550A0B">
      <w:r>
        <w:t xml:space="preserve">Most interviewed participants highlighted a </w:t>
      </w:r>
      <w:r w:rsidR="009969A2">
        <w:t xml:space="preserve">range of clinical intervention service gaps and </w:t>
      </w:r>
      <w:r w:rsidR="00550A0B">
        <w:t xml:space="preserve">a need for the Strategy to support: </w:t>
      </w:r>
    </w:p>
    <w:p w14:paraId="7F3A3804" w14:textId="4B92F542" w:rsidR="00855A17" w:rsidRDefault="006E32C5" w:rsidP="0020234E">
      <w:r w:rsidRPr="00893D8E">
        <w:rPr>
          <w:b/>
          <w:bCs/>
        </w:rPr>
        <w:t>Increased clinical workforce capacity</w:t>
      </w:r>
      <w:r w:rsidR="00893D8E" w:rsidRPr="00893D8E">
        <w:rPr>
          <w:b/>
          <w:bCs/>
        </w:rPr>
        <w:t>:</w:t>
      </w:r>
      <w:r>
        <w:t xml:space="preserve"> </w:t>
      </w:r>
      <w:r w:rsidR="00855A17">
        <w:t>Participants provided mixed views about whether the current clinical workforce capacity was able to address harmful gambler and whānau needs. Most participants noted reduced numbers of client presentations to harmful gambling services in recent years – some inferred this may suggest reduced need for such services while others thought this could be explained in part by notably large reductions in client referrals from Whakarongorau Aotearoa - Gambling Helpline Aotearoa compared to previous years when an independent Gambling Helpline service was provided.</w:t>
      </w:r>
    </w:p>
    <w:p w14:paraId="7783EC8F" w14:textId="77777777" w:rsidR="00855A17" w:rsidRDefault="00855A17" w:rsidP="00855A17">
      <w:pPr>
        <w:rPr>
          <w:lang w:val="en-US"/>
        </w:rPr>
      </w:pPr>
      <w:r>
        <w:t>A small number of participants also perceived that workforce capacity with gambling expertise was further reduced due to the recent disestablishment of a long-standing national provider (noted above), and advocated a need to ensure clinical workforce funds previously allocated to this provider were reinvested in maintaining and/or growing the clinical workforce. The potential to increase peer support services was commended but not at the cost of clinical workforce capacity – particularly in light of the extensive clinical supervision and oversight required for peer support services.</w:t>
      </w:r>
    </w:p>
    <w:p w14:paraId="1B171493" w14:textId="77777777" w:rsidR="00855A17" w:rsidRDefault="00855A17" w:rsidP="00855A17">
      <w:pPr>
        <w:pStyle w:val="Quotes"/>
        <w:ind w:left="-284"/>
        <w:jc w:val="center"/>
        <w:rPr>
          <w:lang w:val="en-US"/>
        </w:rPr>
      </w:pPr>
      <w:r w:rsidRPr="009F3941">
        <w:rPr>
          <w:lang w:val="en-US"/>
        </w:rPr>
        <w:drawing>
          <wp:inline distT="0" distB="0" distL="0" distR="0" wp14:anchorId="4BDAE1E2" wp14:editId="46A4B699">
            <wp:extent cx="6053415" cy="1409700"/>
            <wp:effectExtent l="0" t="0" r="5080" b="0"/>
            <wp:docPr id="1477873025" name="Picture 1" descr="Three quotes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73025" name="Picture 1" descr="Three quotes in blue text"/>
                    <pic:cNvPicPr/>
                  </pic:nvPicPr>
                  <pic:blipFill>
                    <a:blip r:embed="rId68"/>
                    <a:stretch>
                      <a:fillRect/>
                    </a:stretch>
                  </pic:blipFill>
                  <pic:spPr>
                    <a:xfrm>
                      <a:off x="0" y="0"/>
                      <a:ext cx="6104746" cy="1421654"/>
                    </a:xfrm>
                    <a:prstGeom prst="rect">
                      <a:avLst/>
                    </a:prstGeom>
                  </pic:spPr>
                </pic:pic>
              </a:graphicData>
            </a:graphic>
          </wp:inline>
        </w:drawing>
      </w:r>
    </w:p>
    <w:p w14:paraId="4120B5DB" w14:textId="4DFFA037" w:rsidR="00855A17" w:rsidRDefault="0020234E" w:rsidP="00855A17">
      <w:pPr>
        <w:rPr>
          <w:lang w:val="en-US"/>
        </w:rPr>
      </w:pPr>
      <w:r>
        <w:rPr>
          <w:b/>
          <w:bCs/>
          <w:lang w:val="en-US"/>
        </w:rPr>
        <w:lastRenderedPageBreak/>
        <w:t>Increased a</w:t>
      </w:r>
      <w:r w:rsidR="00855A17">
        <w:rPr>
          <w:b/>
          <w:bCs/>
          <w:lang w:val="en-US"/>
        </w:rPr>
        <w:t xml:space="preserve">ccess to </w:t>
      </w:r>
      <w:r w:rsidR="009B59CF">
        <w:rPr>
          <w:b/>
          <w:bCs/>
          <w:lang w:val="en-US"/>
        </w:rPr>
        <w:t xml:space="preserve">out-of-hours </w:t>
      </w:r>
      <w:r w:rsidR="00855A17">
        <w:rPr>
          <w:b/>
          <w:bCs/>
          <w:lang w:val="en-US"/>
        </w:rPr>
        <w:t>clinical service</w:t>
      </w:r>
      <w:r w:rsidR="009B59CF">
        <w:rPr>
          <w:b/>
          <w:bCs/>
          <w:lang w:val="en-US"/>
        </w:rPr>
        <w:t>s, residential care and support in prisons</w:t>
      </w:r>
      <w:r w:rsidR="00855A17">
        <w:rPr>
          <w:b/>
          <w:bCs/>
          <w:lang w:val="en-US"/>
        </w:rPr>
        <w:t xml:space="preserve">: </w:t>
      </w:r>
      <w:r w:rsidR="00855A17">
        <w:rPr>
          <w:lang w:val="en-US"/>
        </w:rPr>
        <w:t xml:space="preserve">Some participants emphasised the importance of reducing wait times and providing immediate clinical responses/intervention for harmful gamblers but noted that limited clinical workforce capacity compromised timely access and support. </w:t>
      </w:r>
      <w:r w:rsidR="00C55C58">
        <w:rPr>
          <w:lang w:val="en-US"/>
        </w:rPr>
        <w:t xml:space="preserve"> </w:t>
      </w:r>
      <w:r w:rsidR="00855A17">
        <w:rPr>
          <w:lang w:val="en-US"/>
        </w:rPr>
        <w:t xml:space="preserve">Suggested recommendations to strengthen access to clinical services included a need to provide: </w:t>
      </w:r>
    </w:p>
    <w:p w14:paraId="1EED6F79" w14:textId="77777777" w:rsidR="00855A17" w:rsidRDefault="00855A17" w:rsidP="00855A17">
      <w:pPr>
        <w:pStyle w:val="Bulleted"/>
        <w:rPr>
          <w:lang w:val="en-US"/>
        </w:rPr>
      </w:pPr>
      <w:r>
        <w:rPr>
          <w:lang w:val="en-US"/>
        </w:rPr>
        <w:t>Out of work hours and weekend services and support</w:t>
      </w:r>
    </w:p>
    <w:p w14:paraId="15DA316D" w14:textId="77777777" w:rsidR="00855A17" w:rsidRDefault="00855A17" w:rsidP="00855A17">
      <w:pPr>
        <w:pStyle w:val="Bulleted"/>
      </w:pPr>
      <w:r>
        <w:t>Residential services, intensive support and reprieve for harmful gambling clients and wh</w:t>
      </w:r>
      <w:r>
        <w:rPr>
          <w:rFonts w:cs="Calibri"/>
        </w:rPr>
        <w:t>ā</w:t>
      </w:r>
      <w:r>
        <w:t xml:space="preserve">nau/families </w:t>
      </w:r>
    </w:p>
    <w:p w14:paraId="6EA6EC79" w14:textId="77777777" w:rsidR="00855A17" w:rsidRDefault="00855A17" w:rsidP="00855A17">
      <w:pPr>
        <w:pStyle w:val="Bulleted"/>
      </w:pPr>
      <w:r>
        <w:t>Adequate support in prisons and residential support on release.</w:t>
      </w:r>
    </w:p>
    <w:p w14:paraId="16BFCC45" w14:textId="1FA6058E" w:rsidR="0003296D" w:rsidRDefault="0003296D" w:rsidP="00492135">
      <w:pPr>
        <w:jc w:val="center"/>
        <w:rPr>
          <w:b/>
          <w:bCs/>
          <w:lang w:val="en-US"/>
        </w:rPr>
      </w:pPr>
      <w:r w:rsidRPr="0003296D">
        <w:rPr>
          <w:b/>
          <w:bCs/>
          <w:noProof/>
          <w:lang w:val="en-US"/>
        </w:rPr>
        <w:drawing>
          <wp:inline distT="0" distB="0" distL="0" distR="0" wp14:anchorId="3F2FC9F7" wp14:editId="4B40FC27">
            <wp:extent cx="5534025" cy="2793877"/>
            <wp:effectExtent l="0" t="0" r="0" b="6985"/>
            <wp:docPr id="1330338903" name="Picture 1" descr="Five quotes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38903" name="Picture 1" descr="Five quotes in blue text"/>
                    <pic:cNvPicPr/>
                  </pic:nvPicPr>
                  <pic:blipFill>
                    <a:blip r:embed="rId69"/>
                    <a:stretch>
                      <a:fillRect/>
                    </a:stretch>
                  </pic:blipFill>
                  <pic:spPr>
                    <a:xfrm>
                      <a:off x="0" y="0"/>
                      <a:ext cx="5563423" cy="2808719"/>
                    </a:xfrm>
                    <a:prstGeom prst="rect">
                      <a:avLst/>
                    </a:prstGeom>
                  </pic:spPr>
                </pic:pic>
              </a:graphicData>
            </a:graphic>
          </wp:inline>
        </w:drawing>
      </w:r>
    </w:p>
    <w:p w14:paraId="067BCE79" w14:textId="2F0B8766" w:rsidR="00855A17" w:rsidRDefault="009013C3" w:rsidP="00855A17">
      <w:pPr>
        <w:rPr>
          <w:b/>
          <w:bCs/>
          <w:lang w:val="en-US"/>
        </w:rPr>
      </w:pPr>
      <w:r w:rsidRPr="009013C3">
        <w:rPr>
          <w:b/>
          <w:bCs/>
          <w:lang w:val="en-US"/>
        </w:rPr>
        <w:t>Stronger</w:t>
      </w:r>
      <w:r w:rsidR="00D03D1D" w:rsidRPr="009013C3">
        <w:rPr>
          <w:b/>
          <w:bCs/>
          <w:lang w:val="en-US"/>
        </w:rPr>
        <w:t xml:space="preserve"> </w:t>
      </w:r>
      <w:r w:rsidR="00855A17" w:rsidRPr="009013C3">
        <w:rPr>
          <w:b/>
          <w:bCs/>
          <w:lang w:val="en-US"/>
        </w:rPr>
        <w:t xml:space="preserve">workforce recruitment and retention </w:t>
      </w:r>
      <w:r w:rsidRPr="009013C3">
        <w:rPr>
          <w:b/>
          <w:bCs/>
          <w:lang w:val="en-US"/>
        </w:rPr>
        <w:t xml:space="preserve">strategies: </w:t>
      </w:r>
      <w:r w:rsidRPr="009013C3">
        <w:rPr>
          <w:lang w:val="en-US"/>
        </w:rPr>
        <w:t>M</w:t>
      </w:r>
      <w:r w:rsidR="00855A17" w:rsidRPr="009013C3">
        <w:rPr>
          <w:lang w:val="en-US"/>
        </w:rPr>
        <w:t>ost participants advocated a need to</w:t>
      </w:r>
      <w:r w:rsidR="00855A17">
        <w:rPr>
          <w:lang w:val="en-US"/>
        </w:rPr>
        <w:t xml:space="preserve"> grow gambling harm clinical capacity but also noted three main risks that require attention.</w:t>
      </w:r>
    </w:p>
    <w:p w14:paraId="56ACAE6E" w14:textId="77777777" w:rsidR="00855A17" w:rsidRDefault="00855A17" w:rsidP="009013C3">
      <w:pPr>
        <w:pStyle w:val="Bulleted"/>
      </w:pPr>
      <w:r>
        <w:rPr>
          <w:b/>
          <w:bCs/>
          <w:lang w:val="en-US"/>
        </w:rPr>
        <w:t xml:space="preserve">Workforce recruitment (pipeline, education and qualification): </w:t>
      </w:r>
      <w:r w:rsidRPr="00596AA8">
        <w:t xml:space="preserve">In line with </w:t>
      </w:r>
      <w:r>
        <w:t xml:space="preserve">workforce capacity limitations </w:t>
      </w:r>
      <w:r w:rsidRPr="00596AA8">
        <w:t xml:space="preserve">noted above, most participants highlighted that the pipeline for qualified harmful gambling clinicians </w:t>
      </w:r>
      <w:r>
        <w:t xml:space="preserve">and specialists </w:t>
      </w:r>
      <w:r w:rsidRPr="00596AA8">
        <w:t>was also extremely limited.</w:t>
      </w:r>
      <w:r>
        <w:t xml:space="preserve"> Participants did not consider generic addictions training and curriculum content for prospective (AoD) clinicians adequate enough to cover the depth of understandings required for clinical specialists in gambling harm. A review and refinement of harmful gambling course content was strongly recommended. Participants also highlighted the importance of ensuring that lived experience was represented and integrated into developing and delivering pipeline education and training.</w:t>
      </w:r>
    </w:p>
    <w:p w14:paraId="39AC8DD3" w14:textId="77777777" w:rsidR="00855A17" w:rsidRDefault="00855A17" w:rsidP="009013C3">
      <w:pPr>
        <w:pStyle w:val="Bulleted"/>
      </w:pPr>
      <w:r>
        <w:rPr>
          <w:b/>
          <w:bCs/>
        </w:rPr>
        <w:t xml:space="preserve">Workforce development: </w:t>
      </w:r>
      <w:r>
        <w:t xml:space="preserve">Most participants highlighted that a long-established workforce development provider was recently disestablished and there was little communication from </w:t>
      </w:r>
      <w:r>
        <w:lastRenderedPageBreak/>
        <w:t>Te Whatu Ora about how this would be addressed. Ongoing workforce development delivered by specialists in minimising gambling harm was considered critical. Some participants suggested current harmful gambling providers may be best placed to strengthen and deliver workforce development pathways for clinical and peer services – especially for priority populations - since some had been approached by new providers with little gambling experience and cultural expertise to help inform their responses to harmful gambling.</w:t>
      </w:r>
    </w:p>
    <w:p w14:paraId="2BC9A5A7" w14:textId="77777777" w:rsidR="00855A17" w:rsidRDefault="00855A17" w:rsidP="009013C3">
      <w:pPr>
        <w:pStyle w:val="Bulleted"/>
        <w:rPr>
          <w:lang w:val="en-US"/>
        </w:rPr>
      </w:pPr>
      <w:r>
        <w:rPr>
          <w:b/>
          <w:bCs/>
          <w:lang w:val="en-US"/>
        </w:rPr>
        <w:t xml:space="preserve">Workforce retention and pay equity: </w:t>
      </w:r>
      <w:r>
        <w:rPr>
          <w:lang w:val="en-US"/>
        </w:rPr>
        <w:t>Some participants noted clinical staff retention was critical and emphasised a need to review and acknowledge the importance of pay equity – particularly in light of differential salary bands offered across NGO and government settings for clinical roles.</w:t>
      </w:r>
    </w:p>
    <w:p w14:paraId="57D4E936" w14:textId="5B9F5AAE" w:rsidR="0003296D" w:rsidRDefault="0003296D" w:rsidP="0003296D">
      <w:pPr>
        <w:pStyle w:val="Quotes"/>
        <w:ind w:left="714"/>
        <w:jc w:val="center"/>
        <w:rPr>
          <w:lang w:val="en-US"/>
        </w:rPr>
      </w:pPr>
      <w:r w:rsidRPr="0003296D">
        <w:rPr>
          <w:lang w:val="en-US"/>
        </w:rPr>
        <w:drawing>
          <wp:inline distT="0" distB="0" distL="0" distR="0" wp14:anchorId="0B66B023" wp14:editId="515B38D0">
            <wp:extent cx="4410075" cy="3185498"/>
            <wp:effectExtent l="0" t="0" r="0" b="0"/>
            <wp:docPr id="1595321156" name="Picture 1" descr="Two quotes in blue text&#10;Two quotes in red text&#10;One quote in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21156" name="Picture 1" descr="Two quotes in blue text&#10;Two quotes in red text&#10;One quote in black text"/>
                    <pic:cNvPicPr/>
                  </pic:nvPicPr>
                  <pic:blipFill>
                    <a:blip r:embed="rId70"/>
                    <a:stretch>
                      <a:fillRect/>
                    </a:stretch>
                  </pic:blipFill>
                  <pic:spPr>
                    <a:xfrm>
                      <a:off x="0" y="0"/>
                      <a:ext cx="4427026" cy="3197742"/>
                    </a:xfrm>
                    <a:prstGeom prst="rect">
                      <a:avLst/>
                    </a:prstGeom>
                  </pic:spPr>
                </pic:pic>
              </a:graphicData>
            </a:graphic>
          </wp:inline>
        </w:drawing>
      </w:r>
    </w:p>
    <w:p w14:paraId="6D88A319" w14:textId="4DC3E9D5" w:rsidR="00855A17" w:rsidRDefault="00E73EE0" w:rsidP="00855A17">
      <w:r w:rsidRPr="006F64CF">
        <w:rPr>
          <w:b/>
          <w:bCs/>
        </w:rPr>
        <w:t>Specialist responses to harmful gambling behaviour and co-morbidities</w:t>
      </w:r>
      <w:r w:rsidR="006F64CF">
        <w:rPr>
          <w:b/>
          <w:bCs/>
        </w:rPr>
        <w:t xml:space="preserve">: </w:t>
      </w:r>
      <w:r w:rsidR="00855A17">
        <w:t>Participants provided mixed perspectives about perceived shifts in the rhetoric and understanding of minimising gambling harm services in relation to comorbidities and wider addiction services:</w:t>
      </w:r>
    </w:p>
    <w:p w14:paraId="2DE5DC36" w14:textId="77777777" w:rsidR="00855A17" w:rsidRDefault="00855A17" w:rsidP="00855A17">
      <w:pPr>
        <w:pStyle w:val="Bulleted"/>
      </w:pPr>
      <w:r>
        <w:t>Some participants considered it necessary to ensure clinical responses to harmful gambling were not isolated from responses to other addictions: Many highlighted a need to equip wider addictions services and workforces to respond appropriately to harmful gamblers potential multiple/complex needs, and/or that gambling harm clinical services were positioned to respond to wider addictions and social service needs. Some participants also noted it was important that administrative data for potential gambling clients who present to AoD services is adequately captured to inform levy requirements and service planning.</w:t>
      </w:r>
    </w:p>
    <w:p w14:paraId="663DCD45" w14:textId="77777777" w:rsidR="00855A17" w:rsidRDefault="00855A17" w:rsidP="00855A17">
      <w:pPr>
        <w:pStyle w:val="Bulleted"/>
      </w:pPr>
      <w:r w:rsidRPr="00380EDE">
        <w:rPr>
          <w:rStyle w:val="BulletedChar"/>
          <w:rFonts w:eastAsiaTheme="minorHAnsi"/>
        </w:rPr>
        <w:lastRenderedPageBreak/>
        <w:t>Some participants noted a need to recognise harmful gambling as a specialist area/workforce: Many indicated that deep understandings about gambling-specific contexts and treatment pathways cannot be addressed by generic addictions clinical responses. Integrating the Gambling Helpline into Whakarongorau Aotearoa and perceived subsequent reductions in the number of clients referred to gambling providers and limited accessibility to support was highlighted as an example of minimising specialist gambling expertise in response to harmful gambling</w:t>
      </w:r>
      <w:r>
        <w:t xml:space="preserve">. Interviewed </w:t>
      </w:r>
      <w:r w:rsidRPr="007E6427">
        <w:t>t</w:t>
      </w:r>
      <w:r w:rsidRPr="007156C7">
        <w:rPr>
          <w:rFonts w:asciiTheme="minorHAnsi" w:hAnsiTheme="minorHAnsi" w:cstheme="minorBidi"/>
          <w:color w:val="auto"/>
        </w:rPr>
        <w:t>ā</w:t>
      </w:r>
      <w:r w:rsidRPr="007E6427">
        <w:t>ngata whaiora</w:t>
      </w:r>
      <w:r>
        <w:t xml:space="preserve"> (clients) supported the need for a specialist harmful gambling workforce and highlighted potential benefits of setting up co-located and/or a hub of addiction (harmful gambling, AoD and smoking cessation) and mental health supports to increase access and choice for whaiora and wh</w:t>
      </w:r>
      <w:r w:rsidRPr="00693EA7">
        <w:t>ā</w:t>
      </w:r>
      <w:r>
        <w:t xml:space="preserve">nau.  </w:t>
      </w:r>
    </w:p>
    <w:p w14:paraId="6BF8BF1C" w14:textId="77777777" w:rsidR="00855A17" w:rsidRDefault="00855A17" w:rsidP="00855A17">
      <w:pPr>
        <w:pStyle w:val="Bulleted"/>
        <w:numPr>
          <w:ilvl w:val="0"/>
          <w:numId w:val="0"/>
        </w:numPr>
        <w:ind w:left="714" w:hanging="357"/>
        <w:jc w:val="center"/>
      </w:pPr>
      <w:r w:rsidRPr="00BE37E3">
        <w:rPr>
          <w:noProof/>
        </w:rPr>
        <w:drawing>
          <wp:inline distT="0" distB="0" distL="0" distR="0" wp14:anchorId="6008AC60" wp14:editId="36BCEC93">
            <wp:extent cx="4810206" cy="3774558"/>
            <wp:effectExtent l="0" t="0" r="0" b="0"/>
            <wp:docPr id="1607421265" name="Picture 1" descr="Three quotes in white text on a blue background&#10;One quote in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21265" name="Picture 1" descr="Three quotes in white text on a blue background&#10;One quote in red text"/>
                    <pic:cNvPicPr/>
                  </pic:nvPicPr>
                  <pic:blipFill>
                    <a:blip r:embed="rId71"/>
                    <a:stretch>
                      <a:fillRect/>
                    </a:stretch>
                  </pic:blipFill>
                  <pic:spPr>
                    <a:xfrm>
                      <a:off x="0" y="0"/>
                      <a:ext cx="4843123" cy="3800388"/>
                    </a:xfrm>
                    <a:prstGeom prst="rect">
                      <a:avLst/>
                    </a:prstGeom>
                  </pic:spPr>
                </pic:pic>
              </a:graphicData>
            </a:graphic>
          </wp:inline>
        </w:drawing>
      </w:r>
    </w:p>
    <w:p w14:paraId="65714B29" w14:textId="22A4D3FF" w:rsidR="00855A17" w:rsidRDefault="00F4034E" w:rsidP="00F4034E">
      <w:r>
        <w:rPr>
          <w:b/>
          <w:bCs/>
        </w:rPr>
        <w:t>Improved c</w:t>
      </w:r>
      <w:r w:rsidR="00855A17" w:rsidRPr="006F64CF">
        <w:rPr>
          <w:b/>
          <w:bCs/>
        </w:rPr>
        <w:t>linical responses to online gambling</w:t>
      </w:r>
      <w:r w:rsidR="00855A17">
        <w:rPr>
          <w:b/>
          <w:bCs/>
        </w:rPr>
        <w:t xml:space="preserve">: </w:t>
      </w:r>
      <w:r w:rsidR="00855A17">
        <w:t>Most participants noted need for an urgent response to a fast-growing prevalence of online gambling and gaming and gambling participation. Some highlighted current and potential services and clinical models, but also noted limitations within the Gambling Act and Strategy to address/fund opportunities to minimise online gambling harms for current and prospective online harmful gamblers.</w:t>
      </w:r>
    </w:p>
    <w:p w14:paraId="465D5663" w14:textId="44C10994" w:rsidR="00855A17" w:rsidRDefault="00855A17" w:rsidP="00855A17">
      <w:pPr>
        <w:pStyle w:val="Bulleted"/>
        <w:numPr>
          <w:ilvl w:val="0"/>
          <w:numId w:val="0"/>
        </w:numPr>
        <w:ind w:left="714" w:hanging="357"/>
        <w:jc w:val="center"/>
      </w:pPr>
    </w:p>
    <w:p w14:paraId="05D02E86" w14:textId="389EFA60" w:rsidR="00B633F5" w:rsidRDefault="00B633F5" w:rsidP="00855A17">
      <w:pPr>
        <w:pStyle w:val="Bulleted"/>
        <w:numPr>
          <w:ilvl w:val="0"/>
          <w:numId w:val="0"/>
        </w:numPr>
        <w:ind w:left="714" w:hanging="357"/>
        <w:jc w:val="center"/>
      </w:pPr>
      <w:r w:rsidRPr="00B633F5">
        <w:rPr>
          <w:noProof/>
        </w:rPr>
        <w:lastRenderedPageBreak/>
        <w:drawing>
          <wp:inline distT="0" distB="0" distL="0" distR="0" wp14:anchorId="45F815AF" wp14:editId="0714A5A7">
            <wp:extent cx="3530338" cy="1158949"/>
            <wp:effectExtent l="0" t="0" r="0" b="3175"/>
            <wp:docPr id="1454317241" name="Picture 1" descr="Quote in white text on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17241" name="Picture 1" descr="Quote in white text on a red background"/>
                    <pic:cNvPicPr/>
                  </pic:nvPicPr>
                  <pic:blipFill>
                    <a:blip r:embed="rId72"/>
                    <a:stretch>
                      <a:fillRect/>
                    </a:stretch>
                  </pic:blipFill>
                  <pic:spPr>
                    <a:xfrm>
                      <a:off x="0" y="0"/>
                      <a:ext cx="3591614" cy="1179065"/>
                    </a:xfrm>
                    <a:prstGeom prst="rect">
                      <a:avLst/>
                    </a:prstGeom>
                  </pic:spPr>
                </pic:pic>
              </a:graphicData>
            </a:graphic>
          </wp:inline>
        </w:drawing>
      </w:r>
    </w:p>
    <w:p w14:paraId="05C7DC6D" w14:textId="4DC7A61C" w:rsidR="00855A17" w:rsidRDefault="00F4034E" w:rsidP="00F4034E">
      <w:r>
        <w:rPr>
          <w:b/>
          <w:bCs/>
        </w:rPr>
        <w:t>Improved clinical responses to m</w:t>
      </w:r>
      <w:r w:rsidR="00855A17">
        <w:rPr>
          <w:b/>
          <w:bCs/>
        </w:rPr>
        <w:t xml:space="preserve">ulti-venue exclusions: </w:t>
      </w:r>
      <w:r w:rsidR="00855A17">
        <w:t>Most participants commended and supported multi-venue exclusions but also recommended the following changes to strengthen this service:</w:t>
      </w:r>
    </w:p>
    <w:p w14:paraId="5F5FE783" w14:textId="77777777" w:rsidR="00855A17" w:rsidRDefault="00855A17" w:rsidP="00855A17">
      <w:pPr>
        <w:pStyle w:val="Second-levelbullets"/>
      </w:pPr>
      <w:r>
        <w:t>Provision of clinical follow-up and/or brief intervention with harmful gamblers at the end of their MVE contract. In line with this view, a small number of participants noted a need to provide counselling, treatment and support throughout the duration of MVE contracts.</w:t>
      </w:r>
    </w:p>
    <w:p w14:paraId="7D4162FB" w14:textId="77777777" w:rsidR="00855A17" w:rsidRPr="007328C6" w:rsidRDefault="00855A17" w:rsidP="00855A17">
      <w:pPr>
        <w:pStyle w:val="Second-levelbullets"/>
        <w:rPr>
          <w:lang w:val="en-US"/>
        </w:rPr>
      </w:pPr>
      <w:r>
        <w:rPr>
          <w:lang w:val="en-US"/>
        </w:rPr>
        <w:t>Reduction of timeframes between sign-ups and setting up/implementing orders</w:t>
      </w:r>
    </w:p>
    <w:p w14:paraId="507F2195" w14:textId="77777777" w:rsidR="00855A17" w:rsidRPr="00556946" w:rsidRDefault="00855A17" w:rsidP="00855A17">
      <w:pPr>
        <w:pStyle w:val="Second-levelbullets"/>
        <w:rPr>
          <w:lang w:val="en-US"/>
        </w:rPr>
      </w:pPr>
      <w:r>
        <w:rPr>
          <w:lang w:val="en-US"/>
        </w:rPr>
        <w:t>Ensuring venue operators adhere to harm minimisation processes and keep patron photo’s out of sight</w:t>
      </w:r>
    </w:p>
    <w:p w14:paraId="38382845" w14:textId="77777777" w:rsidR="00855A17" w:rsidRDefault="00855A17" w:rsidP="007E3533">
      <w:pPr>
        <w:pStyle w:val="Second-levelbullets"/>
        <w:spacing w:after="120"/>
        <w:rPr>
          <w:lang w:val="en-US"/>
        </w:rPr>
      </w:pPr>
      <w:r>
        <w:t xml:space="preserve">Optimising the use of the CONCERN database and facial recognition equipment – noted as an expense for gambling venues with no support from </w:t>
      </w:r>
      <w:r>
        <w:rPr>
          <w:lang w:val="en-US"/>
        </w:rPr>
        <w:t>Manat</w:t>
      </w:r>
      <w:r>
        <w:rPr>
          <w:rFonts w:cs="Calibri"/>
          <w:lang w:val="en-US"/>
        </w:rPr>
        <w:t>ū</w:t>
      </w:r>
      <w:r>
        <w:rPr>
          <w:lang w:val="en-US"/>
        </w:rPr>
        <w:t xml:space="preserve"> Hauora. Participants provided mixed views about whether facial recognition equipment for venue operators should be funded by the levy. </w:t>
      </w:r>
    </w:p>
    <w:p w14:paraId="5D6DC26B" w14:textId="18BD8551" w:rsidR="00855A17" w:rsidRDefault="007E3533" w:rsidP="00855A17">
      <w:pPr>
        <w:pStyle w:val="Quotes"/>
        <w:ind w:left="709"/>
        <w:jc w:val="center"/>
        <w:rPr>
          <w:lang w:val="en-US"/>
        </w:rPr>
      </w:pPr>
      <w:r w:rsidRPr="007E3533">
        <w:rPr>
          <w:lang w:val="en-US"/>
        </w:rPr>
        <w:drawing>
          <wp:inline distT="0" distB="0" distL="0" distR="0" wp14:anchorId="39B03131" wp14:editId="10687258">
            <wp:extent cx="4363967" cy="1701209"/>
            <wp:effectExtent l="0" t="0" r="0" b="0"/>
            <wp:docPr id="1485638058" name="Picture 1" descr="Two quotes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38058" name="Picture 1" descr="Two quotes in blue text"/>
                    <pic:cNvPicPr/>
                  </pic:nvPicPr>
                  <pic:blipFill>
                    <a:blip r:embed="rId73"/>
                    <a:stretch>
                      <a:fillRect/>
                    </a:stretch>
                  </pic:blipFill>
                  <pic:spPr>
                    <a:xfrm>
                      <a:off x="0" y="0"/>
                      <a:ext cx="4385991" cy="1709795"/>
                    </a:xfrm>
                    <a:prstGeom prst="rect">
                      <a:avLst/>
                    </a:prstGeom>
                  </pic:spPr>
                </pic:pic>
              </a:graphicData>
            </a:graphic>
          </wp:inline>
        </w:drawing>
      </w:r>
    </w:p>
    <w:p w14:paraId="14FFA5FF" w14:textId="44FE7167" w:rsidR="006015AB" w:rsidRDefault="006015AB" w:rsidP="00855A17">
      <w:pPr>
        <w:rPr>
          <w:lang w:val="en-US"/>
        </w:rPr>
      </w:pPr>
    </w:p>
    <w:p w14:paraId="45F540D9" w14:textId="2EDFB895" w:rsidR="009E457B" w:rsidRDefault="009E457B" w:rsidP="009E457B">
      <w:pPr>
        <w:pStyle w:val="Heading5"/>
      </w:pPr>
      <w:bookmarkStart w:id="227" w:name="_Toc166507418"/>
      <w:r>
        <w:lastRenderedPageBreak/>
        <w:t xml:space="preserve">Public health </w:t>
      </w:r>
      <w:r w:rsidR="009D5CF0">
        <w:t>service needs</w:t>
      </w:r>
      <w:bookmarkEnd w:id="227"/>
    </w:p>
    <w:p w14:paraId="0603B86B" w14:textId="5239B80A" w:rsidR="00825BD0" w:rsidRDefault="00825BD0" w:rsidP="00825BD0">
      <w:r>
        <w:t>A small number of participants noted positive changes in public health initiatives and promotions as evidenced by increased local council policies and community submissions to minimise and/or reduce Class 4 gaming outlets in some areas.</w:t>
      </w:r>
      <w:r w:rsidR="00550A0B">
        <w:t xml:space="preserve"> </w:t>
      </w:r>
      <w:r w:rsidR="00237538">
        <w:t>However</w:t>
      </w:r>
      <w:r w:rsidR="00550A0B">
        <w:t xml:space="preserve">, most participants identified a range of public health service gaps and a need for the Strategy to ensure: </w:t>
      </w:r>
    </w:p>
    <w:p w14:paraId="765021DB" w14:textId="77777777" w:rsidR="00825BD0" w:rsidRDefault="00825BD0" w:rsidP="00825BD0">
      <w:pPr>
        <w:pStyle w:val="Bulleted"/>
      </w:pPr>
      <w:r w:rsidRPr="0057520A">
        <w:rPr>
          <w:b/>
          <w:bCs/>
        </w:rPr>
        <w:t>Adequate funding for provider promotion and awareness raising initiatives:</w:t>
      </w:r>
      <w:r>
        <w:t xml:space="preserve"> Participants noted that limited community awareness of provider services may in part contribute to reduced numbers of client presentations to harmful gambling services in recent years (as above). Some noted providers undertake promotional activities but are not funded to do so. </w:t>
      </w:r>
      <w:r w:rsidRPr="008C60D1">
        <w:rPr>
          <w:rStyle w:val="QuotesChar"/>
        </w:rPr>
        <w:t xml:space="preserve">Underinvestment </w:t>
      </w:r>
      <w:r>
        <w:t xml:space="preserve">in this area has limited the extent and reach of provider promotions which cannot compete in a competitive online market promoting gambling activity. </w:t>
      </w:r>
    </w:p>
    <w:p w14:paraId="2F075E85" w14:textId="219AF39D" w:rsidR="0003296D" w:rsidRDefault="0003296D" w:rsidP="00550A0B">
      <w:pPr>
        <w:pStyle w:val="Bulleted"/>
        <w:numPr>
          <w:ilvl w:val="0"/>
          <w:numId w:val="0"/>
        </w:numPr>
        <w:ind w:left="1134" w:hanging="357"/>
      </w:pPr>
      <w:r w:rsidRPr="0003296D">
        <w:rPr>
          <w:noProof/>
        </w:rPr>
        <w:drawing>
          <wp:inline distT="0" distB="0" distL="0" distR="0" wp14:anchorId="50808602" wp14:editId="5452FE70">
            <wp:extent cx="4905375" cy="1124689"/>
            <wp:effectExtent l="0" t="0" r="0" b="0"/>
            <wp:docPr id="385652149" name="Picture 1" descr="Two quotes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52149" name="Picture 1" descr="Two quotes in blue text"/>
                    <pic:cNvPicPr/>
                  </pic:nvPicPr>
                  <pic:blipFill>
                    <a:blip r:embed="rId74"/>
                    <a:stretch>
                      <a:fillRect/>
                    </a:stretch>
                  </pic:blipFill>
                  <pic:spPr>
                    <a:xfrm>
                      <a:off x="0" y="0"/>
                      <a:ext cx="4933523" cy="1131143"/>
                    </a:xfrm>
                    <a:prstGeom prst="rect">
                      <a:avLst/>
                    </a:prstGeom>
                  </pic:spPr>
                </pic:pic>
              </a:graphicData>
            </a:graphic>
          </wp:inline>
        </w:drawing>
      </w:r>
    </w:p>
    <w:p w14:paraId="7B2FD43A" w14:textId="77777777" w:rsidR="00825BD0" w:rsidRDefault="00825BD0" w:rsidP="00825BD0">
      <w:pPr>
        <w:pStyle w:val="Bulleted"/>
        <w:rPr>
          <w:b/>
          <w:bCs/>
        </w:rPr>
      </w:pPr>
      <w:r w:rsidRPr="0057520A">
        <w:rPr>
          <w:b/>
          <w:bCs/>
        </w:rPr>
        <w:t>Development of health promotion and public health resources to increase awareness about gaming and online gambling</w:t>
      </w:r>
    </w:p>
    <w:p w14:paraId="32C966DC" w14:textId="1A868B70" w:rsidR="0003296D" w:rsidRDefault="0003296D" w:rsidP="0003296D">
      <w:pPr>
        <w:pStyle w:val="Bulleted"/>
        <w:numPr>
          <w:ilvl w:val="0"/>
          <w:numId w:val="0"/>
        </w:numPr>
        <w:ind w:left="1418" w:hanging="357"/>
        <w:rPr>
          <w:b/>
          <w:bCs/>
        </w:rPr>
      </w:pPr>
      <w:r w:rsidRPr="0003296D">
        <w:rPr>
          <w:b/>
          <w:bCs/>
          <w:noProof/>
        </w:rPr>
        <w:drawing>
          <wp:inline distT="0" distB="0" distL="0" distR="0" wp14:anchorId="36A008E0" wp14:editId="13599A24">
            <wp:extent cx="4487406" cy="561975"/>
            <wp:effectExtent l="0" t="0" r="8890" b="0"/>
            <wp:docPr id="1468823951" name="Picture 1" descr="A quote in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23951" name="Picture 1" descr="A quote in red text"/>
                    <pic:cNvPicPr/>
                  </pic:nvPicPr>
                  <pic:blipFill>
                    <a:blip r:embed="rId75"/>
                    <a:stretch>
                      <a:fillRect/>
                    </a:stretch>
                  </pic:blipFill>
                  <pic:spPr>
                    <a:xfrm>
                      <a:off x="0" y="0"/>
                      <a:ext cx="4502987" cy="563926"/>
                    </a:xfrm>
                    <a:prstGeom prst="rect">
                      <a:avLst/>
                    </a:prstGeom>
                  </pic:spPr>
                </pic:pic>
              </a:graphicData>
            </a:graphic>
          </wp:inline>
        </w:drawing>
      </w:r>
    </w:p>
    <w:p w14:paraId="74EDB711" w14:textId="77777777" w:rsidR="00825BD0" w:rsidRDefault="00825BD0" w:rsidP="00825BD0">
      <w:pPr>
        <w:pStyle w:val="Bulleted"/>
      </w:pPr>
      <w:r w:rsidRPr="0057520A">
        <w:rPr>
          <w:b/>
          <w:bCs/>
        </w:rPr>
        <w:t>Evaluation of health promotion and public health resources</w:t>
      </w:r>
      <w:r>
        <w:t xml:space="preserve"> to understand impacts on attitudes, awareness, recall of key messages and gambling behaviour. It is also important to recognise that promotional and help seeking resources may need to be redeveloped to reflect current provider procurement outcomes.</w:t>
      </w:r>
    </w:p>
    <w:p w14:paraId="22C567CE" w14:textId="23302FF0" w:rsidR="0003296D" w:rsidRDefault="0003296D" w:rsidP="00550A0B">
      <w:pPr>
        <w:pStyle w:val="Bulleted"/>
        <w:numPr>
          <w:ilvl w:val="0"/>
          <w:numId w:val="0"/>
        </w:numPr>
        <w:ind w:left="1134" w:hanging="357"/>
      </w:pPr>
      <w:r w:rsidRPr="0003296D">
        <w:rPr>
          <w:noProof/>
        </w:rPr>
        <w:drawing>
          <wp:inline distT="0" distB="0" distL="0" distR="0" wp14:anchorId="0AABCE3A" wp14:editId="45F0A0A9">
            <wp:extent cx="4657725" cy="1541159"/>
            <wp:effectExtent l="0" t="0" r="0" b="1905"/>
            <wp:docPr id="1628188501" name="Picture 1" descr="Two quotes in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88501" name="Picture 1" descr="Two quotes in black text"/>
                    <pic:cNvPicPr/>
                  </pic:nvPicPr>
                  <pic:blipFill>
                    <a:blip r:embed="rId76"/>
                    <a:stretch>
                      <a:fillRect/>
                    </a:stretch>
                  </pic:blipFill>
                  <pic:spPr>
                    <a:xfrm>
                      <a:off x="0" y="0"/>
                      <a:ext cx="4676910" cy="1547507"/>
                    </a:xfrm>
                    <a:prstGeom prst="rect">
                      <a:avLst/>
                    </a:prstGeom>
                  </pic:spPr>
                </pic:pic>
              </a:graphicData>
            </a:graphic>
          </wp:inline>
        </w:drawing>
      </w:r>
    </w:p>
    <w:p w14:paraId="5E950D12" w14:textId="77777777" w:rsidR="00825BD0" w:rsidRDefault="00825BD0" w:rsidP="00825BD0">
      <w:pPr>
        <w:pStyle w:val="Bulleted"/>
        <w:ind w:left="720"/>
      </w:pPr>
      <w:r w:rsidRPr="001B5122">
        <w:rPr>
          <w:b/>
          <w:bCs/>
        </w:rPr>
        <w:t>Development and promotion of destigmatising initiatives and key messages</w:t>
      </w:r>
      <w:r>
        <w:t xml:space="preserve"> and, public health responses to online gambling. A small number of participants also noted a need for </w:t>
      </w:r>
      <w:r>
        <w:lastRenderedPageBreak/>
        <w:t xml:space="preserve">research and evidence about minimising stigma/shame associated with harmful gambling (for Asian and other priority groups) – to inform the development of key public health messages. Lived experience review and reframing of harmful gambling key messages within a trauma-informed context/lens was also considered a gap in current public health messaging. </w:t>
      </w:r>
    </w:p>
    <w:p w14:paraId="36DE7834" w14:textId="6ACAE5E3" w:rsidR="009417E1" w:rsidRDefault="009417E1" w:rsidP="00550A0B">
      <w:pPr>
        <w:pStyle w:val="Quotes"/>
        <w:ind w:left="851"/>
      </w:pPr>
      <w:r w:rsidRPr="009417E1">
        <w:drawing>
          <wp:inline distT="0" distB="0" distL="0" distR="0" wp14:anchorId="04E22A0F" wp14:editId="2C60CD56">
            <wp:extent cx="4800600" cy="1378897"/>
            <wp:effectExtent l="0" t="0" r="0" b="0"/>
            <wp:docPr id="33997925" name="Picture 1" descr="Two quotes in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7925" name="Picture 1" descr="Two quotes in black text"/>
                    <pic:cNvPicPr/>
                  </pic:nvPicPr>
                  <pic:blipFill>
                    <a:blip r:embed="rId77"/>
                    <a:stretch>
                      <a:fillRect/>
                    </a:stretch>
                  </pic:blipFill>
                  <pic:spPr>
                    <a:xfrm>
                      <a:off x="0" y="0"/>
                      <a:ext cx="4838188" cy="1389693"/>
                    </a:xfrm>
                    <a:prstGeom prst="rect">
                      <a:avLst/>
                    </a:prstGeom>
                  </pic:spPr>
                </pic:pic>
              </a:graphicData>
            </a:graphic>
          </wp:inline>
        </w:drawing>
      </w:r>
    </w:p>
    <w:p w14:paraId="75A19B48" w14:textId="25DECEE6" w:rsidR="00550A0B" w:rsidRDefault="00550A0B" w:rsidP="00550A0B">
      <w:pPr>
        <w:pStyle w:val="Bulleted"/>
      </w:pPr>
      <w:r>
        <w:rPr>
          <w:b/>
          <w:bCs/>
        </w:rPr>
        <w:t>Use of a</w:t>
      </w:r>
      <w:r w:rsidRPr="0057520A">
        <w:rPr>
          <w:b/>
          <w:bCs/>
        </w:rPr>
        <w:t xml:space="preserve"> centralised national database of individuals excluded from gambling venues</w:t>
      </w:r>
      <w:r>
        <w:t>. This could support the gambling industry to have a consistent approach and response to individuals identified with (or at risk of) harmful gambling.</w:t>
      </w:r>
    </w:p>
    <w:p w14:paraId="34754F24" w14:textId="0E24120C" w:rsidR="009417E1" w:rsidRDefault="009417E1" w:rsidP="00550A0B">
      <w:pPr>
        <w:ind w:left="851"/>
        <w:rPr>
          <w:b/>
          <w:bCs/>
        </w:rPr>
      </w:pPr>
      <w:r w:rsidRPr="009417E1">
        <w:rPr>
          <w:b/>
          <w:bCs/>
          <w:noProof/>
        </w:rPr>
        <w:drawing>
          <wp:inline distT="0" distB="0" distL="0" distR="0" wp14:anchorId="18D505B7" wp14:editId="51EE8919">
            <wp:extent cx="4692177" cy="676275"/>
            <wp:effectExtent l="0" t="0" r="0" b="0"/>
            <wp:docPr id="898205689" name="Picture 1" descr="One quote in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05689" name="Picture 1" descr="One quote in red text"/>
                    <pic:cNvPicPr/>
                  </pic:nvPicPr>
                  <pic:blipFill>
                    <a:blip r:embed="rId78"/>
                    <a:stretch>
                      <a:fillRect/>
                    </a:stretch>
                  </pic:blipFill>
                  <pic:spPr>
                    <a:xfrm>
                      <a:off x="0" y="0"/>
                      <a:ext cx="4698352" cy="677165"/>
                    </a:xfrm>
                    <a:prstGeom prst="rect">
                      <a:avLst/>
                    </a:prstGeom>
                  </pic:spPr>
                </pic:pic>
              </a:graphicData>
            </a:graphic>
          </wp:inline>
        </w:drawing>
      </w:r>
    </w:p>
    <w:p w14:paraId="7253DF70" w14:textId="2468714C" w:rsidR="00825BD0" w:rsidRPr="00946CA2" w:rsidRDefault="00825BD0" w:rsidP="00825BD0">
      <w:r w:rsidRPr="00D43689">
        <w:rPr>
          <w:b/>
          <w:bCs/>
        </w:rPr>
        <w:t>Harm minimisation training for gambling venues:</w:t>
      </w:r>
      <w:r>
        <w:t xml:space="preserve"> A small number of participants highlighted collaborations between the gambling industry and service providers to deliver harm minimisation training and better support staff to effectively engage with potential harmful gambling patrons. Gambling industry participants noted this training provided ongoing u</w:t>
      </w:r>
      <w:r w:rsidRPr="00946CA2">
        <w:t xml:space="preserve">pskilling </w:t>
      </w:r>
      <w:r>
        <w:t xml:space="preserve">for </w:t>
      </w:r>
      <w:r w:rsidRPr="00946CA2">
        <w:t xml:space="preserve">management and staff to identify and respond to </w:t>
      </w:r>
      <w:r>
        <w:t>signs of harmful</w:t>
      </w:r>
      <w:r w:rsidRPr="00CB3DB1">
        <w:t xml:space="preserve"> gambling</w:t>
      </w:r>
      <w:r>
        <w:t xml:space="preserve">. Intervention and response policies were also developed to ensure </w:t>
      </w:r>
      <w:r w:rsidRPr="00946CA2">
        <w:t>escalation process</w:t>
      </w:r>
      <w:r>
        <w:t>es</w:t>
      </w:r>
      <w:r w:rsidRPr="00946CA2">
        <w:t xml:space="preserve"> and immediate response</w:t>
      </w:r>
      <w:r>
        <w:t>s were in place, venue exclusions were encouraged and venue staff had adequate resources and tools to meet host responsibility requirements.</w:t>
      </w:r>
    </w:p>
    <w:p w14:paraId="16AFAD8C" w14:textId="77777777" w:rsidR="00825BD0" w:rsidRDefault="00825BD0" w:rsidP="00825BD0">
      <w:r>
        <w:t>It is important to note that many interviewed participants highlighted a need for training content to move beyond meeting regulation requirements and increase venue staff understandings about the extent of harms experienced by individuals and whanau/families, the important impact they can have in reducing these harms, the types of support services they can refer potential patrons to and what these services can provide. Participants emphasised that the delivery of harm minimisation training would be strengthened by inclusion of lived experience and M</w:t>
      </w:r>
      <w:r>
        <w:rPr>
          <w:rFonts w:cstheme="minorHAnsi"/>
        </w:rPr>
        <w:t>ā</w:t>
      </w:r>
      <w:r>
        <w:t xml:space="preserve">ori, Pacific and Asian gambling harm providers/facilitators, increased role-play and site visits to gambling provider services. It is important to note that one participant also highlighted a need to ensure harm minimisation and safety measures were in place for venue staff given their frequent presence in an </w:t>
      </w:r>
      <w:r>
        <w:lastRenderedPageBreak/>
        <w:t xml:space="preserve">environment that normalises gambling behaviour and increases accessibility to gambling - Improved training content and venue rules about personal use of EGMs were recommended. </w:t>
      </w:r>
    </w:p>
    <w:p w14:paraId="189435E8" w14:textId="30A1456B" w:rsidR="00495A48" w:rsidRPr="00F24F43" w:rsidRDefault="00495A48" w:rsidP="00495A48">
      <w:pPr>
        <w:pStyle w:val="Quotes"/>
        <w:ind w:left="-142"/>
        <w:jc w:val="center"/>
        <w:rPr>
          <w:lang w:val="en-US"/>
        </w:rPr>
      </w:pPr>
      <w:r w:rsidRPr="00495A48">
        <w:rPr>
          <w:lang w:val="en-US"/>
        </w:rPr>
        <w:drawing>
          <wp:inline distT="0" distB="0" distL="0" distR="0" wp14:anchorId="35F0E83F" wp14:editId="2B1DA1E2">
            <wp:extent cx="5928645" cy="2857500"/>
            <wp:effectExtent l="0" t="0" r="0" b="0"/>
            <wp:docPr id="1684188109" name="Picture 1" descr="Two quotes in white text on a blue background&#10;&#10;Four quotes in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88109" name="Picture 1" descr="Two quotes in white text on a blue background&#10;&#10;Four quotes in red text"/>
                    <pic:cNvPicPr/>
                  </pic:nvPicPr>
                  <pic:blipFill>
                    <a:blip r:embed="rId79"/>
                    <a:stretch>
                      <a:fillRect/>
                    </a:stretch>
                  </pic:blipFill>
                  <pic:spPr>
                    <a:xfrm>
                      <a:off x="0" y="0"/>
                      <a:ext cx="5942521" cy="2864188"/>
                    </a:xfrm>
                    <a:prstGeom prst="rect">
                      <a:avLst/>
                    </a:prstGeom>
                  </pic:spPr>
                </pic:pic>
              </a:graphicData>
            </a:graphic>
          </wp:inline>
        </w:drawing>
      </w:r>
    </w:p>
    <w:p w14:paraId="0D1F30EA" w14:textId="77777777" w:rsidR="00825BD0" w:rsidRDefault="00825BD0" w:rsidP="00825BD0">
      <w:pPr>
        <w:pStyle w:val="Bulleted"/>
        <w:numPr>
          <w:ilvl w:val="0"/>
          <w:numId w:val="0"/>
        </w:numPr>
        <w:ind w:left="720" w:hanging="360"/>
      </w:pPr>
    </w:p>
    <w:p w14:paraId="1B12D89A" w14:textId="09D2CA7C" w:rsidR="00A17EA0" w:rsidRDefault="00A17EA0" w:rsidP="00A17EA0">
      <w:pPr>
        <w:pStyle w:val="Heading5"/>
      </w:pPr>
      <w:bookmarkStart w:id="228" w:name="_Toc166507419"/>
      <w:r>
        <w:lastRenderedPageBreak/>
        <w:t>Research service needs</w:t>
      </w:r>
      <w:bookmarkEnd w:id="228"/>
    </w:p>
    <w:p w14:paraId="5F2081E6" w14:textId="7370485C" w:rsidR="00F84BC7" w:rsidRDefault="00F84BC7" w:rsidP="00F84BC7">
      <w:r>
        <w:t xml:space="preserve">Most interviewed participants highlighted a range of research and evidence gaps and noted a need </w:t>
      </w:r>
      <w:r w:rsidR="00550A0B">
        <w:t>for the Strategy to ensure:</w:t>
      </w:r>
    </w:p>
    <w:p w14:paraId="7D243F2D" w14:textId="77777777" w:rsidR="00F84BC7" w:rsidRDefault="00F84BC7" w:rsidP="00F84BC7">
      <w:pPr>
        <w:pStyle w:val="Bulleted"/>
      </w:pPr>
      <w:r>
        <w:rPr>
          <w:b/>
          <w:bCs/>
        </w:rPr>
        <w:t>A range of commissioning approaches:</w:t>
      </w:r>
      <w:r w:rsidRPr="00A028D1">
        <w:rPr>
          <w:b/>
          <w:bCs/>
        </w:rPr>
        <w:t xml:space="preserve"> </w:t>
      </w:r>
      <w:r>
        <w:t>Some participants noted limited research funding opportunities in recent years and potentially limiting opportunities with the recent RFP - live at the time of interviewing. RFP research topics, eligibility criteria and available funds were considered prescriptive, exclusive and a barrier to undertaking robust and extensive studies. In contrast, others highlighted limited opportunities for timely research that is responsive to sector needs and recommended spreading and/or staggering research funds annually rather than committing all funds to fixed term projects in the first term of a three-year strategy. Man</w:t>
      </w:r>
      <w:r w:rsidRPr="00A028D1">
        <w:rPr>
          <w:lang w:val="en-US"/>
        </w:rPr>
        <w:t>at</w:t>
      </w:r>
      <w:r w:rsidRPr="00A028D1">
        <w:rPr>
          <w:rFonts w:cs="Calibri"/>
          <w:lang w:val="en-US"/>
        </w:rPr>
        <w:t>ū</w:t>
      </w:r>
      <w:r w:rsidRPr="00A028D1">
        <w:rPr>
          <w:lang w:val="en-US"/>
        </w:rPr>
        <w:t xml:space="preserve"> Hauora </w:t>
      </w:r>
      <w:r>
        <w:t>remain open to this process and acknowledge that while there was no set timeline for the commissioning of previous research funds, COVID, health reform and sector changes resulted in a bulk funding approach.</w:t>
      </w:r>
    </w:p>
    <w:p w14:paraId="72988D64" w14:textId="77777777" w:rsidR="00F84BC7" w:rsidRDefault="00F84BC7" w:rsidP="00F84BC7">
      <w:pPr>
        <w:ind w:left="714"/>
      </w:pPr>
      <w:r>
        <w:t>Commissioning research at the same time as service provider procurement and commissioning was considered ill-timed and rushed during the latter part of 2023. Extension within the recent RFP to international gambling research providers/organisations was perceived by some to reflect a lack of commitment to developing New Zealand based research capacity, and highlighted a risk that international researchers, if commissioned, may have limited understanding of the New Zealand harmful gambling context.</w:t>
      </w:r>
    </w:p>
    <w:p w14:paraId="73E3F90A" w14:textId="0FF5F8DF" w:rsidR="002B329B" w:rsidRDefault="002B329B" w:rsidP="007E3533">
      <w:pPr>
        <w:pStyle w:val="Quotes"/>
        <w:ind w:left="720"/>
        <w:jc w:val="center"/>
      </w:pPr>
      <w:r w:rsidRPr="002B329B">
        <w:drawing>
          <wp:inline distT="0" distB="0" distL="0" distR="0" wp14:anchorId="6A592ACC" wp14:editId="321FE390">
            <wp:extent cx="4749208" cy="2137144"/>
            <wp:effectExtent l="0" t="0" r="0" b="0"/>
            <wp:docPr id="676790273" name="Picture 1" descr="Two quotes in white text on a blue background&#10;&#10;Two quotes in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90273" name="Picture 1" descr="Two quotes in white text on a blue background&#10;&#10;Two quotes in red text"/>
                    <pic:cNvPicPr/>
                  </pic:nvPicPr>
                  <pic:blipFill>
                    <a:blip r:embed="rId80"/>
                    <a:stretch>
                      <a:fillRect/>
                    </a:stretch>
                  </pic:blipFill>
                  <pic:spPr>
                    <a:xfrm>
                      <a:off x="0" y="0"/>
                      <a:ext cx="4773345" cy="2148006"/>
                    </a:xfrm>
                    <a:prstGeom prst="rect">
                      <a:avLst/>
                    </a:prstGeom>
                  </pic:spPr>
                </pic:pic>
              </a:graphicData>
            </a:graphic>
          </wp:inline>
        </w:drawing>
      </w:r>
    </w:p>
    <w:p w14:paraId="682BF8CE" w14:textId="77777777" w:rsidR="00F84BC7" w:rsidRDefault="00F84BC7" w:rsidP="007E3533">
      <w:pPr>
        <w:pStyle w:val="Bulleted"/>
        <w:spacing w:after="120"/>
      </w:pPr>
      <w:r>
        <w:rPr>
          <w:b/>
          <w:bCs/>
        </w:rPr>
        <w:t>More up-to-date prevalence data and better research dissemination:</w:t>
      </w:r>
      <w:r>
        <w:t xml:space="preserve"> Some participants considered gambling prevalence data was outdated, and noted there was no recent measurement of online gambling participation/prevalence. A small number of participants expressed concerns that government and agency regulatory bodies were informed by outdated and international (rather than New Zealand based) research and evidence. However, it is important to note that prevalence data is available up to 2020 and a new </w:t>
      </w:r>
      <w:r>
        <w:lastRenderedPageBreak/>
        <w:t xml:space="preserve">survey is currently in the field. Also, The Health and Lifestyles survey had included questions about online gambling since 2010 – with the 2018 and 2020 surveys including more detailed questions about overseas online, Lotto online and TAB online gambling participation. These insights suggest a lack of awareness among all gambling stakeholders and a need to ensure research findings and communications are clear and available, and dissemination methods build on what is currently in place – i.e., the </w:t>
      </w:r>
      <w:r>
        <w:rPr>
          <w:lang w:val="en-US"/>
        </w:rPr>
        <w:t>Manat</w:t>
      </w:r>
      <w:r>
        <w:rPr>
          <w:rFonts w:cs="Calibri"/>
          <w:lang w:val="en-US"/>
        </w:rPr>
        <w:t>ū</w:t>
      </w:r>
      <w:r>
        <w:rPr>
          <w:lang w:val="en-US"/>
        </w:rPr>
        <w:t xml:space="preserve"> Hauora </w:t>
      </w:r>
      <w:r>
        <w:t>Website, LinkedIn and FaceBook pages, conference and workshop updates and a directory newsletter. It is also important to note some participants’ views about a need to accurately capture the reach of harmful gambling impacts – specifically the number of people affected by a harmful gambler.</w:t>
      </w:r>
    </w:p>
    <w:p w14:paraId="1FAB9E69" w14:textId="3D5198A8" w:rsidR="007E3533" w:rsidRDefault="007E3533" w:rsidP="007E3533">
      <w:pPr>
        <w:pStyle w:val="Quotes"/>
        <w:spacing w:after="0"/>
        <w:ind w:left="142"/>
        <w:jc w:val="center"/>
      </w:pPr>
      <w:r w:rsidRPr="007E3533">
        <w:drawing>
          <wp:inline distT="0" distB="0" distL="0" distR="0" wp14:anchorId="7E5A2D8F" wp14:editId="3DAA28C9">
            <wp:extent cx="4645734" cy="1345721"/>
            <wp:effectExtent l="0" t="0" r="2540" b="6985"/>
            <wp:docPr id="959970796" name="Picture 1" descr="Two quotes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70796" name="Picture 1" descr="Two quotes in blue text"/>
                    <pic:cNvPicPr/>
                  </pic:nvPicPr>
                  <pic:blipFill>
                    <a:blip r:embed="rId81"/>
                    <a:stretch>
                      <a:fillRect/>
                    </a:stretch>
                  </pic:blipFill>
                  <pic:spPr>
                    <a:xfrm>
                      <a:off x="0" y="0"/>
                      <a:ext cx="4707163" cy="1363515"/>
                    </a:xfrm>
                    <a:prstGeom prst="rect">
                      <a:avLst/>
                    </a:prstGeom>
                  </pic:spPr>
                </pic:pic>
              </a:graphicData>
            </a:graphic>
          </wp:inline>
        </w:drawing>
      </w:r>
    </w:p>
    <w:p w14:paraId="45ECA9D9" w14:textId="77777777" w:rsidR="00F84BC7" w:rsidRDefault="00F84BC7" w:rsidP="00F84BC7">
      <w:pPr>
        <w:pStyle w:val="Bulleted"/>
      </w:pPr>
      <w:r>
        <w:rPr>
          <w:b/>
          <w:bCs/>
        </w:rPr>
        <w:t>Review and refinement of the r</w:t>
      </w:r>
      <w:r w:rsidRPr="0057520A">
        <w:rPr>
          <w:b/>
          <w:bCs/>
        </w:rPr>
        <w:t xml:space="preserve">esearch priorities: </w:t>
      </w:r>
      <w:r>
        <w:t xml:space="preserve">A small number of participants noted a need to review and reset the gambling harm research priorities and agenda – some perceived the priorities were informed by international experts with limited New Zealand contextual insights – others considered previous and recent research RFP topic projects were </w:t>
      </w:r>
      <w:r w:rsidRPr="00A028D1">
        <w:rPr>
          <w:rStyle w:val="QuotesChar"/>
          <w:sz w:val="22"/>
          <w:szCs w:val="22"/>
        </w:rPr>
        <w:t>fragmented and conducted by groups for limited purpose (Gambling industry 6)</w:t>
      </w:r>
      <w:r w:rsidRPr="00A028D1">
        <w:t>.</w:t>
      </w:r>
      <w:r>
        <w:t xml:space="preserve"> Some participants also emphasised a requirement for greater inclusion of lived experience voice. </w:t>
      </w:r>
    </w:p>
    <w:p w14:paraId="20E4967C" w14:textId="463F3D43" w:rsidR="009417E1" w:rsidRDefault="009417E1" w:rsidP="00F84BC7">
      <w:pPr>
        <w:pStyle w:val="Quotes"/>
        <w:ind w:left="567"/>
        <w:jc w:val="center"/>
      </w:pPr>
      <w:r w:rsidRPr="009417E1">
        <w:drawing>
          <wp:inline distT="0" distB="0" distL="0" distR="0" wp14:anchorId="031DFBA6" wp14:editId="0A1A130B">
            <wp:extent cx="5466509" cy="831272"/>
            <wp:effectExtent l="0" t="0" r="1270" b="6985"/>
            <wp:docPr id="1744577565" name="Picture 1" descr="Two quotes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77565" name="Picture 1" descr="Two quotes in blue text"/>
                    <pic:cNvPicPr/>
                  </pic:nvPicPr>
                  <pic:blipFill>
                    <a:blip r:embed="rId82"/>
                    <a:stretch>
                      <a:fillRect/>
                    </a:stretch>
                  </pic:blipFill>
                  <pic:spPr>
                    <a:xfrm>
                      <a:off x="0" y="0"/>
                      <a:ext cx="5485955" cy="834229"/>
                    </a:xfrm>
                    <a:prstGeom prst="rect">
                      <a:avLst/>
                    </a:prstGeom>
                  </pic:spPr>
                </pic:pic>
              </a:graphicData>
            </a:graphic>
          </wp:inline>
        </w:drawing>
      </w:r>
    </w:p>
    <w:p w14:paraId="6CE0B284" w14:textId="77777777" w:rsidR="00F84BC7" w:rsidRDefault="00F84BC7" w:rsidP="00F84BC7">
      <w:pPr>
        <w:ind w:firstLine="567"/>
      </w:pPr>
      <w:r>
        <w:t>Some participants specifically highlighted a need for research on:</w:t>
      </w:r>
    </w:p>
    <w:p w14:paraId="032D69C4" w14:textId="77777777" w:rsidR="00F84BC7" w:rsidRDefault="00F84BC7" w:rsidP="00F84BC7">
      <w:pPr>
        <w:pStyle w:val="Second-levelbullets"/>
        <w:numPr>
          <w:ilvl w:val="1"/>
          <w:numId w:val="35"/>
        </w:numPr>
      </w:pPr>
      <w:r>
        <w:t xml:space="preserve">Cashless and online gambling, and gaming and gambling </w:t>
      </w:r>
    </w:p>
    <w:p w14:paraId="003F48C4" w14:textId="559B7FDC" w:rsidR="00F84BC7" w:rsidRDefault="00F84BC7" w:rsidP="00F84BC7">
      <w:pPr>
        <w:pStyle w:val="Second-levelbullets"/>
        <w:numPr>
          <w:ilvl w:val="1"/>
          <w:numId w:val="35"/>
        </w:numPr>
      </w:pPr>
      <w:r>
        <w:t>Different forms of gambling</w:t>
      </w:r>
    </w:p>
    <w:p w14:paraId="16D74267" w14:textId="77777777" w:rsidR="00F84BC7" w:rsidRDefault="00F84BC7" w:rsidP="00F84BC7">
      <w:pPr>
        <w:pStyle w:val="Second-levelbullets"/>
        <w:ind w:left="1843"/>
      </w:pPr>
      <w:r>
        <w:t>Outcomes for harmful gamblers and/or wh</w:t>
      </w:r>
      <w:r w:rsidRPr="004C211C">
        <w:rPr>
          <w:rFonts w:cstheme="minorHAnsi"/>
        </w:rPr>
        <w:t>ā</w:t>
      </w:r>
      <w:r>
        <w:t>nau/families who present to gambling harm services.</w:t>
      </w:r>
    </w:p>
    <w:p w14:paraId="5B1B208F" w14:textId="77777777" w:rsidR="00F84BC7" w:rsidRDefault="00F84BC7" w:rsidP="00F84BC7">
      <w:pPr>
        <w:pStyle w:val="Bulleted"/>
        <w:numPr>
          <w:ilvl w:val="0"/>
          <w:numId w:val="0"/>
        </w:numPr>
        <w:ind w:left="714" w:hanging="357"/>
      </w:pPr>
    </w:p>
    <w:p w14:paraId="1A6D102E" w14:textId="44838C60" w:rsidR="00E740FD" w:rsidRDefault="00F83ED3" w:rsidP="00F84BC7">
      <w:pPr>
        <w:pStyle w:val="Bulleted"/>
        <w:numPr>
          <w:ilvl w:val="0"/>
          <w:numId w:val="0"/>
        </w:numPr>
        <w:ind w:left="714" w:hanging="357"/>
        <w:jc w:val="center"/>
      </w:pPr>
      <w:r w:rsidRPr="00F83ED3">
        <w:rPr>
          <w:noProof/>
        </w:rPr>
        <w:lastRenderedPageBreak/>
        <w:t xml:space="preserve"> </w:t>
      </w:r>
      <w:r w:rsidRPr="00F83ED3">
        <w:rPr>
          <w:noProof/>
        </w:rPr>
        <w:drawing>
          <wp:inline distT="0" distB="0" distL="0" distR="0" wp14:anchorId="2D62D955" wp14:editId="34409704">
            <wp:extent cx="4619350" cy="1233577"/>
            <wp:effectExtent l="0" t="0" r="0" b="5080"/>
            <wp:docPr id="1665608339" name="Picture 1" descr="Two quotes in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08339" name="Picture 1" descr="Two quotes in red text"/>
                    <pic:cNvPicPr/>
                  </pic:nvPicPr>
                  <pic:blipFill>
                    <a:blip r:embed="rId83"/>
                    <a:stretch>
                      <a:fillRect/>
                    </a:stretch>
                  </pic:blipFill>
                  <pic:spPr>
                    <a:xfrm>
                      <a:off x="0" y="0"/>
                      <a:ext cx="4654329" cy="1242918"/>
                    </a:xfrm>
                    <a:prstGeom prst="rect">
                      <a:avLst/>
                    </a:prstGeom>
                  </pic:spPr>
                </pic:pic>
              </a:graphicData>
            </a:graphic>
          </wp:inline>
        </w:drawing>
      </w:r>
    </w:p>
    <w:p w14:paraId="7D991098" w14:textId="77777777" w:rsidR="00F84BC7" w:rsidRDefault="00F84BC7" w:rsidP="00F84BC7">
      <w:pPr>
        <w:pStyle w:val="Bulleted"/>
      </w:pPr>
      <w:r>
        <w:rPr>
          <w:b/>
          <w:bCs/>
        </w:rPr>
        <w:t>Growth and retention of gambling harm re</w:t>
      </w:r>
      <w:r w:rsidRPr="0057520A">
        <w:rPr>
          <w:b/>
          <w:bCs/>
        </w:rPr>
        <w:t>search capacity:</w:t>
      </w:r>
      <w:r>
        <w:t xml:space="preserve"> Most research representatives noted a need to increase gambling research capacity and suggested investment in building the pipeline of potential researchers/experts in the field through MA/PhD scholarships (and ensuring adequate supervision and support was in place with academic institutions.</w:t>
      </w:r>
    </w:p>
    <w:p w14:paraId="5885C32F" w14:textId="7F3AA9A2" w:rsidR="007E3533" w:rsidRDefault="007E3533" w:rsidP="00F84BC7">
      <w:pPr>
        <w:pStyle w:val="Quotes"/>
        <w:ind w:left="714"/>
      </w:pPr>
      <w:r w:rsidRPr="007E3533">
        <w:drawing>
          <wp:inline distT="0" distB="0" distL="0" distR="0" wp14:anchorId="088AB9EB" wp14:editId="7FC95230">
            <wp:extent cx="5317328" cy="793631"/>
            <wp:effectExtent l="0" t="0" r="0" b="6985"/>
            <wp:docPr id="1476710075" name="Picture 1" descr="Two quotes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10075" name="Picture 1" descr="Two quotes in blue text"/>
                    <pic:cNvPicPr/>
                  </pic:nvPicPr>
                  <pic:blipFill>
                    <a:blip r:embed="rId84"/>
                    <a:stretch>
                      <a:fillRect/>
                    </a:stretch>
                  </pic:blipFill>
                  <pic:spPr>
                    <a:xfrm>
                      <a:off x="0" y="0"/>
                      <a:ext cx="5422493" cy="809327"/>
                    </a:xfrm>
                    <a:prstGeom prst="rect">
                      <a:avLst/>
                    </a:prstGeom>
                  </pic:spPr>
                </pic:pic>
              </a:graphicData>
            </a:graphic>
          </wp:inline>
        </w:drawing>
      </w:r>
    </w:p>
    <w:p w14:paraId="51AFDDEB" w14:textId="77777777" w:rsidR="00F84BC7" w:rsidRDefault="00F84BC7" w:rsidP="00F84BC7">
      <w:pPr>
        <w:pStyle w:val="Bulleted"/>
      </w:pPr>
      <w:r>
        <w:rPr>
          <w:b/>
          <w:bCs/>
        </w:rPr>
        <w:t>Better utilisation of government administrative data</w:t>
      </w:r>
      <w:r w:rsidRPr="0057520A">
        <w:rPr>
          <w:b/>
          <w:bCs/>
        </w:rPr>
        <w:t xml:space="preserve"> </w:t>
      </w:r>
      <w:r>
        <w:rPr>
          <w:b/>
          <w:bCs/>
        </w:rPr>
        <w:t>and translation of research findings into policy</w:t>
      </w:r>
      <w:r w:rsidRPr="0057520A">
        <w:rPr>
          <w:b/>
          <w:bCs/>
        </w:rPr>
        <w:t xml:space="preserve">: </w:t>
      </w:r>
      <w:r>
        <w:t xml:space="preserve">Some participants highlighted a critical need to translate research into policy implications and optimise the use of routinely collected data in agencies (e.g., DIA) to inform policy and strategic information needs and priorities – such as understanding why gambling expenditure has increased despite a reduction in the number of EGMs. Learnings may be gained from the process MSD undertook with the Growing Up in New Zealand data where researchers and policy analysts worked together to address information gaps and analysis. </w:t>
      </w:r>
    </w:p>
    <w:p w14:paraId="146D5FC9" w14:textId="485685FF" w:rsidR="007E3533" w:rsidRDefault="007E3533" w:rsidP="00F83ED3">
      <w:pPr>
        <w:spacing w:after="0"/>
        <w:jc w:val="center"/>
      </w:pPr>
      <w:r w:rsidRPr="00495A48">
        <w:rPr>
          <w:noProof/>
        </w:rPr>
        <w:drawing>
          <wp:inline distT="0" distB="0" distL="0" distR="0" wp14:anchorId="3A5F5377" wp14:editId="4B284AC7">
            <wp:extent cx="3390181" cy="2656936"/>
            <wp:effectExtent l="0" t="0" r="1270" b="0"/>
            <wp:docPr id="450184316" name="Picture 1" descr="Two quotes in white text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84316" name="Picture 1" descr="Two quotes in white text on a blue background"/>
                    <pic:cNvPicPr/>
                  </pic:nvPicPr>
                  <pic:blipFill>
                    <a:blip r:embed="rId85"/>
                    <a:stretch>
                      <a:fillRect/>
                    </a:stretch>
                  </pic:blipFill>
                  <pic:spPr>
                    <a:xfrm>
                      <a:off x="0" y="0"/>
                      <a:ext cx="3409820" cy="2672328"/>
                    </a:xfrm>
                    <a:prstGeom prst="rect">
                      <a:avLst/>
                    </a:prstGeom>
                  </pic:spPr>
                </pic:pic>
              </a:graphicData>
            </a:graphic>
          </wp:inline>
        </w:drawing>
      </w:r>
    </w:p>
    <w:p w14:paraId="62E16380" w14:textId="77777777" w:rsidR="00F84BC7" w:rsidRDefault="00F84BC7" w:rsidP="00F84BC7">
      <w:pPr>
        <w:ind w:left="709"/>
        <w:rPr>
          <w:lang w:val="en-US"/>
        </w:rPr>
      </w:pPr>
      <w:r>
        <w:rPr>
          <w:lang w:val="en-US"/>
        </w:rPr>
        <w:lastRenderedPageBreak/>
        <w:t>A small number of participants also reiterated that previous research recommendations highlighted by Synergia (2022) to understand the drivers for decreasing presentations to services and increasing expenditure remain outstanding:</w:t>
      </w:r>
    </w:p>
    <w:p w14:paraId="7BB30B40" w14:textId="77777777" w:rsidR="00F84BC7" w:rsidRDefault="00F84BC7" w:rsidP="00F84BC7">
      <w:pPr>
        <w:pStyle w:val="Bulleted"/>
        <w:numPr>
          <w:ilvl w:val="0"/>
          <w:numId w:val="0"/>
        </w:numPr>
        <w:ind w:left="714"/>
      </w:pPr>
      <w:r>
        <w:t>A small number of participants also noted a need to critically review all gambling research and ensure that administrative provider data and levy considerations clarify:</w:t>
      </w:r>
    </w:p>
    <w:p w14:paraId="1EC389B8" w14:textId="77777777" w:rsidR="00F84BC7" w:rsidRDefault="00F84BC7" w:rsidP="00F84BC7">
      <w:pPr>
        <w:pStyle w:val="Second-levelbullets"/>
      </w:pPr>
      <w:r>
        <w:t>whether the number of persons presenting to services are unique individuals or multiple presentations by the same person</w:t>
      </w:r>
    </w:p>
    <w:p w14:paraId="4E8707DF" w14:textId="77777777" w:rsidR="00F84BC7" w:rsidRDefault="00F84BC7" w:rsidP="00F84BC7">
      <w:pPr>
        <w:pStyle w:val="Second-levelbullets"/>
      </w:pPr>
      <w:r>
        <w:t>unique versus multiple treatments.</w:t>
      </w:r>
    </w:p>
    <w:p w14:paraId="2D45E069" w14:textId="77777777" w:rsidR="00F84BC7" w:rsidRDefault="00F84BC7" w:rsidP="00F84BC7">
      <w:pPr>
        <w:ind w:left="709"/>
      </w:pPr>
      <w:r>
        <w:t>These participants also highlighted a need for research and evidence to address the following questions:</w:t>
      </w:r>
    </w:p>
    <w:p w14:paraId="6CBEF349" w14:textId="77777777" w:rsidR="00F84BC7" w:rsidRDefault="00F84BC7" w:rsidP="00F84BC7">
      <w:pPr>
        <w:pStyle w:val="Second-levelbullets"/>
      </w:pPr>
      <w:r>
        <w:t>What impact is the over $20 million each year having on gambling harm?</w:t>
      </w:r>
    </w:p>
    <w:p w14:paraId="74881ADF" w14:textId="77777777" w:rsidR="00F84BC7" w:rsidRDefault="00F84BC7" w:rsidP="00F84BC7">
      <w:pPr>
        <w:pStyle w:val="Second-levelbullets"/>
      </w:pPr>
      <w:r>
        <w:t>Which of the strategies that have been implemented over the last 10 years has had the most positive impact?</w:t>
      </w:r>
    </w:p>
    <w:p w14:paraId="45A3E621" w14:textId="4471A76F" w:rsidR="00495A48" w:rsidRDefault="00495A48" w:rsidP="00F84BC7">
      <w:pPr>
        <w:pStyle w:val="Bulleted"/>
        <w:numPr>
          <w:ilvl w:val="0"/>
          <w:numId w:val="0"/>
        </w:numPr>
        <w:ind w:left="714" w:hanging="357"/>
        <w:jc w:val="center"/>
      </w:pPr>
    </w:p>
    <w:p w14:paraId="397DF1BF" w14:textId="77777777" w:rsidR="00F84BC7" w:rsidRPr="00F84BC7" w:rsidRDefault="00F84BC7" w:rsidP="00F84BC7"/>
    <w:p w14:paraId="57538047" w14:textId="672E4059" w:rsidR="001C368F" w:rsidRPr="001C368F" w:rsidRDefault="001C368F" w:rsidP="0057520A">
      <w:pPr>
        <w:pStyle w:val="Heading1"/>
      </w:pPr>
      <w:bookmarkStart w:id="229" w:name="_Toc166507420"/>
      <w:r>
        <w:lastRenderedPageBreak/>
        <w:t>References</w:t>
      </w:r>
      <w:bookmarkEnd w:id="229"/>
    </w:p>
    <w:p w14:paraId="320D0D90" w14:textId="362C954A" w:rsidR="009436DF" w:rsidRDefault="00846AB0" w:rsidP="00237538">
      <w:pPr>
        <w:pStyle w:val="Bibliography"/>
        <w:spacing w:line="276" w:lineRule="auto"/>
      </w:pPr>
      <w:r>
        <w:fldChar w:fldCharType="begin"/>
      </w:r>
      <w:r>
        <w:instrText xml:space="preserve"> ADDIN ZOTERO_BIBL {"uncited":[],"omitted":[],"custom":[]} CSL_BIBLIOGRAPHY </w:instrText>
      </w:r>
      <w:r>
        <w:fldChar w:fldCharType="separate"/>
      </w:r>
      <w:r w:rsidR="009436DF">
        <w:t xml:space="preserve">Abbot, M., Bellringer, M., &amp; Garrett, N. (2018). </w:t>
      </w:r>
      <w:r w:rsidR="009436DF">
        <w:rPr>
          <w:i/>
          <w:iCs/>
        </w:rPr>
        <w:t>New Zealand National Gambling Study: Wave 4 (2015)</w:t>
      </w:r>
      <w:r w:rsidR="009436DF">
        <w:t xml:space="preserve">. Auckland University of Technology, Gambling and Addictions Research Centre. </w:t>
      </w:r>
      <w:r w:rsidR="00237538" w:rsidRPr="00237538">
        <w:t>https://www.health.govt.nz/system/files/documents/publications/national-gambling-study-report-6-aug18.pdf</w:t>
      </w:r>
      <w:r w:rsidR="00237538">
        <w:t xml:space="preserve">  </w:t>
      </w:r>
    </w:p>
    <w:p w14:paraId="39CE2C53" w14:textId="77777777" w:rsidR="009436DF" w:rsidRDefault="009436DF" w:rsidP="00237538">
      <w:pPr>
        <w:pStyle w:val="Bibliography"/>
        <w:spacing w:line="276" w:lineRule="auto"/>
      </w:pPr>
      <w:r>
        <w:t xml:space="preserve">Abbott, M. (2017). Gambling and Gambling Harm in New Zealand: A 28-Year Case Study. </w:t>
      </w:r>
      <w:r>
        <w:rPr>
          <w:i/>
          <w:iCs/>
        </w:rPr>
        <w:t>International Journal of Mental Health and Addiction</w:t>
      </w:r>
      <w:r>
        <w:t xml:space="preserve">, </w:t>
      </w:r>
      <w:r>
        <w:rPr>
          <w:i/>
          <w:iCs/>
        </w:rPr>
        <w:t>15</w:t>
      </w:r>
      <w:r>
        <w:t>(6), Article 6. https://doi.org/10.1007/s11469-017-9767-6</w:t>
      </w:r>
    </w:p>
    <w:p w14:paraId="35872BEB" w14:textId="77777777" w:rsidR="009436DF" w:rsidRDefault="009436DF" w:rsidP="00237538">
      <w:pPr>
        <w:pStyle w:val="Bibliography"/>
        <w:spacing w:line="276" w:lineRule="auto"/>
      </w:pPr>
      <w:r>
        <w:t xml:space="preserve">Abbott, M., Bellringer, M., Garrett, N., &amp; Mundy-McPherson, S. (2014). </w:t>
      </w:r>
      <w:r>
        <w:rPr>
          <w:i/>
          <w:iCs/>
        </w:rPr>
        <w:t>New Zealand 2012 National Gambling Study: Gambling Harm and Problem Gambling. Report Number 2</w:t>
      </w:r>
      <w:r>
        <w:t>. Ministry of Health – Manatū Hauora, New Zealand Government. https://hdl.handle.net/10292/12853</w:t>
      </w:r>
    </w:p>
    <w:p w14:paraId="1DAC9FF4" w14:textId="77777777" w:rsidR="009436DF" w:rsidRDefault="009436DF" w:rsidP="00237538">
      <w:pPr>
        <w:pStyle w:val="Bibliography"/>
        <w:spacing w:line="276" w:lineRule="auto"/>
      </w:pPr>
      <w:r>
        <w:t xml:space="preserve">Abbott, M., &amp; Volberg, R. (1991). </w:t>
      </w:r>
      <w:r>
        <w:rPr>
          <w:i/>
          <w:iCs/>
        </w:rPr>
        <w:t>Gambling and problem gambling in New Zealand</w:t>
      </w:r>
      <w:r>
        <w:t xml:space="preserve"> (Research Series No. 12). Department of Internal Affairs.</w:t>
      </w:r>
    </w:p>
    <w:p w14:paraId="0281155B" w14:textId="77777777" w:rsidR="009436DF" w:rsidRDefault="009436DF" w:rsidP="00237538">
      <w:pPr>
        <w:pStyle w:val="Bibliography"/>
        <w:spacing w:line="276" w:lineRule="auto"/>
      </w:pPr>
      <w:r>
        <w:t xml:space="preserve">Abbott, M., &amp; Volberg, R. (2000). </w:t>
      </w:r>
      <w:r>
        <w:rPr>
          <w:i/>
          <w:iCs/>
        </w:rPr>
        <w:t>Taking the pulse on gambling and problem gambling in New Zealand: A report on Phase One of the 1999 National Prevalence Survey.</w:t>
      </w:r>
      <w:r>
        <w:t xml:space="preserve"> Department of Internal Affairs. https://www.dia.govt.nz/diawebsite.nsf/wpg_URL/Resource-material-Our-Research-and-Reports-New-Zealand-Gaming-Survey?OpenDocument#ph1</w:t>
      </w:r>
    </w:p>
    <w:p w14:paraId="2D1D0300" w14:textId="77777777" w:rsidR="00C952FD" w:rsidRDefault="00C952FD" w:rsidP="00237538">
      <w:pPr>
        <w:pStyle w:val="Bibliography"/>
        <w:spacing w:line="276" w:lineRule="auto"/>
      </w:pPr>
      <w:r>
        <w:t xml:space="preserve">Archer, D., King-Finau, T., Kuresa, B., &amp; Fleming, T. (2021). </w:t>
      </w:r>
      <w:r>
        <w:rPr>
          <w:i/>
          <w:iCs/>
        </w:rPr>
        <w:t>Youth19 Gambling Brief</w:t>
      </w:r>
      <w:r>
        <w:t>. The Youth19 Researchers and The Adolescent Health Research Group. https://www.youth19.ac.nz/publications/gambling</w:t>
      </w:r>
    </w:p>
    <w:p w14:paraId="4D08E0A8" w14:textId="77777777" w:rsidR="009436DF" w:rsidRDefault="009436DF" w:rsidP="00237538">
      <w:pPr>
        <w:pStyle w:val="Bibliography"/>
        <w:spacing w:line="276" w:lineRule="auto"/>
      </w:pPr>
      <w:r>
        <w:t xml:space="preserve">Bellringer, M. E., Janicot, S., &amp; Ikeda, T. (2024). Changes in some health and lifestyle behaviours are significantly associated with changes in gambling behaviours: Findings from a longitudinal New Zealand population study. </w:t>
      </w:r>
      <w:r>
        <w:rPr>
          <w:i/>
          <w:iCs/>
        </w:rPr>
        <w:t>Addictive Behaviors</w:t>
      </w:r>
      <w:r>
        <w:t xml:space="preserve">, </w:t>
      </w:r>
      <w:r>
        <w:rPr>
          <w:i/>
          <w:iCs/>
        </w:rPr>
        <w:t>149</w:t>
      </w:r>
      <w:r>
        <w:t>, 107886. https://doi.org/10.1016/j.addbeh.2023.107886</w:t>
      </w:r>
    </w:p>
    <w:p w14:paraId="689F6CB6" w14:textId="77777777" w:rsidR="009436DF" w:rsidRDefault="009436DF" w:rsidP="00237538">
      <w:pPr>
        <w:pStyle w:val="Bibliography"/>
        <w:spacing w:line="276" w:lineRule="auto"/>
      </w:pPr>
      <w:r>
        <w:t xml:space="preserve">Bevin, A. (2022, October 10). </w:t>
      </w:r>
      <w:r>
        <w:rPr>
          <w:i/>
          <w:iCs/>
        </w:rPr>
        <w:t>Online gambling products ‘aggressively’ targeting NZ</w:t>
      </w:r>
      <w:r>
        <w:t>. Newsroom. http://newsroom.co.nz/2022/10/10/online-gambling-aggressively-targeting-new-zealand/</w:t>
      </w:r>
    </w:p>
    <w:p w14:paraId="471A8099" w14:textId="77777777" w:rsidR="009436DF" w:rsidRDefault="009436DF" w:rsidP="00237538">
      <w:pPr>
        <w:pStyle w:val="Bibliography"/>
        <w:spacing w:line="276" w:lineRule="auto"/>
      </w:pPr>
      <w:r>
        <w:t xml:space="preserve">Browne, M., Delfabbro, P., Thorne, H. B., Tulloch, C., Rockloff, M. J., Hing, N., Dowling, N. A., &amp; Stevens, M. (2023). Unambiguous evidence that over half of gambling problems in Australia are caused by electronic gambling machines: Results from a large-scale composite population study. </w:t>
      </w:r>
      <w:r>
        <w:rPr>
          <w:i/>
          <w:iCs/>
        </w:rPr>
        <w:t>Journal of Behavioral Addictions</w:t>
      </w:r>
      <w:r>
        <w:t xml:space="preserve">, </w:t>
      </w:r>
      <w:r>
        <w:rPr>
          <w:i/>
          <w:iCs/>
        </w:rPr>
        <w:t>12</w:t>
      </w:r>
      <w:r>
        <w:t>(1), Article 1. https://doi.org/10.1556/2006.2022.00083</w:t>
      </w:r>
    </w:p>
    <w:p w14:paraId="5EC4386F" w14:textId="77777777" w:rsidR="009436DF" w:rsidRDefault="009436DF" w:rsidP="00237538">
      <w:pPr>
        <w:pStyle w:val="Bibliography"/>
        <w:spacing w:line="276" w:lineRule="auto"/>
      </w:pPr>
      <w:r>
        <w:t xml:space="preserve">Browne, M., Goodwin, B. C., &amp; Rockloff, M. J. (2018). Validation of the Short Gambling Harm Screen (SGHS): A Tool for Assessment of Harms from Gambling. </w:t>
      </w:r>
      <w:r>
        <w:rPr>
          <w:i/>
          <w:iCs/>
        </w:rPr>
        <w:t>Journal of Gambling Studies</w:t>
      </w:r>
      <w:r>
        <w:t xml:space="preserve">, </w:t>
      </w:r>
      <w:r>
        <w:rPr>
          <w:i/>
          <w:iCs/>
        </w:rPr>
        <w:t>34</w:t>
      </w:r>
      <w:r>
        <w:t>(2), 499–512. https://doi.org/10.1007/s10899-017-9698-y</w:t>
      </w:r>
    </w:p>
    <w:p w14:paraId="28B5E5C6" w14:textId="77777777" w:rsidR="009436DF" w:rsidRDefault="009436DF" w:rsidP="00237538">
      <w:pPr>
        <w:pStyle w:val="Bibliography"/>
        <w:spacing w:line="276" w:lineRule="auto"/>
      </w:pPr>
      <w:r>
        <w:t xml:space="preserve">Christchurch Casino. (2023). Community Grants. </w:t>
      </w:r>
      <w:r>
        <w:rPr>
          <w:i/>
          <w:iCs/>
        </w:rPr>
        <w:t>Christchurch Casino</w:t>
      </w:r>
      <w:r>
        <w:t>. https://christchurchcasino.co.nz/community-grants/</w:t>
      </w:r>
    </w:p>
    <w:p w14:paraId="653CA289" w14:textId="77777777" w:rsidR="009436DF" w:rsidRDefault="009436DF" w:rsidP="00237538">
      <w:pPr>
        <w:pStyle w:val="Bibliography"/>
        <w:spacing w:line="276" w:lineRule="auto"/>
      </w:pPr>
      <w:r>
        <w:lastRenderedPageBreak/>
        <w:t xml:space="preserve">Christopher, F. (2021). Gambling: A neglected public health issue. </w:t>
      </w:r>
      <w:r>
        <w:rPr>
          <w:i/>
          <w:iCs/>
        </w:rPr>
        <w:t>The Lancet Public Health</w:t>
      </w:r>
      <w:r>
        <w:t xml:space="preserve">, </w:t>
      </w:r>
      <w:r>
        <w:rPr>
          <w:i/>
          <w:iCs/>
        </w:rPr>
        <w:t>6</w:t>
      </w:r>
      <w:r>
        <w:t>(1), e1. https://doi.org/10.1016/S2468-2667(20)30290-5</w:t>
      </w:r>
    </w:p>
    <w:p w14:paraId="62345828" w14:textId="77777777" w:rsidR="009436DF" w:rsidRDefault="009436DF" w:rsidP="00237538">
      <w:pPr>
        <w:pStyle w:val="Bibliography"/>
        <w:spacing w:line="276" w:lineRule="auto"/>
      </w:pPr>
      <w:r>
        <w:t xml:space="preserve">Community Matters. (n.d.). </w:t>
      </w:r>
      <w:r>
        <w:rPr>
          <w:i/>
          <w:iCs/>
        </w:rPr>
        <w:t>Who makes lottery grant decisions?</w:t>
      </w:r>
      <w:r>
        <w:t xml:space="preserve"> Retrieved 23 January 2024, from https://www.communitymatters.govt.nz/ask-us/view/564</w:t>
      </w:r>
    </w:p>
    <w:p w14:paraId="0D26D013" w14:textId="77777777" w:rsidR="009436DF" w:rsidRPr="00096A1F" w:rsidRDefault="009436DF" w:rsidP="00237538">
      <w:pPr>
        <w:pStyle w:val="Bibliography"/>
        <w:spacing w:line="276" w:lineRule="auto"/>
      </w:pPr>
      <w:r>
        <w:t xml:space="preserve">Department of Internal Affairs. </w:t>
      </w:r>
      <w:r w:rsidR="005F6AF5">
        <w:t>(</w:t>
      </w:r>
      <w:r w:rsidR="000520F9">
        <w:t>2021a)</w:t>
      </w:r>
      <w:r w:rsidR="00096A1F">
        <w:t xml:space="preserve">. </w:t>
      </w:r>
      <w:r w:rsidR="00C952FD">
        <w:rPr>
          <w:i/>
          <w:iCs/>
        </w:rPr>
        <w:t>Gambling class 3 lottery license rule changes</w:t>
      </w:r>
      <w:r w:rsidR="00C952FD">
        <w:t>. https://www.dia.govt.nz/Gambling-class-3-lottery-license-rule-changes</w:t>
      </w:r>
    </w:p>
    <w:p w14:paraId="25091EB4" w14:textId="77777777" w:rsidR="00C952FD" w:rsidRDefault="00FC48B6" w:rsidP="00237538">
      <w:pPr>
        <w:pStyle w:val="Bibliography"/>
        <w:spacing w:line="276" w:lineRule="auto"/>
      </w:pPr>
      <w:r>
        <w:t xml:space="preserve">Department of Internal Affairs. (2021b). </w:t>
      </w:r>
      <w:r w:rsidR="00C952FD">
        <w:rPr>
          <w:i/>
          <w:iCs/>
        </w:rPr>
        <w:t>Point of Consumption Charges—Offshore Operator Guidance</w:t>
      </w:r>
      <w:r w:rsidR="00C952FD">
        <w:t>. https://www.dia.govt.nz/Racing-Policy---Point-of-Consumption-Charges</w:t>
      </w:r>
    </w:p>
    <w:p w14:paraId="69EBA2E6" w14:textId="77777777" w:rsidR="00FC48B6" w:rsidRDefault="00C952FD" w:rsidP="00237538">
      <w:pPr>
        <w:pStyle w:val="Bibliography"/>
        <w:spacing w:line="276" w:lineRule="auto"/>
      </w:pPr>
      <w:r>
        <w:t xml:space="preserve">Department of Internal Affairs. (2021c). </w:t>
      </w:r>
      <w:r w:rsidR="00FC48B6">
        <w:rPr>
          <w:i/>
          <w:iCs/>
        </w:rPr>
        <w:t>Regulatory system information: Gambling</w:t>
      </w:r>
      <w:r w:rsidR="00FC48B6">
        <w:t>. https://www.dia.govt.nz/Regulatory-Stewardship---Gambling</w:t>
      </w:r>
    </w:p>
    <w:p w14:paraId="0FD544A6" w14:textId="77777777" w:rsidR="009436DF" w:rsidRDefault="00FC48B6" w:rsidP="00237538">
      <w:pPr>
        <w:pStyle w:val="Bibliography"/>
        <w:spacing w:line="276" w:lineRule="auto"/>
      </w:pPr>
      <w:r>
        <w:t>Department of Internal Affairs. (</w:t>
      </w:r>
      <w:r w:rsidR="00C952FD">
        <w:t>2021d).</w:t>
      </w:r>
      <w:r w:rsidR="009436DF">
        <w:t xml:space="preserve"> </w:t>
      </w:r>
      <w:r w:rsidR="009436DF">
        <w:rPr>
          <w:i/>
          <w:iCs/>
        </w:rPr>
        <w:t>Understanding gambling in the community</w:t>
      </w:r>
      <w:r w:rsidR="009436DF">
        <w:t>. https://www.dia.govt.nz/Gambling-territorial-authorities-policy-review-process-understanding-gambling-community</w:t>
      </w:r>
    </w:p>
    <w:p w14:paraId="03B747C9" w14:textId="77777777" w:rsidR="009436DF" w:rsidRDefault="009436DF" w:rsidP="00237538">
      <w:pPr>
        <w:pStyle w:val="Bibliography"/>
        <w:spacing w:line="276" w:lineRule="auto"/>
      </w:pPr>
      <w:r>
        <w:t xml:space="preserve">Department of Internal Affairs. (2022). </w:t>
      </w:r>
      <w:r>
        <w:rPr>
          <w:i/>
          <w:iCs/>
        </w:rPr>
        <w:t>Class 4 Grants Data Analytical Review</w:t>
      </w:r>
      <w:r>
        <w:t>. https://www.dia.govt.nz/gambling-statistics-class-4-grants-data-analytical-review</w:t>
      </w:r>
    </w:p>
    <w:p w14:paraId="29499554" w14:textId="77777777" w:rsidR="00C952FD" w:rsidRDefault="00C952FD" w:rsidP="00237538">
      <w:pPr>
        <w:pStyle w:val="Bibliography"/>
        <w:spacing w:line="276" w:lineRule="auto"/>
      </w:pPr>
      <w:r>
        <w:t xml:space="preserve">Department of Internal Affairs. (2023a). </w:t>
      </w:r>
      <w:r>
        <w:rPr>
          <w:i/>
          <w:iCs/>
        </w:rPr>
        <w:t>Annual Gambling Expenditure Statistics</w:t>
      </w:r>
      <w:r>
        <w:t xml:space="preserve"> [dataset]. https://catalogue.data.govt.nz/dataset/gambling-expenditure-statistics</w:t>
      </w:r>
    </w:p>
    <w:p w14:paraId="06F290E9" w14:textId="77777777" w:rsidR="00C952FD" w:rsidRDefault="00C952FD" w:rsidP="00237538">
      <w:pPr>
        <w:pStyle w:val="Bibliography"/>
        <w:spacing w:line="276" w:lineRule="auto"/>
      </w:pPr>
      <w:r>
        <w:t xml:space="preserve">Department of Internal Affairs. (2023b). </w:t>
      </w:r>
      <w:r>
        <w:rPr>
          <w:i/>
          <w:iCs/>
        </w:rPr>
        <w:t>Class 4 Gambing Key Performance Indicators</w:t>
      </w:r>
      <w:r>
        <w:t xml:space="preserve"> [dataset]. https://catalogue.data.govt.nz/dataset/class-4-gambling-key-performance-indicators</w:t>
      </w:r>
    </w:p>
    <w:p w14:paraId="22ADE282" w14:textId="77777777" w:rsidR="00C952FD" w:rsidRDefault="00C952FD" w:rsidP="00237538">
      <w:pPr>
        <w:pStyle w:val="Bibliography"/>
        <w:spacing w:line="276" w:lineRule="auto"/>
      </w:pPr>
      <w:r>
        <w:t xml:space="preserve">Department of Internal Affairs. (2023c). </w:t>
      </w:r>
      <w:r>
        <w:rPr>
          <w:i/>
          <w:iCs/>
        </w:rPr>
        <w:t>GMP Dashboard</w:t>
      </w:r>
      <w:r>
        <w:t xml:space="preserve"> [dataset]. https://www.dia.govt.nz/gambling-statistics-gmp-dashboard</w:t>
      </w:r>
    </w:p>
    <w:p w14:paraId="03D760FC" w14:textId="77777777" w:rsidR="009436DF" w:rsidRDefault="009436DF" w:rsidP="00237538">
      <w:pPr>
        <w:pStyle w:val="Bibliography"/>
        <w:spacing w:line="276" w:lineRule="auto"/>
      </w:pPr>
      <w:r>
        <w:t xml:space="preserve">Department of Internal Affairs. (2023d). </w:t>
      </w:r>
      <w:r>
        <w:rPr>
          <w:i/>
          <w:iCs/>
        </w:rPr>
        <w:t>GMP Dashboard—Trends</w:t>
      </w:r>
      <w:r>
        <w:t>. https://www.dia.govt.nz/gambling-statistics-gmp-dashboard</w:t>
      </w:r>
    </w:p>
    <w:p w14:paraId="78B04928" w14:textId="77777777" w:rsidR="009436DF" w:rsidRDefault="009436DF" w:rsidP="00237538">
      <w:pPr>
        <w:pStyle w:val="Bibliography"/>
        <w:spacing w:line="276" w:lineRule="auto"/>
      </w:pPr>
      <w:r>
        <w:t xml:space="preserve">Department of Internal Affairs. (2023e). </w:t>
      </w:r>
      <w:r>
        <w:rPr>
          <w:i/>
          <w:iCs/>
        </w:rPr>
        <w:t>Reducing Pokies Harm</w:t>
      </w:r>
      <w:r>
        <w:t>. https://www.dia.govt.nz/Gambling-Reducing-Pokies-Harm</w:t>
      </w:r>
    </w:p>
    <w:p w14:paraId="1DF38AC7" w14:textId="77777777" w:rsidR="009436DF" w:rsidRDefault="009436DF" w:rsidP="00237538">
      <w:pPr>
        <w:pStyle w:val="Bibliography"/>
        <w:spacing w:line="276" w:lineRule="auto"/>
      </w:pPr>
      <w:r>
        <w:t xml:space="preserve">Dunedin Casino. (2023a). </w:t>
      </w:r>
      <w:r>
        <w:rPr>
          <w:i/>
          <w:iCs/>
        </w:rPr>
        <w:t>Dunedin Casino Charitable Trust Grant Recipients May 2023</w:t>
      </w:r>
      <w:r>
        <w:t>. https://grandcasino.co.nz/assets/Dunedin-Casino-Charitable-Trust-Grant-Recipients-May-2023.pdf</w:t>
      </w:r>
    </w:p>
    <w:p w14:paraId="231FC8E4" w14:textId="77777777" w:rsidR="009436DF" w:rsidRDefault="009436DF" w:rsidP="00237538">
      <w:pPr>
        <w:pStyle w:val="Bibliography"/>
        <w:spacing w:line="276" w:lineRule="auto"/>
      </w:pPr>
      <w:r>
        <w:t xml:space="preserve">Dunedin Casino. (2023b). </w:t>
      </w:r>
      <w:r>
        <w:rPr>
          <w:i/>
          <w:iCs/>
        </w:rPr>
        <w:t>Dunedin Casino Charitable Trust Grant Recipients November 2023</w:t>
      </w:r>
      <w:r>
        <w:t>. https://grandcasino.co.nz/assets/Dunedin-Casinos-Charitable-Trust_Grant-Recipients_November_2023.pdf</w:t>
      </w:r>
    </w:p>
    <w:p w14:paraId="156A8914" w14:textId="77777777" w:rsidR="009436DF" w:rsidRDefault="009436DF" w:rsidP="00237538">
      <w:pPr>
        <w:pStyle w:val="Bibliography"/>
        <w:spacing w:line="276" w:lineRule="auto"/>
      </w:pPr>
      <w:r>
        <w:t xml:space="preserve">Edmunds, S. (2023, September 3). </w:t>
      </w:r>
      <w:r>
        <w:rPr>
          <w:i/>
          <w:iCs/>
        </w:rPr>
        <w:t>SkyCity faces suspension of casino licence</w:t>
      </w:r>
      <w:r>
        <w:t>. Stuff. https://www.stuff.co.nz/business/300963636/skycity-faces-suspension-of-casino-licence</w:t>
      </w:r>
    </w:p>
    <w:p w14:paraId="33198B39" w14:textId="77777777" w:rsidR="009436DF" w:rsidRDefault="009436DF" w:rsidP="00237538">
      <w:pPr>
        <w:pStyle w:val="Bibliography"/>
        <w:spacing w:line="276" w:lineRule="auto"/>
      </w:pPr>
      <w:r>
        <w:t xml:space="preserve">Entain. (2023). </w:t>
      </w:r>
      <w:r>
        <w:rPr>
          <w:i/>
          <w:iCs/>
        </w:rPr>
        <w:t>Update on TAB NZ and 365scores opportunities</w:t>
      </w:r>
      <w:r>
        <w:t>. Entain. https://www.entaingroup.com/news-insights/latest-news/2023/update-on-tab-nz-partnership-and-365scores-opportunities/</w:t>
      </w:r>
    </w:p>
    <w:p w14:paraId="75FEE411" w14:textId="77777777" w:rsidR="009436DF" w:rsidRDefault="009436DF" w:rsidP="00237538">
      <w:pPr>
        <w:pStyle w:val="Bibliography"/>
        <w:spacing w:line="276" w:lineRule="auto"/>
      </w:pPr>
      <w:r>
        <w:t xml:space="preserve">Erwin, C., Lees, K., Pacheco, G., &amp; Turcu, A. (2020). </w:t>
      </w:r>
      <w:r>
        <w:rPr>
          <w:i/>
          <w:iCs/>
        </w:rPr>
        <w:t>Capping Gambling in NZ: The effectiveness of local government policy interventions</w:t>
      </w:r>
      <w:r>
        <w:t xml:space="preserve">. New Zealand Work Research Institute, Sense Partners. </w:t>
      </w:r>
      <w:r>
        <w:lastRenderedPageBreak/>
        <w:t>https://www.health.govt.nz/system/files/documents/publications/capping_gambling_in_nz.pdf</w:t>
      </w:r>
    </w:p>
    <w:p w14:paraId="4E8062A0" w14:textId="77777777" w:rsidR="009436DF" w:rsidRDefault="009436DF" w:rsidP="00237538">
      <w:pPr>
        <w:pStyle w:val="Bibliography"/>
        <w:spacing w:line="276" w:lineRule="auto"/>
      </w:pPr>
      <w:r>
        <w:t xml:space="preserve">Espiner, G. (2022). Lotto stores in poorest half of NZ account for 70% of sales. </w:t>
      </w:r>
      <w:r>
        <w:rPr>
          <w:i/>
          <w:iCs/>
        </w:rPr>
        <w:t>Radio New Zealand</w:t>
      </w:r>
      <w:r>
        <w:t>. https://www.rnz.co.nz/news/in-depth/474134/lotto-stores-in-poorest-half-of-nz-account-for-70-percent-of-sales</w:t>
      </w:r>
    </w:p>
    <w:p w14:paraId="2E54771B" w14:textId="77777777" w:rsidR="009436DF" w:rsidRDefault="009436DF" w:rsidP="00237538">
      <w:pPr>
        <w:pStyle w:val="Bibliography"/>
        <w:spacing w:line="276" w:lineRule="auto"/>
      </w:pPr>
      <w:r>
        <w:t xml:space="preserve">Fehoko, E. S. (2020). </w:t>
      </w:r>
      <w:r>
        <w:rPr>
          <w:i/>
          <w:iCs/>
        </w:rPr>
        <w:t>From Games to Gambling: An Exploratory Study of Tongan-born and New Zealand-born Male Perceptions and Experiences of Gambling and Problem Gambling in New Zealand</w:t>
      </w:r>
      <w:r>
        <w:t xml:space="preserve"> [Auckland University of Technology]. https://hdl.handle.net/10292/13818</w:t>
      </w:r>
    </w:p>
    <w:p w14:paraId="796A1E9F" w14:textId="77777777" w:rsidR="009436DF" w:rsidRDefault="009436DF" w:rsidP="00237538">
      <w:pPr>
        <w:pStyle w:val="Bibliography"/>
        <w:spacing w:line="276" w:lineRule="auto"/>
      </w:pPr>
      <w:r>
        <w:t xml:space="preserve">Fehoko, E. S., Bellringer, M. E., &amp; Fairbairn-Dunlop, P. (2022). Culture, church, and collective: A qualitative study about gambling harm prevention and reduction in Aotearoa/New Zealand-a Tongan male perspective. </w:t>
      </w:r>
      <w:r>
        <w:rPr>
          <w:i/>
          <w:iCs/>
        </w:rPr>
        <w:t>Harm Reduction Journal</w:t>
      </w:r>
      <w:r>
        <w:t xml:space="preserve">, </w:t>
      </w:r>
      <w:r>
        <w:rPr>
          <w:i/>
          <w:iCs/>
        </w:rPr>
        <w:t>19</w:t>
      </w:r>
      <w:r>
        <w:t>(1), Article 1. https://doi.org/10.1186/s12954-022-00717-2</w:t>
      </w:r>
    </w:p>
    <w:p w14:paraId="7725B577" w14:textId="77777777" w:rsidR="009436DF" w:rsidRDefault="009436DF" w:rsidP="00237538">
      <w:pPr>
        <w:pStyle w:val="Bibliography"/>
        <w:spacing w:line="276" w:lineRule="auto"/>
      </w:pPr>
      <w:r>
        <w:t xml:space="preserve">Gambling Commission. (n.d.). </w:t>
      </w:r>
      <w:r>
        <w:rPr>
          <w:i/>
          <w:iCs/>
        </w:rPr>
        <w:t>Casino Licence Conditions</w:t>
      </w:r>
      <w:r>
        <w:t>. Gambling Commission. Retrieved 23 January 2024, from https://www.gamblingcommission.govt.nz/GCwebsite.nsf/wpg_URL/Casino-Licence-Conditions-Index!OpenDocument</w:t>
      </w:r>
    </w:p>
    <w:p w14:paraId="7CAF923C" w14:textId="6C8139EF" w:rsidR="009436DF" w:rsidRDefault="009436DF" w:rsidP="00237538">
      <w:pPr>
        <w:pStyle w:val="Bibliography"/>
        <w:spacing w:line="276" w:lineRule="auto"/>
      </w:pPr>
      <w:r>
        <w:t xml:space="preserve">Gambling Commission. (2022). </w:t>
      </w:r>
      <w:r>
        <w:rPr>
          <w:i/>
          <w:iCs/>
        </w:rPr>
        <w:t>Report Of The Gambling Commission</w:t>
      </w:r>
      <w:r>
        <w:t xml:space="preserve">. Gambling Commission. </w:t>
      </w:r>
      <w:hyperlink r:id="rId86" w:history="1">
        <w:r w:rsidR="00237538">
          <w:rPr>
            <w:rStyle w:val="cf01"/>
            <w:color w:val="0000FF"/>
            <w:u w:val="single"/>
          </w:rPr>
          <w:t>https://www.gamblingcommission.govt.nz/GCwebsite.nsf/wpg_URL/Reports-Publications-Problem-Gambling-Levy-2022-2025!OpenDocument</w:t>
        </w:r>
      </w:hyperlink>
      <w:r w:rsidR="00237538">
        <w:rPr>
          <w:rFonts w:ascii="Arial" w:hAnsi="Arial" w:cs="Arial"/>
          <w:sz w:val="20"/>
          <w:szCs w:val="20"/>
        </w:rPr>
        <w:t xml:space="preserve"> </w:t>
      </w:r>
    </w:p>
    <w:p w14:paraId="7689F94F" w14:textId="77777777" w:rsidR="009436DF" w:rsidRDefault="009436DF" w:rsidP="00237538">
      <w:pPr>
        <w:pStyle w:val="Bibliography"/>
        <w:spacing w:line="276" w:lineRule="auto"/>
      </w:pPr>
      <w:r>
        <w:t xml:space="preserve">Hart, L. (2021, July 16). </w:t>
      </w:r>
      <w:r>
        <w:rPr>
          <w:i/>
          <w:iCs/>
        </w:rPr>
        <w:t>Stop relying on poor and addicted for community funding</w:t>
      </w:r>
      <w:r>
        <w:t>. Stuff. https://www.stuff.co.nz/opinion/125776246/lets-stop-relying-on-our-poor-and-an-addictive-activity-for-community-funding</w:t>
      </w:r>
    </w:p>
    <w:p w14:paraId="262E5319" w14:textId="77777777" w:rsidR="009436DF" w:rsidRDefault="009436DF" w:rsidP="00237538">
      <w:pPr>
        <w:pStyle w:val="Bibliography"/>
        <w:spacing w:line="276" w:lineRule="auto"/>
      </w:pPr>
      <w:r>
        <w:t xml:space="preserve">Kolandai-Matchett, K., Langham, E., Bellringer, M., &amp; Siitia, P. A.-H. (2017). How gambling harms experienced by Pacific people in New Zealand amplify when they are culture-related. </w:t>
      </w:r>
      <w:r>
        <w:rPr>
          <w:i/>
          <w:iCs/>
        </w:rPr>
        <w:t>Asian Journal of Gambling Issues and Public Health</w:t>
      </w:r>
      <w:r>
        <w:t xml:space="preserve">, </w:t>
      </w:r>
      <w:r>
        <w:rPr>
          <w:i/>
          <w:iCs/>
        </w:rPr>
        <w:t>7</w:t>
      </w:r>
      <w:r>
        <w:t>(1), Article 1. https://doi.org/10.1186/s40405-017-0026-3</w:t>
      </w:r>
    </w:p>
    <w:p w14:paraId="5A36A240" w14:textId="77777777" w:rsidR="009436DF" w:rsidRDefault="009436DF" w:rsidP="00237538">
      <w:pPr>
        <w:pStyle w:val="Bibliography"/>
        <w:spacing w:line="276" w:lineRule="auto"/>
      </w:pPr>
      <w:r>
        <w:t xml:space="preserve">Lesieur, H. R., &amp; Blume, S. B. (1987). The South Oaks Gambling Screen (SOGS): A new instrument for the identification of pathological gamblers. </w:t>
      </w:r>
      <w:r>
        <w:rPr>
          <w:i/>
          <w:iCs/>
        </w:rPr>
        <w:t>The American Journal of Psychiatry</w:t>
      </w:r>
      <w:r>
        <w:t xml:space="preserve">, </w:t>
      </w:r>
      <w:r>
        <w:rPr>
          <w:i/>
          <w:iCs/>
        </w:rPr>
        <w:t>144</w:t>
      </w:r>
      <w:r>
        <w:t>(9), 1184–1188. https://doi.org/10.1176/ajp.144.9.1184</w:t>
      </w:r>
    </w:p>
    <w:p w14:paraId="7CFB459E" w14:textId="77777777" w:rsidR="009436DF" w:rsidRDefault="009436DF" w:rsidP="00237538">
      <w:pPr>
        <w:pStyle w:val="Bibliography"/>
        <w:spacing w:line="276" w:lineRule="auto"/>
      </w:pPr>
      <w:r>
        <w:t xml:space="preserve">Lotto New Zealand. (n.d.). </w:t>
      </w:r>
      <w:r>
        <w:rPr>
          <w:i/>
          <w:iCs/>
        </w:rPr>
        <w:t>Instant Kiwi Online FAQs</w:t>
      </w:r>
      <w:r>
        <w:t>. Retrieved 31 January 2024, from https://mylotto.co.nz/instant-kiwi/how-to-play</w:t>
      </w:r>
    </w:p>
    <w:p w14:paraId="4EAAAC78" w14:textId="77777777" w:rsidR="009436DF" w:rsidRDefault="009436DF" w:rsidP="00237538">
      <w:pPr>
        <w:pStyle w:val="Bibliography"/>
        <w:spacing w:line="276" w:lineRule="auto"/>
      </w:pPr>
      <w:r>
        <w:t xml:space="preserve">Lotto New Zealand. (2020). </w:t>
      </w:r>
      <w:r>
        <w:rPr>
          <w:i/>
          <w:iCs/>
        </w:rPr>
        <w:t>Annual Report 2019/20</w:t>
      </w:r>
      <w:r>
        <w:t>. New Zealand Lotteries Commission. https://assets.mylotto.co.nz/assets/uploads/71e5fae4-8738-11ee-a52e-005056af723d.pdf</w:t>
      </w:r>
    </w:p>
    <w:p w14:paraId="04A74AFE" w14:textId="77777777" w:rsidR="009436DF" w:rsidRDefault="009436DF" w:rsidP="00237538">
      <w:pPr>
        <w:pStyle w:val="Bibliography"/>
        <w:spacing w:line="276" w:lineRule="auto"/>
      </w:pPr>
      <w:r>
        <w:t xml:space="preserve">Lotto New Zealand. (2023). </w:t>
      </w:r>
      <w:r>
        <w:rPr>
          <w:i/>
          <w:iCs/>
        </w:rPr>
        <w:t>Annual Report 2022/23</w:t>
      </w:r>
      <w:r>
        <w:t>. New Zealand Lotteries Commission. https://assets.mylotto.co.nz/assets/uploads/97054b86-8738-11ee-878a-005056af723d.pdf</w:t>
      </w:r>
    </w:p>
    <w:p w14:paraId="20F4AC1F" w14:textId="77777777" w:rsidR="009436DF" w:rsidRDefault="009436DF" w:rsidP="00237538">
      <w:pPr>
        <w:pStyle w:val="Bibliography"/>
        <w:spacing w:line="276" w:lineRule="auto"/>
      </w:pPr>
      <w:r>
        <w:t xml:space="preserve">Lotto New Zealand. (2024). </w:t>
      </w:r>
      <w:r>
        <w:rPr>
          <w:i/>
          <w:iCs/>
        </w:rPr>
        <w:t>Local Grants</w:t>
      </w:r>
      <w:r>
        <w:t>. https://mylotto.co.nz/community-funding</w:t>
      </w:r>
    </w:p>
    <w:p w14:paraId="657BDD6D" w14:textId="77777777" w:rsidR="009436DF" w:rsidRDefault="009436DF" w:rsidP="00237538">
      <w:pPr>
        <w:pStyle w:val="Bibliography"/>
        <w:spacing w:line="276" w:lineRule="auto"/>
      </w:pPr>
      <w:r>
        <w:t xml:space="preserve">Marcetic, B. (2018, June 29). </w:t>
      </w:r>
      <w:r>
        <w:rPr>
          <w:i/>
          <w:iCs/>
        </w:rPr>
        <w:t>The problem with Lotto’s move into online scratch cards</w:t>
      </w:r>
      <w:r>
        <w:t>. The Spinoff. https://thespinoff.co.nz/society/29-06-2018/the-problem-with-lottos-move-into-online-scratch-cards</w:t>
      </w:r>
    </w:p>
    <w:p w14:paraId="5BEA9954" w14:textId="77777777" w:rsidR="009436DF" w:rsidRDefault="009436DF" w:rsidP="00237538">
      <w:pPr>
        <w:pStyle w:val="Bibliography"/>
        <w:spacing w:line="276" w:lineRule="auto"/>
      </w:pPr>
      <w:r>
        <w:lastRenderedPageBreak/>
        <w:t xml:space="preserve">Ministry of Health. (n.d.). </w:t>
      </w:r>
      <w:r>
        <w:rPr>
          <w:i/>
          <w:iCs/>
        </w:rPr>
        <w:t>Gambling harm</w:t>
      </w:r>
      <w:r>
        <w:t>. Ministry of Health. Retrieved 16 January 2024, from https://www.health.govt.nz/our-work/mental-health-and-addiction/addiction/gambling-harm/gambling-harm-research-and-evaluation/gambling-harm</w:t>
      </w:r>
    </w:p>
    <w:p w14:paraId="52091996" w14:textId="77777777" w:rsidR="00C952FD" w:rsidRDefault="009436DF" w:rsidP="00237538">
      <w:pPr>
        <w:pStyle w:val="Bibliography"/>
        <w:spacing w:line="276" w:lineRule="auto"/>
      </w:pPr>
      <w:r>
        <w:t xml:space="preserve">Ministry of Health. </w:t>
      </w:r>
      <w:r w:rsidR="00C952FD">
        <w:t xml:space="preserve">(2019). </w:t>
      </w:r>
      <w:r w:rsidR="00C952FD">
        <w:rPr>
          <w:i/>
          <w:iCs/>
        </w:rPr>
        <w:t>Preventing and Minimising Gambling Harm Practitioner’s Guide</w:t>
      </w:r>
      <w:r w:rsidR="00C952FD">
        <w:t>. https://www.health.govt.nz/system/files/documents/publications/preventing-and-minimising-gambling-harm-practitioners-guide-2019-aug2019.pdf</w:t>
      </w:r>
    </w:p>
    <w:p w14:paraId="422762D0" w14:textId="77777777" w:rsidR="003E42D0" w:rsidRDefault="00C952FD" w:rsidP="00237538">
      <w:pPr>
        <w:pStyle w:val="Bibliography"/>
        <w:spacing w:line="276" w:lineRule="auto"/>
      </w:pPr>
      <w:r>
        <w:t xml:space="preserve">Ministry of Health. </w:t>
      </w:r>
      <w:r w:rsidR="009436DF">
        <w:t>(</w:t>
      </w:r>
      <w:r w:rsidR="003E42D0">
        <w:t xml:space="preserve">2022). </w:t>
      </w:r>
      <w:r w:rsidR="003E42D0">
        <w:rPr>
          <w:i/>
          <w:iCs/>
        </w:rPr>
        <w:t>Strategy to Prevent and Minimise Gambling Harm 2022/23 to 2024/25</w:t>
      </w:r>
      <w:r w:rsidR="003E42D0">
        <w:t>. https://www.beehive.govt.nz/sites/default/files/2022-06/Strategy-to-Prevent-and-Minimise-Gambling-Harm.PDF</w:t>
      </w:r>
    </w:p>
    <w:p w14:paraId="7C069ECC" w14:textId="77777777" w:rsidR="009436DF" w:rsidRDefault="003E42D0" w:rsidP="00237538">
      <w:pPr>
        <w:pStyle w:val="Bibliography"/>
        <w:spacing w:line="276" w:lineRule="auto"/>
      </w:pPr>
      <w:r>
        <w:t>Ministry of Health. (</w:t>
      </w:r>
      <w:r w:rsidR="009436DF">
        <w:t xml:space="preserve">2023a). </w:t>
      </w:r>
      <w:r w:rsidR="009436DF">
        <w:rPr>
          <w:i/>
          <w:iCs/>
        </w:rPr>
        <w:t>Intervention services data</w:t>
      </w:r>
      <w:r w:rsidR="009436DF">
        <w:t xml:space="preserve"> [dataset]. https://www.health.govt.nz/our-work/mental-health-and-addiction/addiction/gambling-harm/service-user-data/intervention-services-data</w:t>
      </w:r>
    </w:p>
    <w:p w14:paraId="25070520" w14:textId="77777777" w:rsidR="009436DF" w:rsidRDefault="009436DF" w:rsidP="00237538">
      <w:pPr>
        <w:pStyle w:val="Bibliography"/>
        <w:spacing w:line="276" w:lineRule="auto"/>
      </w:pPr>
      <w:r>
        <w:t xml:space="preserve">Ministry of Health. (2023b). </w:t>
      </w:r>
      <w:r>
        <w:rPr>
          <w:i/>
          <w:iCs/>
        </w:rPr>
        <w:t>The Gambling Act 2003</w:t>
      </w:r>
      <w:r>
        <w:t>. Ministry of Health NZ. https://www.health.govt.nz/our-work/mental-health-and-addiction/addiction/gambling-harm/gambling-act-2003</w:t>
      </w:r>
    </w:p>
    <w:p w14:paraId="195C70C6" w14:textId="77777777" w:rsidR="009436DF" w:rsidRDefault="009436DF" w:rsidP="00237538">
      <w:pPr>
        <w:pStyle w:val="Bibliography"/>
        <w:spacing w:line="276" w:lineRule="auto"/>
      </w:pPr>
      <w:r>
        <w:t xml:space="preserve">Molde, H., Holmøy, B., Merkesdal, A. G., Torsheim, T., Mentzoni, R. A., Hanns, D., Sagoe, D., &amp; Pallesen, S. (2019). Are Video Games a Gateway to Gambling? A Longitudinal Study Based on a Representative Norwegian Sample. </w:t>
      </w:r>
      <w:r>
        <w:rPr>
          <w:i/>
          <w:iCs/>
        </w:rPr>
        <w:t>Journal of Gambling Studies</w:t>
      </w:r>
      <w:r>
        <w:t xml:space="preserve">, </w:t>
      </w:r>
      <w:r>
        <w:rPr>
          <w:i/>
          <w:iCs/>
        </w:rPr>
        <w:t>35</w:t>
      </w:r>
      <w:r>
        <w:t>(2), 545–557. https://doi.org/10.1007/s10899-018-9781-z</w:t>
      </w:r>
    </w:p>
    <w:p w14:paraId="0A5F0EBC" w14:textId="77777777" w:rsidR="009436DF" w:rsidRDefault="009436DF" w:rsidP="00237538">
      <w:pPr>
        <w:pStyle w:val="Bibliography"/>
        <w:spacing w:line="276" w:lineRule="auto"/>
      </w:pPr>
      <w:r>
        <w:t xml:space="preserve">New Zealand Legislation. (2023). </w:t>
      </w:r>
      <w:r>
        <w:rPr>
          <w:i/>
          <w:iCs/>
        </w:rPr>
        <w:t>Gambling (Harm Prevention and Minimisation) Amendment Regulations 2023</w:t>
      </w:r>
      <w:r>
        <w:t>. https://www.legislation.govt.nz/regulation/public/2023/0082/latest/LMS839227.html</w:t>
      </w:r>
    </w:p>
    <w:p w14:paraId="7BC4FB9D" w14:textId="77777777" w:rsidR="009436DF" w:rsidRDefault="009436DF" w:rsidP="00237538">
      <w:pPr>
        <w:pStyle w:val="Bibliography"/>
        <w:spacing w:line="276" w:lineRule="auto"/>
      </w:pPr>
      <w:r>
        <w:t xml:space="preserve">Palmer du Preez, K., Paavonen, A.-M., &amp; Bellringer, M. E. (2021). Theoretically informed gender analysis for gambling harm reduction: A New Zealand study. </w:t>
      </w:r>
      <w:r>
        <w:rPr>
          <w:i/>
          <w:iCs/>
        </w:rPr>
        <w:t>Harm Reduction Journal</w:t>
      </w:r>
      <w:r>
        <w:t xml:space="preserve">, </w:t>
      </w:r>
      <w:r>
        <w:rPr>
          <w:i/>
          <w:iCs/>
        </w:rPr>
        <w:t>18</w:t>
      </w:r>
      <w:r>
        <w:t>(1), Article 1. https://doi.org/10.1186/s12954-021-00558-5</w:t>
      </w:r>
    </w:p>
    <w:p w14:paraId="4EF5B483" w14:textId="77777777" w:rsidR="009436DF" w:rsidRDefault="009436DF" w:rsidP="00237538">
      <w:pPr>
        <w:pStyle w:val="Bibliography"/>
        <w:spacing w:line="276" w:lineRule="auto"/>
      </w:pPr>
      <w:r>
        <w:t xml:space="preserve">PGF Group, Hāpai Te Hauora, &amp; The Salvation Army. (2020). </w:t>
      </w:r>
      <w:r>
        <w:rPr>
          <w:i/>
          <w:iCs/>
        </w:rPr>
        <w:t>Ending community sector dependence on pokie funding. White paper.</w:t>
      </w:r>
      <w:r>
        <w:t xml:space="preserve"> https://www.pgf.nz/downloads/assets/11959/1/ending_community_sector_dependence_on_pokie_funding_20200717.pdf</w:t>
      </w:r>
    </w:p>
    <w:p w14:paraId="431AF6CE" w14:textId="77777777" w:rsidR="009436DF" w:rsidRDefault="009436DF" w:rsidP="00237538">
      <w:pPr>
        <w:pStyle w:val="Bibliography"/>
        <w:spacing w:line="276" w:lineRule="auto"/>
      </w:pPr>
      <w:r>
        <w:t xml:space="preserve">Problem Gambling Foundation. (2020a). </w:t>
      </w:r>
      <w:r>
        <w:rPr>
          <w:i/>
          <w:iCs/>
        </w:rPr>
        <w:t>Loot Boxes</w:t>
      </w:r>
      <w:r>
        <w:t>. https://www.pgf.nz/downloads/assets/11960/1/loot-boxes.pdf</w:t>
      </w:r>
    </w:p>
    <w:p w14:paraId="7C7B2848" w14:textId="77777777" w:rsidR="009436DF" w:rsidRDefault="009436DF" w:rsidP="00237538">
      <w:pPr>
        <w:pStyle w:val="Bibliography"/>
        <w:spacing w:line="276" w:lineRule="auto"/>
      </w:pPr>
      <w:r>
        <w:t xml:space="preserve">Problem Gambling Foundation. (2020b). </w:t>
      </w:r>
      <w:r>
        <w:rPr>
          <w:i/>
          <w:iCs/>
        </w:rPr>
        <w:t>Pokies</w:t>
      </w:r>
      <w:r>
        <w:t>. https://www.pgf.nz/understand-gambling/pokies#:~:text=Pokies%20are%20a%20continuous%20form,a%20week%20for%20the%20result.</w:t>
      </w:r>
    </w:p>
    <w:p w14:paraId="1BC53E21" w14:textId="77777777" w:rsidR="009436DF" w:rsidRDefault="009436DF" w:rsidP="00237538">
      <w:pPr>
        <w:pStyle w:val="Bibliography"/>
        <w:spacing w:line="276" w:lineRule="auto"/>
      </w:pPr>
      <w:r>
        <w:t xml:space="preserve">Problem Gambling Foundation. (2023a). </w:t>
      </w:r>
      <w:r>
        <w:rPr>
          <w:i/>
          <w:iCs/>
        </w:rPr>
        <w:t>Possible SkyCity suspension: “I just don’t want to see anyone else put themselves in debt the way that I did”</w:t>
      </w:r>
      <w:r>
        <w:t>. https://www.pgf.nz/blog/possible-skycity-suspension-i-just-dont-want-to-see-anyone-else-put-themselves-in-debt-the-way-that-i-did</w:t>
      </w:r>
    </w:p>
    <w:p w14:paraId="78ED4815" w14:textId="77777777" w:rsidR="009436DF" w:rsidRDefault="009436DF" w:rsidP="00237538">
      <w:pPr>
        <w:pStyle w:val="Bibliography"/>
        <w:spacing w:line="276" w:lineRule="auto"/>
      </w:pPr>
      <w:r>
        <w:lastRenderedPageBreak/>
        <w:t xml:space="preserve">Problem Gambling Foundation. (2023b). </w:t>
      </w:r>
      <w:r>
        <w:rPr>
          <w:i/>
          <w:iCs/>
        </w:rPr>
        <w:t>PR: Concern over young people gambling prompts awareness campaign</w:t>
      </w:r>
      <w:r>
        <w:t>. https://www.pgf.nz/blog/pr-concern-over-young-people-gambling-prompts-awareness-campaign</w:t>
      </w:r>
    </w:p>
    <w:p w14:paraId="41F35480" w14:textId="77777777" w:rsidR="009436DF" w:rsidRDefault="009436DF" w:rsidP="00237538">
      <w:pPr>
        <w:pStyle w:val="Bibliography"/>
        <w:spacing w:line="276" w:lineRule="auto"/>
      </w:pPr>
      <w:r>
        <w:t xml:space="preserve">Pullar-Strecker, T. (2023). Here’s how blocking New Zealanders from international gambling might work. </w:t>
      </w:r>
      <w:r>
        <w:rPr>
          <w:i/>
          <w:iCs/>
        </w:rPr>
        <w:t>Stuff</w:t>
      </w:r>
      <w:r>
        <w:t>. https://www.stuff.co.nz/business/132166691/heres-how-blocking-new-zealanders-from-international-gambling-might-work</w:t>
      </w:r>
    </w:p>
    <w:p w14:paraId="2EFD8A8B" w14:textId="77777777" w:rsidR="009436DF" w:rsidRDefault="009436DF" w:rsidP="00237538">
      <w:pPr>
        <w:pStyle w:val="Bibliography"/>
        <w:spacing w:line="276" w:lineRule="auto"/>
      </w:pPr>
      <w:r>
        <w:t xml:space="preserve">Rimal, R., Shepherd, R.-M., Curley, L. E., &amp; Sundram, F. (2023). Perspectives from gambling expert stakeholders in relation to electronic gaming machines in New Zealand. </w:t>
      </w:r>
      <w:r>
        <w:rPr>
          <w:i/>
          <w:iCs/>
        </w:rPr>
        <w:t>Health Policy (Amsterdam, Netherlands)</w:t>
      </w:r>
      <w:r>
        <w:t xml:space="preserve">, </w:t>
      </w:r>
      <w:r>
        <w:rPr>
          <w:i/>
          <w:iCs/>
        </w:rPr>
        <w:t>136</w:t>
      </w:r>
      <w:r>
        <w:t>, 104897. https://doi.org/10.1016/j.healthpol.2023.104897</w:t>
      </w:r>
    </w:p>
    <w:p w14:paraId="4FB8BA61" w14:textId="77777777" w:rsidR="009436DF" w:rsidRDefault="009436DF" w:rsidP="00237538">
      <w:pPr>
        <w:pStyle w:val="Bibliography"/>
        <w:spacing w:line="276" w:lineRule="auto"/>
      </w:pPr>
      <w:r>
        <w:t xml:space="preserve">Rockloff, M., Bellringer, M. E., Lowe, G., Armstrong, T., Brown, M., Palmer Du Preez, K., Russel, A., Hing, N., &amp; Greer, N. (2022). </w:t>
      </w:r>
      <w:r>
        <w:rPr>
          <w:i/>
          <w:iCs/>
        </w:rPr>
        <w:t>Life Course and Legacy Gambling Harms in New Zealand</w:t>
      </w:r>
      <w:r>
        <w:t>. Queensland: Central Queensland University, Experimental Gambling Research Laboratory and Auckland: Auckland University of Technology, Gambling and Addictions Research Centre. https://www.health.govt.nz/system/files/documents/publications/final-legacy-harms-report-180821.pdf</w:t>
      </w:r>
    </w:p>
    <w:p w14:paraId="7CD30ACE" w14:textId="77777777" w:rsidR="009436DF" w:rsidRDefault="009436DF" w:rsidP="00237538">
      <w:pPr>
        <w:pStyle w:val="Bibliography"/>
        <w:spacing w:line="276" w:lineRule="auto"/>
      </w:pPr>
      <w:r>
        <w:t xml:space="preserve">Rockloff, M., Browne, M., Russell, A. M. T., Hing, N., Armstrong, T., &amp; Greer, N. (2022). Legacy gambling harms: What are they and how long do they last? </w:t>
      </w:r>
      <w:r>
        <w:rPr>
          <w:i/>
          <w:iCs/>
        </w:rPr>
        <w:t>Journal of Behavioral Addictions</w:t>
      </w:r>
      <w:r>
        <w:t xml:space="preserve">, </w:t>
      </w:r>
      <w:r>
        <w:rPr>
          <w:i/>
          <w:iCs/>
        </w:rPr>
        <w:t>11</w:t>
      </w:r>
      <w:r>
        <w:t>(4), Article 4. https://doi.org/10.1556/2006.2022.00073</w:t>
      </w:r>
    </w:p>
    <w:p w14:paraId="47526C6F" w14:textId="77777777" w:rsidR="009436DF" w:rsidRDefault="009436DF" w:rsidP="00237538">
      <w:pPr>
        <w:pStyle w:val="Bibliography"/>
        <w:spacing w:line="276" w:lineRule="auto"/>
      </w:pPr>
      <w:r>
        <w:t xml:space="preserve">Rodda, S. N., Bagot, K. L., Merkouris, S. S., Youssef, G., Lubman, D. I., Thomas, A. C., &amp; Dowling, N. A. (2022). Smartphone App Delivery of a Just-In-Time Adaptive Intervention for Adult Gamblers (Gambling Habit Hacker): Protocol for a Microrandomized Trial. </w:t>
      </w:r>
      <w:r>
        <w:rPr>
          <w:i/>
          <w:iCs/>
        </w:rPr>
        <w:t>JMIR Research Protocols</w:t>
      </w:r>
      <w:r>
        <w:t xml:space="preserve">, </w:t>
      </w:r>
      <w:r>
        <w:rPr>
          <w:i/>
          <w:iCs/>
        </w:rPr>
        <w:t>11</w:t>
      </w:r>
      <w:r>
        <w:t>(7), Article 7. https://doi.org/10.2196/38919</w:t>
      </w:r>
    </w:p>
    <w:p w14:paraId="4016B1DF" w14:textId="77777777" w:rsidR="009436DF" w:rsidRDefault="009436DF" w:rsidP="00237538">
      <w:pPr>
        <w:pStyle w:val="Bibliography"/>
        <w:spacing w:line="276" w:lineRule="auto"/>
      </w:pPr>
      <w:r>
        <w:t xml:space="preserve">Sakata, K., &amp; Jenkinson, R. (2022). </w:t>
      </w:r>
      <w:r>
        <w:rPr>
          <w:i/>
          <w:iCs/>
        </w:rPr>
        <w:t>What is the link between video gaming and gambling?</w:t>
      </w:r>
      <w:r>
        <w:t xml:space="preserve"> [Text]. https://growingupinaustralia.gov.au/sites/default/files/publication-documents/lsac-snapshot-7-teenage-gambling.pdf</w:t>
      </w:r>
    </w:p>
    <w:p w14:paraId="41B27FCB" w14:textId="77777777" w:rsidR="009436DF" w:rsidRDefault="009436DF" w:rsidP="00237538">
      <w:pPr>
        <w:pStyle w:val="Bibliography"/>
        <w:spacing w:line="276" w:lineRule="auto"/>
      </w:pPr>
      <w:r>
        <w:t xml:space="preserve">SkyCity. (2023). </w:t>
      </w:r>
      <w:r>
        <w:rPr>
          <w:i/>
          <w:iCs/>
        </w:rPr>
        <w:t>SkyCity Annual Report 2022/23</w:t>
      </w:r>
      <w:r>
        <w:t>. https://www.skycityentertainmentgroup.com/media/3590/20230823-annual-report.pdf</w:t>
      </w:r>
    </w:p>
    <w:p w14:paraId="77DD6908" w14:textId="77777777" w:rsidR="003E42D0" w:rsidRDefault="003E42D0" w:rsidP="00237538">
      <w:pPr>
        <w:pStyle w:val="Bibliography"/>
        <w:spacing w:line="276" w:lineRule="auto"/>
      </w:pPr>
      <w:r>
        <w:t xml:space="preserve">Statistics NZ. (2024). </w:t>
      </w:r>
      <w:r>
        <w:rPr>
          <w:i/>
          <w:iCs/>
        </w:rPr>
        <w:t>Subnational population estimates (DHB, DHB constituency), by age and sex, at 30 June 1996-2023 (2015 boundaries)</w:t>
      </w:r>
      <w:r>
        <w:t xml:space="preserve"> [dataset]. https://nzdotstat.stats.govt.nz/wbos/Index.aspx?_ga=2.215179479.1541391696.1707881081-1022415708.1707355376</w:t>
      </w:r>
    </w:p>
    <w:p w14:paraId="04135364" w14:textId="77777777" w:rsidR="00C952FD" w:rsidRDefault="00C952FD" w:rsidP="00237538">
      <w:pPr>
        <w:pStyle w:val="Bibliography"/>
        <w:spacing w:line="276" w:lineRule="auto"/>
      </w:pPr>
      <w:r>
        <w:t xml:space="preserve">TAB New Zealand. (2020). </w:t>
      </w:r>
      <w:r>
        <w:rPr>
          <w:i/>
          <w:iCs/>
        </w:rPr>
        <w:t>Harm Prevention &amp; Minimisation Policy</w:t>
      </w:r>
      <w:r>
        <w:t>. https://fobcms.tab.co.nz/sites/default/files/2020-12/Harm_Prevention___Minimisation_Policy_2020.pdf</w:t>
      </w:r>
    </w:p>
    <w:p w14:paraId="7472E3FD" w14:textId="77777777" w:rsidR="009436DF" w:rsidRDefault="00C952FD" w:rsidP="00237538">
      <w:pPr>
        <w:pStyle w:val="Bibliography"/>
        <w:spacing w:line="276" w:lineRule="auto"/>
      </w:pPr>
      <w:r>
        <w:t>TAB New Zealand. (2022).</w:t>
      </w:r>
      <w:r w:rsidR="009A7075">
        <w:t xml:space="preserve"> </w:t>
      </w:r>
      <w:r w:rsidR="009A7075">
        <w:rPr>
          <w:i/>
          <w:iCs/>
        </w:rPr>
        <w:t>T</w:t>
      </w:r>
      <w:r w:rsidR="00B132C6">
        <w:rPr>
          <w:i/>
          <w:iCs/>
        </w:rPr>
        <w:t>AB NZ Annual Report 2021-22</w:t>
      </w:r>
      <w:r w:rsidR="00B132C6">
        <w:t xml:space="preserve">. </w:t>
      </w:r>
      <w:r w:rsidR="00B132C6" w:rsidRPr="00B132C6">
        <w:t>https://static.tab.co.nz/content/uploads/TAB%20NZ%202021-22%20annual%20report.pdf</w:t>
      </w:r>
    </w:p>
    <w:p w14:paraId="418733B0" w14:textId="13D52FE1" w:rsidR="00237538" w:rsidRPr="00237538" w:rsidRDefault="009436DF" w:rsidP="00237538">
      <w:pPr>
        <w:pStyle w:val="Bibliography"/>
        <w:spacing w:line="276" w:lineRule="auto"/>
      </w:pPr>
      <w:r>
        <w:t xml:space="preserve">Taufa, S., Gentles, D., Berking, G., Siataga, P., Ah-Honi, P., &amp; Fa’alili-Fidow, J. (2021). </w:t>
      </w:r>
      <w:r>
        <w:rPr>
          <w:i/>
          <w:iCs/>
        </w:rPr>
        <w:t xml:space="preserve">Pasifika Youth Online Gaming and Gambling Research: Are online video games a gateway to problem </w:t>
      </w:r>
      <w:r>
        <w:rPr>
          <w:i/>
          <w:iCs/>
        </w:rPr>
        <w:lastRenderedPageBreak/>
        <w:t>gambling among Pasifika youth?</w:t>
      </w:r>
      <w:r w:rsidR="00237538">
        <w:rPr>
          <w:i/>
          <w:iCs/>
        </w:rPr>
        <w:t xml:space="preserve"> </w:t>
      </w:r>
      <w:hyperlink r:id="rId87" w:history="1">
        <w:r w:rsidR="00237538">
          <w:rPr>
            <w:rStyle w:val="cf01"/>
            <w:color w:val="0000FF"/>
            <w:u w:val="single"/>
          </w:rPr>
          <w:t>https://www.health.govt.nz/publication/pasifika-youth-online-gaming-and-gambling-research-are-online-video-games-gateway-problem-gambling</w:t>
        </w:r>
      </w:hyperlink>
    </w:p>
    <w:p w14:paraId="26B01786" w14:textId="77777777" w:rsidR="009436DF" w:rsidRDefault="009436DF" w:rsidP="00237538">
      <w:pPr>
        <w:pStyle w:val="Bibliography"/>
        <w:spacing w:line="276" w:lineRule="auto"/>
      </w:pPr>
      <w:r>
        <w:t xml:space="preserve">Te Whatu Ora. (2018). </w:t>
      </w:r>
      <w:r>
        <w:rPr>
          <w:i/>
          <w:iCs/>
        </w:rPr>
        <w:t>Health and Lifestyle Survey gambling data</w:t>
      </w:r>
      <w:r>
        <w:t xml:space="preserve"> [dataset]. https://kupe.healthpromotion.govt.nz/#!/gambling</w:t>
      </w:r>
    </w:p>
    <w:p w14:paraId="4C834120" w14:textId="77777777" w:rsidR="009436DF" w:rsidRDefault="009436DF" w:rsidP="00237538">
      <w:pPr>
        <w:pStyle w:val="Bibliography"/>
        <w:spacing w:line="276" w:lineRule="auto"/>
      </w:pPr>
      <w:r>
        <w:t xml:space="preserve">Te Whatu Ora. (2020). </w:t>
      </w:r>
      <w:r>
        <w:rPr>
          <w:i/>
          <w:iCs/>
        </w:rPr>
        <w:t>Health and Lifestyle Survey gambling data</w:t>
      </w:r>
      <w:r>
        <w:t xml:space="preserve"> [dataset]. https://kupe.healthpromotion.govt.nz/#!/gambling</w:t>
      </w:r>
    </w:p>
    <w:p w14:paraId="62665379" w14:textId="77777777" w:rsidR="009436DF" w:rsidRDefault="009436DF" w:rsidP="00237538">
      <w:pPr>
        <w:pStyle w:val="Bibliography"/>
        <w:spacing w:line="276" w:lineRule="auto"/>
      </w:pPr>
      <w:r>
        <w:t xml:space="preserve">Wang, G. Y., &amp; Bellringer, M. E. (2022). Social Connectedness and Associations with Gambling Risk in New Zealand. </w:t>
      </w:r>
      <w:r>
        <w:rPr>
          <w:i/>
          <w:iCs/>
        </w:rPr>
        <w:t>Journal of Clinical Medicine</w:t>
      </w:r>
      <w:r>
        <w:t xml:space="preserve">, </w:t>
      </w:r>
      <w:r>
        <w:rPr>
          <w:i/>
          <w:iCs/>
        </w:rPr>
        <w:t>11</w:t>
      </w:r>
      <w:r>
        <w:t>(23), Article 23. https://doi.org/10.3390/jcm11237123</w:t>
      </w:r>
    </w:p>
    <w:p w14:paraId="0A9D238D" w14:textId="77777777" w:rsidR="009436DF" w:rsidRDefault="009436DF" w:rsidP="00237538">
      <w:pPr>
        <w:pStyle w:val="Bibliography"/>
        <w:spacing w:line="276" w:lineRule="auto"/>
      </w:pPr>
      <w:r>
        <w:t xml:space="preserve">Wardle, H. (2019). The Same or Different? Convergence of Skin Gambling and Other Gambling Among Children. </w:t>
      </w:r>
      <w:r>
        <w:rPr>
          <w:i/>
          <w:iCs/>
        </w:rPr>
        <w:t>Journal of Gambling Studies</w:t>
      </w:r>
      <w:r>
        <w:t xml:space="preserve">, </w:t>
      </w:r>
      <w:r>
        <w:rPr>
          <w:i/>
          <w:iCs/>
        </w:rPr>
        <w:t>35</w:t>
      </w:r>
      <w:r>
        <w:t>(4), 1109–1125. https://doi.org/10.1007/s10899-019-09840-5</w:t>
      </w:r>
    </w:p>
    <w:p w14:paraId="49697C7D" w14:textId="77777777" w:rsidR="009436DF" w:rsidRDefault="009436DF" w:rsidP="00237538">
      <w:pPr>
        <w:pStyle w:val="Bibliography"/>
        <w:spacing w:line="276" w:lineRule="auto"/>
      </w:pPr>
      <w:r>
        <w:t xml:space="preserve">Willis, N. (2023). </w:t>
      </w:r>
      <w:r>
        <w:rPr>
          <w:i/>
          <w:iCs/>
        </w:rPr>
        <w:t>Boosting incomes for Kiwis the responsible way</w:t>
      </w:r>
      <w:r>
        <w:t>. New Zealand National Party. https://www.national.org.nz/boosting_incomes_for_kiwis_the_responsible_way</w:t>
      </w:r>
    </w:p>
    <w:p w14:paraId="6ED99DF3" w14:textId="77777777" w:rsidR="00C952FD" w:rsidRDefault="009436DF" w:rsidP="00237538">
      <w:pPr>
        <w:pStyle w:val="Bibliography"/>
        <w:spacing w:line="276" w:lineRule="auto"/>
      </w:pPr>
      <w:r>
        <w:t xml:space="preserve">Zaugg, L. (2023, September 9). Offshore online casinos find way around NZ’s advertising laws. </w:t>
      </w:r>
      <w:r>
        <w:rPr>
          <w:i/>
          <w:iCs/>
        </w:rPr>
        <w:t>1News</w:t>
      </w:r>
      <w:r>
        <w:t>. https://www.1news.co.nz/2023/09/09/offshore-online-casinos-find-way-around-nzs-advertising-laws</w:t>
      </w:r>
      <w:r w:rsidR="00C952FD">
        <w:t>/</w:t>
      </w:r>
    </w:p>
    <w:p w14:paraId="2DEAAC5E" w14:textId="25663516" w:rsidR="00195DF8" w:rsidRPr="007D7D39" w:rsidRDefault="00846AB0" w:rsidP="00237538">
      <w:pPr>
        <w:pStyle w:val="Bibliography"/>
        <w:spacing w:line="276" w:lineRule="auto"/>
      </w:pPr>
      <w:r>
        <w:fldChar w:fldCharType="end"/>
      </w:r>
    </w:p>
    <w:sectPr w:rsidR="00195DF8" w:rsidRPr="007D7D39" w:rsidSect="00FA225E">
      <w:footerReference w:type="default" r:id="rId8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0EC2B" w14:textId="77777777" w:rsidR="00B636AD" w:rsidRDefault="00B636AD" w:rsidP="00A659D0">
      <w:r>
        <w:separator/>
      </w:r>
    </w:p>
    <w:p w14:paraId="7EF0F15A" w14:textId="77777777" w:rsidR="00B636AD" w:rsidRDefault="00B636AD" w:rsidP="00A659D0"/>
  </w:endnote>
  <w:endnote w:type="continuationSeparator" w:id="0">
    <w:p w14:paraId="3F7B80DA" w14:textId="77777777" w:rsidR="00B636AD" w:rsidRDefault="00B636AD" w:rsidP="00A659D0">
      <w:r>
        <w:continuationSeparator/>
      </w:r>
    </w:p>
    <w:p w14:paraId="000B050A" w14:textId="77777777" w:rsidR="00B636AD" w:rsidRDefault="00B636AD" w:rsidP="00A659D0"/>
  </w:endnote>
  <w:endnote w:type="continuationNotice" w:id="1">
    <w:p w14:paraId="6FEA25F0" w14:textId="77777777" w:rsidR="00B636AD" w:rsidRDefault="00B636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Acumin 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A0492" w14:textId="77777777" w:rsidR="00476995" w:rsidRDefault="00476995">
    <w:pPr>
      <w:pStyle w:val="Footer"/>
    </w:pPr>
    <w:r>
      <w:t>www.think</w:t>
    </w:r>
    <w:r>
      <w:rPr>
        <w:color w:val="7B5E05" w:themeColor="accent1"/>
      </w:rPr>
      <w:t>Sapere</w:t>
    </w:r>
    <w:r>
      <w:t>.com</w:t>
    </w:r>
    <w:r>
      <w:ptab w:relativeTo="margin" w:alignment="right" w:leader="none"/>
    </w:r>
    <w:r>
      <w:t xml:space="preserve"> </w:t>
    </w:r>
    <w:r>
      <w:fldChar w:fldCharType="begin"/>
    </w:r>
    <w:r>
      <w:instrText xml:space="preserve"> PAGE  \* Arabic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ABAB3" w14:textId="77777777" w:rsidR="00476995" w:rsidRDefault="00476995">
    <w:pPr>
      <w:pStyle w:val="Footer"/>
    </w:pPr>
    <w:r>
      <w:t>www.think</w:t>
    </w:r>
    <w:r>
      <w:rPr>
        <w:color w:val="7B5E05" w:themeColor="accent1"/>
      </w:rPr>
      <w:t>Sapere</w:t>
    </w:r>
    <w:r>
      <w:t>.com</w:t>
    </w:r>
    <w:r>
      <w:ptab w:relativeTo="margin" w:alignment="right" w:leader="none"/>
    </w:r>
    <w:r>
      <w:t xml:space="preserve"> </w:t>
    </w:r>
    <w:r>
      <w:fldChar w:fldCharType="begin"/>
    </w:r>
    <w:r>
      <w:instrText xml:space="preserve"> PAGE  \* Arabic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F720C" w14:textId="3FF77E17" w:rsidR="000B46A6" w:rsidRPr="0049438F" w:rsidRDefault="00A03089" w:rsidP="000271F5">
    <w:pPr>
      <w:pStyle w:val="Footer"/>
      <w:tabs>
        <w:tab w:val="clear" w:pos="4513"/>
        <w:tab w:val="clear" w:pos="9026"/>
        <w:tab w:val="left" w:pos="7200"/>
      </w:tabs>
    </w:pPr>
    <w:r>
      <w:rPr>
        <w:noProof/>
      </w:rPr>
      <w:drawing>
        <wp:anchor distT="0" distB="0" distL="114300" distR="114300" simplePos="0" relativeHeight="251658244" behindDoc="0" locked="0" layoutInCell="1" allowOverlap="1" wp14:anchorId="009E5126" wp14:editId="15A03712">
          <wp:simplePos x="0" y="0"/>
          <wp:positionH relativeFrom="page">
            <wp:align>right</wp:align>
          </wp:positionH>
          <wp:positionV relativeFrom="paragraph">
            <wp:posOffset>-1273175</wp:posOffset>
          </wp:positionV>
          <wp:extent cx="7480300" cy="3352800"/>
          <wp:effectExtent l="0" t="0" r="6350" b="0"/>
          <wp:wrapThrough wrapText="bothSides">
            <wp:wrapPolygon edited="0">
              <wp:start x="0" y="0"/>
              <wp:lineTo x="0" y="21477"/>
              <wp:lineTo x="21563" y="21477"/>
              <wp:lineTo x="21563" y="0"/>
              <wp:lineTo x="0" y="0"/>
            </wp:wrapPolygon>
          </wp:wrapThrough>
          <wp:docPr id="1974665783" name="Picture 1974665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21526" name="Picture 2443215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0" cy="3352800"/>
                  </a:xfrm>
                  <a:prstGeom prst="rect">
                    <a:avLst/>
                  </a:prstGeom>
                  <a:noFill/>
                </pic:spPr>
              </pic:pic>
            </a:graphicData>
          </a:graphic>
          <wp14:sizeRelV relativeFrom="margin">
            <wp14:pctHeight>0</wp14:pctHeight>
          </wp14:sizeRelV>
        </wp:anchor>
      </w:drawing>
    </w:r>
    <w:r w:rsidR="004C4029">
      <w:rPr>
        <w:noProof/>
      </w:rPr>
      <mc:AlternateContent>
        <mc:Choice Requires="wps">
          <w:drawing>
            <wp:anchor distT="0" distB="0" distL="114300" distR="114300" simplePos="0" relativeHeight="251658241" behindDoc="0" locked="0" layoutInCell="1" allowOverlap="1" wp14:anchorId="57F68924" wp14:editId="62EEC272">
              <wp:simplePos x="0" y="0"/>
              <wp:positionH relativeFrom="column">
                <wp:posOffset>8787130</wp:posOffset>
              </wp:positionH>
              <wp:positionV relativeFrom="paragraph">
                <wp:posOffset>-1518285</wp:posOffset>
              </wp:positionV>
              <wp:extent cx="2203351" cy="1652270"/>
              <wp:effectExtent l="0" t="0" r="6985" b="5080"/>
              <wp:wrapNone/>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03351" cy="1652270"/>
                      </a:xfrm>
                      <a:prstGeom prst="rect">
                        <a:avLst/>
                      </a:prstGeom>
                      <a:solidFill>
                        <a:schemeClr val="accent6"/>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C381E" w14:textId="77777777" w:rsidR="004C4029" w:rsidRPr="007605F1" w:rsidRDefault="004C4029" w:rsidP="004C4029">
                          <w:pPr>
                            <w:spacing w:after="0" w:line="240" w:lineRule="auto"/>
                            <w:rPr>
                              <w:color w:val="000000"/>
                              <w:sz w:val="18"/>
                              <w:szCs w:val="20"/>
                            </w:rPr>
                          </w:pPr>
                          <w:r w:rsidRPr="007605F1">
                            <w:rPr>
                              <w:color w:val="000000"/>
                              <w:sz w:val="18"/>
                              <w:szCs w:val="20"/>
                            </w:rPr>
                            <w:t>To insert an image:</w:t>
                          </w:r>
                        </w:p>
                        <w:p w14:paraId="58B1B276" w14:textId="77777777" w:rsidR="004C4029" w:rsidRPr="007605F1" w:rsidRDefault="004C4029" w:rsidP="001512C3">
                          <w:pPr>
                            <w:pStyle w:val="ListParagraph"/>
                            <w:numPr>
                              <w:ilvl w:val="0"/>
                              <w:numId w:val="9"/>
                            </w:numPr>
                            <w:spacing w:after="0" w:line="240" w:lineRule="auto"/>
                            <w:ind w:left="284" w:hanging="270"/>
                            <w:rPr>
                              <w:color w:val="000000"/>
                              <w:sz w:val="18"/>
                              <w:szCs w:val="20"/>
                            </w:rPr>
                          </w:pPr>
                          <w:r w:rsidRPr="007605F1">
                            <w:rPr>
                              <w:color w:val="000000"/>
                              <w:sz w:val="18"/>
                              <w:szCs w:val="20"/>
                            </w:rPr>
                            <w:t>Right-click the footer and select ‘Edit Footer’</w:t>
                          </w:r>
                        </w:p>
                        <w:p w14:paraId="3418315C" w14:textId="77777777" w:rsidR="004C4029" w:rsidRPr="007605F1" w:rsidRDefault="004C4029" w:rsidP="001512C3">
                          <w:pPr>
                            <w:pStyle w:val="ListParagraph"/>
                            <w:numPr>
                              <w:ilvl w:val="0"/>
                              <w:numId w:val="9"/>
                            </w:numPr>
                            <w:spacing w:after="0" w:line="240" w:lineRule="auto"/>
                            <w:ind w:left="284" w:hanging="270"/>
                            <w:rPr>
                              <w:color w:val="000000"/>
                              <w:sz w:val="18"/>
                              <w:szCs w:val="20"/>
                            </w:rPr>
                          </w:pPr>
                          <w:r w:rsidRPr="007605F1">
                            <w:rPr>
                              <w:color w:val="000000"/>
                              <w:sz w:val="18"/>
                              <w:szCs w:val="20"/>
                            </w:rPr>
                            <w:t>Click on this box</w:t>
                          </w:r>
                        </w:p>
                        <w:p w14:paraId="1F2A5DC2" w14:textId="77777777" w:rsidR="004C4029" w:rsidRPr="007605F1" w:rsidRDefault="004C4029" w:rsidP="001512C3">
                          <w:pPr>
                            <w:pStyle w:val="ListParagraph"/>
                            <w:numPr>
                              <w:ilvl w:val="0"/>
                              <w:numId w:val="9"/>
                            </w:numPr>
                            <w:spacing w:after="0" w:line="240" w:lineRule="auto"/>
                            <w:ind w:left="284" w:hanging="270"/>
                            <w:rPr>
                              <w:color w:val="000000"/>
                              <w:sz w:val="18"/>
                              <w:szCs w:val="20"/>
                            </w:rPr>
                          </w:pPr>
                          <w:r w:rsidRPr="007605F1">
                            <w:rPr>
                              <w:color w:val="000000"/>
                              <w:sz w:val="18"/>
                              <w:szCs w:val="20"/>
                            </w:rPr>
                            <w:t>Click ‘Shape Format” tab in ribbon</w:t>
                          </w:r>
                        </w:p>
                        <w:p w14:paraId="375B8BF5" w14:textId="77777777" w:rsidR="004C4029" w:rsidRPr="007605F1" w:rsidRDefault="004C4029" w:rsidP="001512C3">
                          <w:pPr>
                            <w:pStyle w:val="ListParagraph"/>
                            <w:numPr>
                              <w:ilvl w:val="0"/>
                              <w:numId w:val="9"/>
                            </w:numPr>
                            <w:spacing w:after="0" w:line="240" w:lineRule="auto"/>
                            <w:ind w:left="284" w:hanging="270"/>
                            <w:rPr>
                              <w:color w:val="000000"/>
                              <w:sz w:val="18"/>
                              <w:szCs w:val="20"/>
                            </w:rPr>
                          </w:pPr>
                          <w:r w:rsidRPr="007605F1">
                            <w:rPr>
                              <w:color w:val="000000"/>
                              <w:sz w:val="18"/>
                              <w:szCs w:val="20"/>
                            </w:rPr>
                            <w:t>Click ‘Shape Fill’ – ‘Picture’ &amp; insert</w:t>
                          </w:r>
                        </w:p>
                        <w:p w14:paraId="4E14FD7C" w14:textId="77777777" w:rsidR="004C4029" w:rsidRPr="007605F1" w:rsidRDefault="004C4029" w:rsidP="001512C3">
                          <w:pPr>
                            <w:pStyle w:val="ListParagraph"/>
                            <w:numPr>
                              <w:ilvl w:val="0"/>
                              <w:numId w:val="9"/>
                            </w:numPr>
                            <w:spacing w:after="0" w:line="240" w:lineRule="auto"/>
                            <w:ind w:left="284" w:hanging="270"/>
                            <w:rPr>
                              <w:color w:val="000000"/>
                              <w:sz w:val="18"/>
                              <w:szCs w:val="20"/>
                            </w:rPr>
                          </w:pPr>
                          <w:r w:rsidRPr="007605F1">
                            <w:rPr>
                              <w:color w:val="000000"/>
                              <w:sz w:val="18"/>
                              <w:szCs w:val="20"/>
                            </w:rPr>
                            <w:t>Delete text once picture has been inserted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68924" id="Rectangle 24" o:spid="_x0000_s1026" style="position:absolute;margin-left:691.9pt;margin-top:-119.55pt;width:173.5pt;height:130.1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" fillcolor="#e36c0a [3209]" stroked="f" strokeweight="2.25pt">
              <o:lock v:ext="edit" aspectratio="t"/>
              <v:textbox>
                <w:txbxContent>
                  <w:p w14:paraId="3E6C381E" w14:textId="77777777" w:rsidR="004C4029" w:rsidRPr="007605F1" w:rsidRDefault="004C4029" w:rsidP="004C4029">
                    <w:pPr>
                      <w:spacing w:after="0" w:line="240" w:lineRule="auto"/>
                      <w:rPr>
                        <w:color w:val="000000"/>
                        <w:sz w:val="18"/>
                        <w:szCs w:val="20"/>
                      </w:rPr>
                    </w:pPr>
                    <w:r w:rsidRPr="007605F1">
                      <w:rPr>
                        <w:color w:val="000000"/>
                        <w:sz w:val="18"/>
                        <w:szCs w:val="20"/>
                      </w:rPr>
                      <w:t>To insert an image:</w:t>
                    </w:r>
                  </w:p>
                  <w:p w14:paraId="58B1B276" w14:textId="77777777" w:rsidR="004C4029" w:rsidRPr="007605F1" w:rsidRDefault="004C4029" w:rsidP="001512C3">
                    <w:pPr>
                      <w:pStyle w:val="ListParagraph"/>
                      <w:numPr>
                        <w:ilvl w:val="0"/>
                        <w:numId w:val="9"/>
                      </w:numPr>
                      <w:spacing w:after="0" w:line="240" w:lineRule="auto"/>
                      <w:ind w:left="284" w:hanging="270"/>
                      <w:rPr>
                        <w:color w:val="000000"/>
                        <w:sz w:val="18"/>
                        <w:szCs w:val="20"/>
                      </w:rPr>
                    </w:pPr>
                    <w:r w:rsidRPr="007605F1">
                      <w:rPr>
                        <w:color w:val="000000"/>
                        <w:sz w:val="18"/>
                        <w:szCs w:val="20"/>
                      </w:rPr>
                      <w:t>Right-click the footer and select ‘Edit Footer’</w:t>
                    </w:r>
                  </w:p>
                  <w:p w14:paraId="3418315C" w14:textId="77777777" w:rsidR="004C4029" w:rsidRPr="007605F1" w:rsidRDefault="004C4029" w:rsidP="001512C3">
                    <w:pPr>
                      <w:pStyle w:val="ListParagraph"/>
                      <w:numPr>
                        <w:ilvl w:val="0"/>
                        <w:numId w:val="9"/>
                      </w:numPr>
                      <w:spacing w:after="0" w:line="240" w:lineRule="auto"/>
                      <w:ind w:left="284" w:hanging="270"/>
                      <w:rPr>
                        <w:color w:val="000000"/>
                        <w:sz w:val="18"/>
                        <w:szCs w:val="20"/>
                      </w:rPr>
                    </w:pPr>
                    <w:r w:rsidRPr="007605F1">
                      <w:rPr>
                        <w:color w:val="000000"/>
                        <w:sz w:val="18"/>
                        <w:szCs w:val="20"/>
                      </w:rPr>
                      <w:t>Click on this box</w:t>
                    </w:r>
                  </w:p>
                  <w:p w14:paraId="1F2A5DC2" w14:textId="77777777" w:rsidR="004C4029" w:rsidRPr="007605F1" w:rsidRDefault="004C4029" w:rsidP="001512C3">
                    <w:pPr>
                      <w:pStyle w:val="ListParagraph"/>
                      <w:numPr>
                        <w:ilvl w:val="0"/>
                        <w:numId w:val="9"/>
                      </w:numPr>
                      <w:spacing w:after="0" w:line="240" w:lineRule="auto"/>
                      <w:ind w:left="284" w:hanging="270"/>
                      <w:rPr>
                        <w:color w:val="000000"/>
                        <w:sz w:val="18"/>
                        <w:szCs w:val="20"/>
                      </w:rPr>
                    </w:pPr>
                    <w:r w:rsidRPr="007605F1">
                      <w:rPr>
                        <w:color w:val="000000"/>
                        <w:sz w:val="18"/>
                        <w:szCs w:val="20"/>
                      </w:rPr>
                      <w:t>Click ‘Shape Format” tab in ribbon</w:t>
                    </w:r>
                  </w:p>
                  <w:p w14:paraId="375B8BF5" w14:textId="77777777" w:rsidR="004C4029" w:rsidRPr="007605F1" w:rsidRDefault="004C4029" w:rsidP="001512C3">
                    <w:pPr>
                      <w:pStyle w:val="ListParagraph"/>
                      <w:numPr>
                        <w:ilvl w:val="0"/>
                        <w:numId w:val="9"/>
                      </w:numPr>
                      <w:spacing w:after="0" w:line="240" w:lineRule="auto"/>
                      <w:ind w:left="284" w:hanging="270"/>
                      <w:rPr>
                        <w:color w:val="000000"/>
                        <w:sz w:val="18"/>
                        <w:szCs w:val="20"/>
                      </w:rPr>
                    </w:pPr>
                    <w:r w:rsidRPr="007605F1">
                      <w:rPr>
                        <w:color w:val="000000"/>
                        <w:sz w:val="18"/>
                        <w:szCs w:val="20"/>
                      </w:rPr>
                      <w:t>Click ‘Shape Fill’ – ‘Picture’ &amp; insert</w:t>
                    </w:r>
                  </w:p>
                  <w:p w14:paraId="4E14FD7C" w14:textId="77777777" w:rsidR="004C4029" w:rsidRPr="007605F1" w:rsidRDefault="004C4029" w:rsidP="001512C3">
                    <w:pPr>
                      <w:pStyle w:val="ListParagraph"/>
                      <w:numPr>
                        <w:ilvl w:val="0"/>
                        <w:numId w:val="9"/>
                      </w:numPr>
                      <w:spacing w:after="0" w:line="240" w:lineRule="auto"/>
                      <w:ind w:left="284" w:hanging="270"/>
                      <w:rPr>
                        <w:color w:val="000000"/>
                        <w:sz w:val="18"/>
                        <w:szCs w:val="20"/>
                      </w:rPr>
                    </w:pPr>
                    <w:r w:rsidRPr="007605F1">
                      <w:rPr>
                        <w:color w:val="000000"/>
                        <w:sz w:val="18"/>
                        <w:szCs w:val="20"/>
                      </w:rPr>
                      <w:t>Delete text once picture has been inserted</w:t>
                    </w:r>
                  </w:p>
                </w:txbxContent>
              </v:textbox>
            </v:rect>
          </w:pict>
        </mc:Fallback>
      </mc:AlternateContent>
    </w:r>
    <w:r w:rsidR="00C42B7D">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A7189" w14:textId="77777777" w:rsidR="00813C5B" w:rsidRDefault="00813C5B">
    <w:pPr>
      <w:pStyle w:val="Footer"/>
      <w:rPr>
        <w:color w:val="808080" w:themeColor="background1" w:themeShade="80"/>
      </w:rPr>
    </w:pPr>
  </w:p>
  <w:p w14:paraId="57A3ABE8" w14:textId="77777777" w:rsidR="00813C5B" w:rsidRDefault="00813C5B">
    <w:pPr>
      <w:pStyle w:val="Footer"/>
      <w:rPr>
        <w:color w:val="808080" w:themeColor="background1" w:themeShade="80"/>
      </w:rPr>
    </w:pPr>
  </w:p>
  <w:p w14:paraId="499D1CE3" w14:textId="0EF70DE2" w:rsidR="00813C5B" w:rsidRDefault="00813C5B">
    <w:pPr>
      <w:pStyle w:val="Footer"/>
      <w:rPr>
        <w:color w:val="808080" w:themeColor="background1" w:themeShade="80"/>
      </w:rPr>
    </w:pPr>
    <w:r>
      <w:rPr>
        <w:noProof/>
      </w:rPr>
      <w:drawing>
        <wp:anchor distT="0" distB="0" distL="114300" distR="114300" simplePos="0" relativeHeight="251658245" behindDoc="1" locked="0" layoutInCell="1" allowOverlap="1" wp14:anchorId="36DC62DB" wp14:editId="3FC93789">
          <wp:simplePos x="0" y="0"/>
          <wp:positionH relativeFrom="margin">
            <wp:posOffset>0</wp:posOffset>
          </wp:positionH>
          <wp:positionV relativeFrom="paragraph">
            <wp:posOffset>-635</wp:posOffset>
          </wp:positionV>
          <wp:extent cx="5809615" cy="45719"/>
          <wp:effectExtent l="0" t="0" r="0" b="0"/>
          <wp:wrapNone/>
          <wp:docPr id="677424392" name="Picture 677424392"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295B7" w14:textId="4124F4E2" w:rsidR="00EA1D2D" w:rsidRPr="00C75F88" w:rsidRDefault="00EA1D2D" w:rsidP="00EA1D2D">
    <w:pPr>
      <w:pStyle w:val="Footer"/>
      <w:jc w:val="center"/>
      <w:rPr>
        <w:rFonts w:cs="Calibri"/>
        <w:color w:val="808080" w:themeColor="background1" w:themeShade="80"/>
      </w:rPr>
    </w:pPr>
    <w:r w:rsidRPr="00FB0DD4">
      <w:rPr>
        <w:rFonts w:cs="Calibri"/>
      </w:rPr>
      <w:t xml:space="preserve">      </w:t>
    </w:r>
    <w:hyperlink r:id="rId2" w:history="1">
      <w:r w:rsidRPr="00FB0DD4">
        <w:rPr>
          <w:rStyle w:val="Hyperlink"/>
          <w:rFonts w:cs="Calibri"/>
          <w:color w:val="auto"/>
        </w:rPr>
        <w:t>www.malatest-intl.com</w:t>
      </w:r>
    </w:hyperlink>
    <w:r w:rsidRPr="00FB0DD4">
      <w:rPr>
        <w:rFonts w:cs="Calibri"/>
      </w:rPr>
      <w:t xml:space="preserve"> and </w:t>
    </w:r>
    <w:hyperlink r:id="rId3" w:history="1">
      <w:r w:rsidR="007156C7" w:rsidRPr="00FB0DD4">
        <w:rPr>
          <w:rStyle w:val="Hyperlink"/>
          <w:rFonts w:cs="Calibri"/>
          <w:color w:val="auto"/>
        </w:rPr>
        <w:t>www.thinkSapere.com</w:t>
      </w:r>
    </w:hyperlink>
    <w:r w:rsidR="007156C7" w:rsidRPr="00FB0DD4">
      <w:rPr>
        <w:rFonts w:cs="Calibri"/>
      </w:rPr>
      <w:t xml:space="preserve"> </w:t>
    </w:r>
    <w:r w:rsidR="00F67F38" w:rsidRPr="00FB0DD4">
      <w:rPr>
        <w:rFonts w:cs="Calibri"/>
      </w:rPr>
      <w:t xml:space="preserve">   </w:t>
    </w:r>
    <w:r w:rsidR="004109AE" w:rsidRPr="00C75F88">
      <w:rPr>
        <w:rFonts w:cs="Calibri"/>
        <w:color w:val="808080" w:themeColor="background1" w:themeShade="80"/>
      </w:rPr>
      <w:ptab w:relativeTo="margin" w:alignment="center" w:leader="none"/>
    </w:r>
  </w:p>
  <w:p w14:paraId="3291D0E1" w14:textId="04C3BD4D" w:rsidR="00D84954" w:rsidRPr="00C75F88" w:rsidRDefault="00EA1D2D" w:rsidP="00EA1D2D">
    <w:pPr>
      <w:pStyle w:val="Footer"/>
      <w:rPr>
        <w:rFonts w:cs="Calibri"/>
      </w:rPr>
    </w:pPr>
    <w:r w:rsidRPr="00C75F88">
      <w:rPr>
        <w:rFonts w:cs="Calibri"/>
      </w:rPr>
      <w:tab/>
      <w:t>Ga</w:t>
    </w:r>
    <w:r w:rsidR="00F67F38" w:rsidRPr="00C75F88">
      <w:rPr>
        <w:rFonts w:cs="Calibri"/>
      </w:rPr>
      <w:t>mbling Harm Needs Assessment 2024</w:t>
    </w:r>
    <w:r w:rsidR="004109AE" w:rsidRPr="00C75F88">
      <w:rPr>
        <w:rFonts w:cs="Calibri"/>
      </w:rPr>
      <w:ptab w:relativeTo="margin" w:alignment="right" w:leader="none"/>
    </w:r>
    <w:r w:rsidR="001C6D72" w:rsidRPr="00C75F88">
      <w:rPr>
        <w:rFonts w:cs="Calibri"/>
      </w:rPr>
      <w:fldChar w:fldCharType="begin"/>
    </w:r>
    <w:r w:rsidR="001C6D72" w:rsidRPr="00C75F88">
      <w:rPr>
        <w:rFonts w:cs="Calibri"/>
      </w:rPr>
      <w:instrText xml:space="preserve"> PAGE   \* MERGEFORMAT </w:instrText>
    </w:r>
    <w:r w:rsidR="001C6D72" w:rsidRPr="00C75F88">
      <w:rPr>
        <w:rFonts w:cs="Calibri"/>
      </w:rPr>
      <w:fldChar w:fldCharType="separate"/>
    </w:r>
    <w:r w:rsidR="001C6D72" w:rsidRPr="00C75F88">
      <w:rPr>
        <w:rFonts w:cs="Calibri"/>
      </w:rPr>
      <w:t>1</w:t>
    </w:r>
    <w:r w:rsidR="001C6D72" w:rsidRPr="00C75F88">
      <w:rPr>
        <w:rFonts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6868F9" w14:textId="77777777" w:rsidR="00B636AD" w:rsidRDefault="00B636AD" w:rsidP="00A659D0">
      <w:r>
        <w:separator/>
      </w:r>
    </w:p>
  </w:footnote>
  <w:footnote w:type="continuationSeparator" w:id="0">
    <w:p w14:paraId="539F44A4" w14:textId="77777777" w:rsidR="00B636AD" w:rsidRDefault="00B636AD" w:rsidP="00A659D0">
      <w:r>
        <w:continuationSeparator/>
      </w:r>
    </w:p>
  </w:footnote>
  <w:footnote w:type="continuationNotice" w:id="1">
    <w:p w14:paraId="7E54E0DA" w14:textId="77777777" w:rsidR="00B636AD" w:rsidRDefault="00B636AD">
      <w:pPr>
        <w:spacing w:after="0" w:line="240" w:lineRule="auto"/>
      </w:pPr>
    </w:p>
  </w:footnote>
  <w:footnote w:id="2">
    <w:p w14:paraId="374D63CB" w14:textId="77777777" w:rsidR="000A4213" w:rsidRPr="00C75F88" w:rsidRDefault="000A4213" w:rsidP="000A4213">
      <w:pPr>
        <w:pStyle w:val="FootnoteText"/>
        <w:rPr>
          <w:szCs w:val="18"/>
        </w:rPr>
      </w:pPr>
      <w:r w:rsidRPr="00C75F88">
        <w:rPr>
          <w:rStyle w:val="FootnoteReference"/>
        </w:rPr>
        <w:footnoteRef/>
      </w:r>
      <w:r w:rsidRPr="00C75F88">
        <w:rPr>
          <w:szCs w:val="18"/>
        </w:rPr>
        <w:t xml:space="preserve"> </w:t>
      </w:r>
      <w:hyperlink r:id="rId1" w:history="1">
        <w:r w:rsidRPr="00C75F88">
          <w:rPr>
            <w:rStyle w:val="Hyperlink"/>
            <w:color w:val="auto"/>
            <w:szCs w:val="18"/>
          </w:rPr>
          <w:t>http://www.health.govt.nz/publication/informing-2009-problem-gambling-needs-assessment-report-ministry-health-0</w:t>
        </w:r>
      </w:hyperlink>
      <w:r w:rsidRPr="00C75F88">
        <w:rPr>
          <w:szCs w:val="18"/>
        </w:rPr>
        <w:t xml:space="preserve"> </w:t>
      </w:r>
    </w:p>
  </w:footnote>
  <w:footnote w:id="3">
    <w:p w14:paraId="2EFA3458" w14:textId="77777777" w:rsidR="000A4213" w:rsidRPr="00C75F88" w:rsidRDefault="000A4213" w:rsidP="000A4213">
      <w:pPr>
        <w:pStyle w:val="FootnoteText"/>
        <w:rPr>
          <w:szCs w:val="18"/>
        </w:rPr>
      </w:pPr>
      <w:r w:rsidRPr="00C75F88">
        <w:rPr>
          <w:rStyle w:val="FootnoteReference"/>
        </w:rPr>
        <w:footnoteRef/>
      </w:r>
      <w:r w:rsidRPr="00C75F88">
        <w:rPr>
          <w:szCs w:val="18"/>
        </w:rPr>
        <w:t xml:space="preserve"> </w:t>
      </w:r>
      <w:hyperlink r:id="rId2" w:history="1">
        <w:r w:rsidRPr="00C75F88">
          <w:rPr>
            <w:rStyle w:val="Hyperlink"/>
            <w:color w:val="auto"/>
            <w:szCs w:val="18"/>
          </w:rPr>
          <w:t>http://www.health.govt.nz/system/files/documents/publications/gambling-harm-report-jul2012.pdf</w:t>
        </w:r>
      </w:hyperlink>
      <w:r w:rsidRPr="00C75F88">
        <w:rPr>
          <w:szCs w:val="18"/>
        </w:rPr>
        <w:t xml:space="preserve"> </w:t>
      </w:r>
    </w:p>
  </w:footnote>
  <w:footnote w:id="4">
    <w:p w14:paraId="4FB6E664" w14:textId="77777777" w:rsidR="000A4213" w:rsidRPr="00C75F88" w:rsidRDefault="000A4213" w:rsidP="000A4213">
      <w:pPr>
        <w:pStyle w:val="FootnoteText"/>
        <w:rPr>
          <w:szCs w:val="18"/>
          <w:lang w:val="en-US"/>
        </w:rPr>
      </w:pPr>
      <w:r w:rsidRPr="00C75F88">
        <w:rPr>
          <w:rStyle w:val="FootnoteReference"/>
        </w:rPr>
        <w:footnoteRef/>
      </w:r>
      <w:r w:rsidRPr="00C75F88">
        <w:rPr>
          <w:szCs w:val="18"/>
        </w:rPr>
        <w:t xml:space="preserve"> </w:t>
      </w:r>
      <w:hyperlink r:id="rId3" w:history="1">
        <w:r w:rsidRPr="00C75F88">
          <w:rPr>
            <w:rStyle w:val="Hyperlink"/>
            <w:color w:val="auto"/>
            <w:szCs w:val="18"/>
          </w:rPr>
          <w:t>https://www.health.govt.nz/system/files/documents/publications/informing-2015-gambling-harm-needs-assessmnt-jul15.pdf</w:t>
        </w:r>
      </w:hyperlink>
      <w:r w:rsidRPr="00C75F88">
        <w:rPr>
          <w:szCs w:val="18"/>
        </w:rPr>
        <w:t xml:space="preserve"> </w:t>
      </w:r>
    </w:p>
  </w:footnote>
  <w:footnote w:id="5">
    <w:p w14:paraId="36B15CAD" w14:textId="77777777" w:rsidR="000A4213" w:rsidRPr="00C75F88" w:rsidRDefault="000A4213" w:rsidP="000A4213">
      <w:pPr>
        <w:pStyle w:val="FootnoteText"/>
        <w:rPr>
          <w:szCs w:val="18"/>
        </w:rPr>
      </w:pPr>
      <w:r w:rsidRPr="00C75F88">
        <w:rPr>
          <w:rStyle w:val="FootnoteReference"/>
        </w:rPr>
        <w:footnoteRef/>
      </w:r>
      <w:r w:rsidRPr="00C75F88">
        <w:rPr>
          <w:szCs w:val="18"/>
        </w:rPr>
        <w:t xml:space="preserve"> </w:t>
      </w:r>
      <w:hyperlink r:id="rId4" w:history="1">
        <w:r w:rsidRPr="00C75F88">
          <w:rPr>
            <w:rStyle w:val="Hyperlink"/>
            <w:color w:val="auto"/>
            <w:szCs w:val="18"/>
          </w:rPr>
          <w:t>https://www.health.govt.nz/publication/gambling-harm-reduction-needs-assessment</w:t>
        </w:r>
      </w:hyperlink>
      <w:r w:rsidRPr="00C75F88">
        <w:rPr>
          <w:szCs w:val="18"/>
        </w:rPr>
        <w:t xml:space="preserve"> </w:t>
      </w:r>
    </w:p>
  </w:footnote>
  <w:footnote w:id="6">
    <w:p w14:paraId="4D3D243A" w14:textId="77777777" w:rsidR="000A4213" w:rsidRPr="00C75F88" w:rsidRDefault="000A4213" w:rsidP="000A4213">
      <w:pPr>
        <w:pStyle w:val="FootnoteText"/>
        <w:rPr>
          <w:szCs w:val="18"/>
        </w:rPr>
      </w:pPr>
      <w:r w:rsidRPr="00C75F88">
        <w:rPr>
          <w:rStyle w:val="FootnoteReference"/>
        </w:rPr>
        <w:footnoteRef/>
      </w:r>
      <w:r w:rsidRPr="00C75F88">
        <w:rPr>
          <w:szCs w:val="18"/>
        </w:rPr>
        <w:t xml:space="preserve"> </w:t>
      </w:r>
      <w:hyperlink r:id="rId5" w:history="1">
        <w:r w:rsidRPr="00C75F88">
          <w:rPr>
            <w:rStyle w:val="Hyperlink"/>
            <w:color w:val="auto"/>
            <w:szCs w:val="18"/>
          </w:rPr>
          <w:t>https://www.health.govt.nz/system/files/documents/publications/gambling-harm-needs-assessment-2021.pdf</w:t>
        </w:r>
      </w:hyperlink>
      <w:r w:rsidRPr="00C75F88">
        <w:rPr>
          <w:szCs w:val="18"/>
        </w:rPr>
        <w:t xml:space="preserve">    </w:t>
      </w:r>
    </w:p>
  </w:footnote>
  <w:footnote w:id="7">
    <w:p w14:paraId="3281F456" w14:textId="2E720C95" w:rsidR="00BF3925" w:rsidRDefault="00BF3925">
      <w:pPr>
        <w:pStyle w:val="FootnoteText"/>
      </w:pPr>
      <w:r>
        <w:rPr>
          <w:rStyle w:val="FootnoteReference"/>
        </w:rPr>
        <w:footnoteRef/>
      </w:r>
      <w:r>
        <w:t xml:space="preserve"> We note the effective ‘wash up’ in section </w:t>
      </w:r>
      <w:r w:rsidR="00325C30">
        <w:t>320(2) of the Gambling Act 2003 however this itself is based on an estimate.</w:t>
      </w:r>
    </w:p>
  </w:footnote>
  <w:footnote w:id="8">
    <w:p w14:paraId="130A1163" w14:textId="77777777" w:rsidR="00DA2800" w:rsidRPr="00C75F88" w:rsidRDefault="00DA2800" w:rsidP="00DA2800">
      <w:pPr>
        <w:pStyle w:val="FootnoteText"/>
        <w:rPr>
          <w:rFonts w:cs="Calibri"/>
          <w:szCs w:val="18"/>
        </w:rPr>
      </w:pPr>
      <w:r w:rsidRPr="00C75F88">
        <w:rPr>
          <w:rStyle w:val="FootnoteReference"/>
          <w:rFonts w:cs="Calibri"/>
        </w:rPr>
        <w:footnoteRef/>
      </w:r>
      <w:r w:rsidRPr="00C75F88">
        <w:rPr>
          <w:rFonts w:cs="Calibri"/>
          <w:szCs w:val="18"/>
        </w:rPr>
        <w:t xml:space="preserve"> </w:t>
      </w:r>
      <w:hyperlink r:id="rId6" w:history="1">
        <w:r w:rsidRPr="00C75F88">
          <w:rPr>
            <w:rStyle w:val="Hyperlink"/>
            <w:rFonts w:cs="Calibri"/>
            <w:color w:val="auto"/>
            <w:szCs w:val="18"/>
          </w:rPr>
          <w:t>http://www.health.govt.nz/publication/informing-2009-problem-gambling-needs-assessment-report-ministry-health-0</w:t>
        </w:r>
      </w:hyperlink>
      <w:r w:rsidRPr="00C75F88">
        <w:rPr>
          <w:rFonts w:cs="Calibri"/>
          <w:szCs w:val="18"/>
        </w:rPr>
        <w:t xml:space="preserve"> </w:t>
      </w:r>
    </w:p>
  </w:footnote>
  <w:footnote w:id="9">
    <w:p w14:paraId="0449AFDA" w14:textId="77777777" w:rsidR="00DA2800" w:rsidRPr="00C75F88" w:rsidRDefault="00DA2800" w:rsidP="00DA2800">
      <w:pPr>
        <w:pStyle w:val="FootnoteText"/>
        <w:rPr>
          <w:rFonts w:cs="Calibri"/>
          <w:szCs w:val="18"/>
        </w:rPr>
      </w:pPr>
      <w:r w:rsidRPr="00C75F88">
        <w:rPr>
          <w:rStyle w:val="FootnoteReference"/>
          <w:rFonts w:cs="Calibri"/>
        </w:rPr>
        <w:footnoteRef/>
      </w:r>
      <w:r w:rsidRPr="00C75F88">
        <w:rPr>
          <w:rFonts w:cs="Calibri"/>
          <w:szCs w:val="18"/>
        </w:rPr>
        <w:t xml:space="preserve"> </w:t>
      </w:r>
      <w:hyperlink r:id="rId7" w:history="1">
        <w:r w:rsidRPr="00C75F88">
          <w:rPr>
            <w:rStyle w:val="Hyperlink"/>
            <w:rFonts w:cs="Calibri"/>
            <w:color w:val="auto"/>
            <w:szCs w:val="18"/>
          </w:rPr>
          <w:t>http://www.health.govt.nz/system/files/documents/publications/gambling-harm-report-jul2012.pdf</w:t>
        </w:r>
      </w:hyperlink>
      <w:r w:rsidRPr="00C75F88">
        <w:rPr>
          <w:rFonts w:cs="Calibri"/>
          <w:szCs w:val="18"/>
        </w:rPr>
        <w:t xml:space="preserve"> </w:t>
      </w:r>
    </w:p>
  </w:footnote>
  <w:footnote w:id="10">
    <w:p w14:paraId="19EBEA1B" w14:textId="77777777" w:rsidR="00DA2800" w:rsidRPr="00C75F88" w:rsidRDefault="00DA2800" w:rsidP="00DA2800">
      <w:pPr>
        <w:pStyle w:val="FootnoteText"/>
        <w:rPr>
          <w:rFonts w:cs="Calibri"/>
          <w:szCs w:val="18"/>
          <w:lang w:val="en-US"/>
        </w:rPr>
      </w:pPr>
      <w:r w:rsidRPr="00C75F88">
        <w:rPr>
          <w:rStyle w:val="FootnoteReference"/>
          <w:rFonts w:cs="Calibri"/>
        </w:rPr>
        <w:footnoteRef/>
      </w:r>
      <w:r w:rsidRPr="00C75F88">
        <w:rPr>
          <w:rFonts w:cs="Calibri"/>
          <w:szCs w:val="18"/>
        </w:rPr>
        <w:t xml:space="preserve"> </w:t>
      </w:r>
      <w:hyperlink r:id="rId8" w:history="1">
        <w:r w:rsidRPr="00C75F88">
          <w:rPr>
            <w:rStyle w:val="Hyperlink"/>
            <w:rFonts w:cs="Calibri"/>
            <w:color w:val="auto"/>
            <w:szCs w:val="18"/>
          </w:rPr>
          <w:t>https://www.health.govt.nz/system/files/documents/publications/informing-2015-gambling-harm-needs-assessmnt-jul15.pdf</w:t>
        </w:r>
      </w:hyperlink>
      <w:r w:rsidRPr="00C75F88">
        <w:rPr>
          <w:rFonts w:cs="Calibri"/>
          <w:szCs w:val="18"/>
        </w:rPr>
        <w:t xml:space="preserve"> </w:t>
      </w:r>
    </w:p>
  </w:footnote>
  <w:footnote w:id="11">
    <w:p w14:paraId="0A80D239" w14:textId="77777777" w:rsidR="00DA2800" w:rsidRPr="00C75F88" w:rsidRDefault="00DA2800" w:rsidP="00DA2800">
      <w:pPr>
        <w:pStyle w:val="FootnoteText"/>
        <w:rPr>
          <w:rFonts w:cs="Calibri"/>
          <w:szCs w:val="18"/>
        </w:rPr>
      </w:pPr>
      <w:r w:rsidRPr="00C75F88">
        <w:rPr>
          <w:rStyle w:val="FootnoteReference"/>
          <w:rFonts w:cs="Calibri"/>
        </w:rPr>
        <w:footnoteRef/>
      </w:r>
      <w:r w:rsidRPr="00C75F88">
        <w:rPr>
          <w:rFonts w:cs="Calibri"/>
          <w:szCs w:val="18"/>
        </w:rPr>
        <w:t xml:space="preserve"> </w:t>
      </w:r>
      <w:hyperlink r:id="rId9" w:history="1">
        <w:r w:rsidRPr="00C75F88">
          <w:rPr>
            <w:rStyle w:val="Hyperlink"/>
            <w:rFonts w:cs="Calibri"/>
            <w:color w:val="auto"/>
            <w:szCs w:val="18"/>
          </w:rPr>
          <w:t>https://www.health.govt.nz/publication/gambling-harm-reduction-needs-assessment</w:t>
        </w:r>
      </w:hyperlink>
      <w:r w:rsidRPr="00C75F88">
        <w:rPr>
          <w:rFonts w:cs="Calibri"/>
          <w:szCs w:val="18"/>
        </w:rPr>
        <w:t xml:space="preserve"> </w:t>
      </w:r>
    </w:p>
  </w:footnote>
  <w:footnote w:id="12">
    <w:p w14:paraId="0B0D81F8" w14:textId="77777777" w:rsidR="00DA2800" w:rsidRPr="00C75F88" w:rsidRDefault="00DA2800" w:rsidP="00DA2800">
      <w:pPr>
        <w:pStyle w:val="FootnoteText"/>
        <w:rPr>
          <w:rFonts w:cs="Calibri"/>
          <w:szCs w:val="18"/>
        </w:rPr>
      </w:pPr>
      <w:r w:rsidRPr="00C75F88">
        <w:rPr>
          <w:rStyle w:val="FootnoteReference"/>
          <w:rFonts w:cs="Calibri"/>
        </w:rPr>
        <w:footnoteRef/>
      </w:r>
      <w:r w:rsidRPr="00C75F88">
        <w:rPr>
          <w:rFonts w:cs="Calibri"/>
          <w:szCs w:val="18"/>
        </w:rPr>
        <w:t xml:space="preserve"> </w:t>
      </w:r>
      <w:hyperlink r:id="rId10" w:history="1">
        <w:r w:rsidRPr="00C75F88">
          <w:rPr>
            <w:rStyle w:val="Hyperlink"/>
            <w:rFonts w:cs="Calibri"/>
            <w:color w:val="auto"/>
            <w:szCs w:val="18"/>
          </w:rPr>
          <w:t>https://www.health.govt.nz/system/files/documents/publications/gambling-harm-needs-assessment-2021.pdf</w:t>
        </w:r>
      </w:hyperlink>
      <w:r w:rsidRPr="00C75F88">
        <w:rPr>
          <w:rFonts w:cs="Calibri"/>
          <w:szCs w:val="18"/>
        </w:rPr>
        <w:t xml:space="preserve">    </w:t>
      </w:r>
    </w:p>
  </w:footnote>
  <w:footnote w:id="13">
    <w:p w14:paraId="203FAF7B" w14:textId="77777777" w:rsidR="00DA2800" w:rsidRPr="00C75F88" w:rsidRDefault="00DA2800" w:rsidP="00DA2800">
      <w:pPr>
        <w:pStyle w:val="FootnoteText"/>
        <w:rPr>
          <w:rFonts w:cs="Calibri"/>
          <w:szCs w:val="18"/>
        </w:rPr>
      </w:pPr>
      <w:r w:rsidRPr="00C75F88">
        <w:rPr>
          <w:rStyle w:val="FootnoteReference"/>
          <w:rFonts w:cs="Calibri"/>
        </w:rPr>
        <w:footnoteRef/>
      </w:r>
      <w:r w:rsidRPr="00C75F88">
        <w:rPr>
          <w:rFonts w:cs="Calibri"/>
          <w:szCs w:val="18"/>
        </w:rPr>
        <w:t xml:space="preserve"> </w:t>
      </w:r>
      <w:hyperlink r:id="rId11" w:history="1">
        <w:r w:rsidRPr="00C75F88">
          <w:rPr>
            <w:rStyle w:val="Hyperlink"/>
            <w:rFonts w:cs="Calibri"/>
            <w:color w:val="auto"/>
            <w:szCs w:val="18"/>
          </w:rPr>
          <w:t>https://www.gamblingcommission.govt.nz/GCwebsite.nsf/wpg_URL/Reports-Publications-Problem-Gambling-Levy-2022-2025!OpenDocument</w:t>
        </w:r>
      </w:hyperlink>
      <w:r w:rsidRPr="00C75F88">
        <w:rPr>
          <w:rFonts w:cs="Calibri"/>
          <w:szCs w:val="18"/>
        </w:rPr>
        <w:t xml:space="preserve">   </w:t>
      </w:r>
    </w:p>
  </w:footnote>
  <w:footnote w:id="14">
    <w:p w14:paraId="6EC26F6B" w14:textId="77777777" w:rsidR="00731374" w:rsidRPr="00C75F88" w:rsidRDefault="00731374" w:rsidP="00731374">
      <w:pPr>
        <w:pStyle w:val="FootnoteText"/>
        <w:rPr>
          <w:rFonts w:cs="Calibri"/>
          <w:szCs w:val="18"/>
          <w:lang w:val="en-US"/>
        </w:rPr>
      </w:pPr>
      <w:r w:rsidRPr="00C75F88">
        <w:rPr>
          <w:rStyle w:val="FootnoteReference"/>
          <w:rFonts w:cs="Calibri"/>
        </w:rPr>
        <w:footnoteRef/>
      </w:r>
      <w:r w:rsidRPr="00C75F88">
        <w:rPr>
          <w:rFonts w:cs="Calibri"/>
          <w:szCs w:val="18"/>
        </w:rPr>
        <w:t xml:space="preserve"> </w:t>
      </w:r>
      <w:bookmarkStart w:id="58" w:name="_Hlk72750352"/>
      <w:r w:rsidRPr="00C75F88">
        <w:rPr>
          <w:rFonts w:cs="Calibri"/>
          <w:szCs w:val="18"/>
          <w:lang w:val="en-US"/>
        </w:rPr>
        <w:t xml:space="preserve">Group interviews were conducted on request from participants. </w:t>
      </w:r>
      <w:r w:rsidRPr="00C75F88">
        <w:rPr>
          <w:rFonts w:cs="Calibri"/>
          <w:szCs w:val="18"/>
        </w:rPr>
        <w:t>The synergistic nature of group discussions enabled participants to build on each other’s insights in ways that would be less possible in individual interviews. Group interviews also provoked rationalisation and explicit reasoning and helped to unpack more nuanced understandings of phenomena. Group discussions were facilitated by a senior and experienced team member to ensure inclusive, respectful and safe conversations and to minimise the potential for power dynamics in a group setting.</w:t>
      </w:r>
      <w:bookmarkEnd w:id="58"/>
    </w:p>
  </w:footnote>
  <w:footnote w:id="15">
    <w:p w14:paraId="13D853FA" w14:textId="428B1D8F" w:rsidR="00076A79" w:rsidRDefault="00076A79" w:rsidP="00076A79">
      <w:pPr>
        <w:pStyle w:val="FootnoteText"/>
      </w:pPr>
      <w:r w:rsidRPr="00076A79">
        <w:rPr>
          <w:rStyle w:val="FootnoteReference"/>
        </w:rPr>
        <w:footnoteRef/>
      </w:r>
      <w:r w:rsidRPr="00076A79">
        <w:t xml:space="preserve"> Government agencies and research institutions have been grouped </w:t>
      </w:r>
      <w:r>
        <w:t>in light of small numbers</w:t>
      </w:r>
      <w:r w:rsidRPr="00076A79">
        <w:t>.</w:t>
      </w:r>
      <w:r>
        <w:t xml:space="preserve"> </w:t>
      </w:r>
    </w:p>
  </w:footnote>
  <w:footnote w:id="16">
    <w:p w14:paraId="4E1F76C7" w14:textId="3FDBA1EE" w:rsidR="00076A79" w:rsidRDefault="00076A79" w:rsidP="00076A79">
      <w:pPr>
        <w:pStyle w:val="FootnoteText"/>
      </w:pPr>
      <w:r>
        <w:rPr>
          <w:rStyle w:val="FootnoteReference"/>
        </w:rPr>
        <w:footnoteRef/>
      </w:r>
      <w:r>
        <w:t xml:space="preserve"> Individual codes and numbers have been removed to strengthen anonymity.</w:t>
      </w:r>
      <w:r w:rsidR="00011146">
        <w:t xml:space="preserve"> </w:t>
      </w:r>
      <w:r w:rsidR="00A93E78">
        <w:t>Where multiple quotes are presented in this report, t</w:t>
      </w:r>
      <w:r w:rsidR="00011146">
        <w:t>he authors have included</w:t>
      </w:r>
      <w:r w:rsidR="00A93E78">
        <w:t xml:space="preserve"> quotes from different individuals and stakeholder groups. </w:t>
      </w:r>
    </w:p>
  </w:footnote>
  <w:footnote w:id="17">
    <w:p w14:paraId="2222CC7A" w14:textId="72D519AB" w:rsidR="007156C7" w:rsidRPr="00C75F88" w:rsidRDefault="007156C7">
      <w:pPr>
        <w:pStyle w:val="FootnoteText"/>
        <w:rPr>
          <w:rFonts w:cs="Calibri"/>
        </w:rPr>
      </w:pPr>
      <w:r w:rsidRPr="00C75F88">
        <w:rPr>
          <w:rStyle w:val="FootnoteReference"/>
          <w:rFonts w:cs="Calibri"/>
        </w:rPr>
        <w:footnoteRef/>
      </w:r>
      <w:r w:rsidRPr="00C75F88">
        <w:rPr>
          <w:rFonts w:cs="Calibri"/>
        </w:rPr>
        <w:t xml:space="preserve"> Data collection was extended to March 2024 to accommodate availability for a small number of stakeholder interviews/focus groups.</w:t>
      </w:r>
    </w:p>
  </w:footnote>
  <w:footnote w:id="18">
    <w:p w14:paraId="3BEF58FC" w14:textId="4BB0BE5D" w:rsidR="00BB3AC2" w:rsidRPr="00C75F88" w:rsidRDefault="00BB3AC2">
      <w:pPr>
        <w:pStyle w:val="FootnoteText"/>
        <w:rPr>
          <w:rFonts w:cs="Calibri"/>
        </w:rPr>
      </w:pPr>
      <w:r w:rsidRPr="00C75F88">
        <w:rPr>
          <w:rStyle w:val="FootnoteReference"/>
          <w:rFonts w:cs="Calibri"/>
        </w:rPr>
        <w:footnoteRef/>
      </w:r>
      <w:r w:rsidRPr="00C75F88">
        <w:rPr>
          <w:rFonts w:cs="Calibri"/>
        </w:rPr>
        <w:t xml:space="preserve"> </w:t>
      </w:r>
      <w:r w:rsidR="00144B99" w:rsidRPr="00C75F88">
        <w:rPr>
          <w:rFonts w:cs="Calibri"/>
        </w:rPr>
        <w:t>“Online gambling – any” includes Lotto and TAB online</w:t>
      </w:r>
    </w:p>
  </w:footnote>
  <w:footnote w:id="19">
    <w:p w14:paraId="17FEF089" w14:textId="0E3CF710" w:rsidR="00C57176" w:rsidRDefault="00C57176">
      <w:pPr>
        <w:pStyle w:val="FootnoteText"/>
      </w:pPr>
      <w:r>
        <w:rPr>
          <w:rStyle w:val="FootnoteReference"/>
        </w:rPr>
        <w:footnoteRef/>
      </w:r>
      <w:r>
        <w:t xml:space="preserve"> </w:t>
      </w:r>
      <w:r w:rsidR="00A35740">
        <w:t xml:space="preserve">TAB </w:t>
      </w:r>
      <w:r w:rsidR="00C952FD">
        <w:t>expenditure data for</w:t>
      </w:r>
      <w:r w:rsidR="006B247D">
        <w:t xml:space="preserve"> 2022/23 </w:t>
      </w:r>
      <w:r w:rsidR="00C952FD">
        <w:t>was not available</w:t>
      </w:r>
      <w:r w:rsidR="006B247D">
        <w:t xml:space="preserve"> at the time of </w:t>
      </w:r>
      <w:r w:rsidR="00B10E61">
        <w:t>this assessment</w:t>
      </w:r>
      <w:r w:rsidR="00712CE6">
        <w:t>.</w:t>
      </w:r>
      <w:r w:rsidR="004C4C09">
        <w:t xml:space="preserve"> </w:t>
      </w:r>
    </w:p>
  </w:footnote>
  <w:footnote w:id="20">
    <w:p w14:paraId="38BF1A97" w14:textId="083D6C21" w:rsidR="008D10C0" w:rsidRPr="00461D35" w:rsidRDefault="008D10C0">
      <w:pPr>
        <w:pStyle w:val="FootnoteText"/>
        <w:rPr>
          <w:rFonts w:cs="Calibri"/>
          <w:szCs w:val="18"/>
        </w:rPr>
      </w:pPr>
      <w:r w:rsidRPr="00461D35">
        <w:rPr>
          <w:rStyle w:val="FootnoteReference"/>
          <w:rFonts w:cs="Calibri"/>
          <w:szCs w:val="18"/>
        </w:rPr>
        <w:footnoteRef/>
      </w:r>
      <w:r w:rsidRPr="00461D35">
        <w:rPr>
          <w:rFonts w:cs="Calibri"/>
          <w:szCs w:val="18"/>
        </w:rPr>
        <w:t xml:space="preserve"> We note that </w:t>
      </w:r>
      <w:r w:rsidRPr="00461D35">
        <w:rPr>
          <w:rStyle w:val="cf01"/>
          <w:rFonts w:ascii="Calibri" w:hAnsi="Calibri" w:cs="Calibri"/>
        </w:rPr>
        <w:t>Christchurch Casino did previously operate an online casino between 2005-2007 (</w:t>
      </w:r>
      <w:hyperlink r:id="rId12" w:history="1">
        <w:r w:rsidRPr="00461D35">
          <w:rPr>
            <w:rStyle w:val="cf01"/>
            <w:rFonts w:ascii="Calibri" w:hAnsi="Calibri" w:cs="Calibri"/>
            <w:color w:val="0000FF"/>
            <w:u w:val="single"/>
          </w:rPr>
          <w:t>https://en.wikipedia.org/wiki/Christchurch_Casino</w:t>
        </w:r>
      </w:hyperlink>
      <w:r w:rsidRPr="00461D35">
        <w:rPr>
          <w:rFonts w:cs="Calibri"/>
          <w:szCs w:val="18"/>
        </w:rPr>
        <w:t>)</w:t>
      </w:r>
      <w:r w:rsidR="000A036C" w:rsidRPr="00461D35">
        <w:rPr>
          <w:rFonts w:cs="Calibri"/>
          <w:szCs w:val="18"/>
        </w:rPr>
        <w:t>.</w:t>
      </w:r>
    </w:p>
  </w:footnote>
  <w:footnote w:id="21">
    <w:p w14:paraId="664ACE3F" w14:textId="4BA3C6B3" w:rsidR="005D5BC4" w:rsidRPr="00461D35" w:rsidRDefault="005D5BC4">
      <w:pPr>
        <w:pStyle w:val="FootnoteText"/>
        <w:rPr>
          <w:rFonts w:cs="Calibri"/>
          <w:szCs w:val="18"/>
        </w:rPr>
      </w:pPr>
      <w:r w:rsidRPr="00461D35">
        <w:rPr>
          <w:rStyle w:val="FootnoteReference"/>
          <w:rFonts w:cs="Calibri"/>
          <w:szCs w:val="18"/>
        </w:rPr>
        <w:footnoteRef/>
      </w:r>
      <w:r w:rsidRPr="00461D35">
        <w:rPr>
          <w:rFonts w:cs="Calibri"/>
          <w:szCs w:val="18"/>
        </w:rPr>
        <w:t xml:space="preserve"> </w:t>
      </w:r>
      <w:r w:rsidR="00AF4C4C" w:rsidRPr="00461D35">
        <w:rPr>
          <w:rFonts w:cs="Calibri"/>
          <w:szCs w:val="18"/>
        </w:rPr>
        <w:t xml:space="preserve">As announced on 14 March 20-14 </w:t>
      </w:r>
    </w:p>
  </w:footnote>
  <w:footnote w:id="22">
    <w:p w14:paraId="614D2189" w14:textId="768A7DC3" w:rsidR="00AF29C5" w:rsidRDefault="00AF29C5">
      <w:pPr>
        <w:pStyle w:val="FootnoteText"/>
      </w:pPr>
      <w:r>
        <w:rPr>
          <w:rStyle w:val="FootnoteReference"/>
        </w:rPr>
        <w:footnoteRef/>
      </w:r>
      <w:r>
        <w:t xml:space="preserve"> There are two types of society: those that apply funds to their own purposes (e.g. clubs), and those that make grants to other bodies for community purposes.</w:t>
      </w:r>
    </w:p>
  </w:footnote>
  <w:footnote w:id="23">
    <w:p w14:paraId="2D7980B0" w14:textId="2E515BD9" w:rsidR="00FF3BF4" w:rsidRDefault="00FF3BF4">
      <w:pPr>
        <w:pStyle w:val="FootnoteText"/>
      </w:pPr>
      <w:r>
        <w:rPr>
          <w:rStyle w:val="FootnoteReference"/>
        </w:rPr>
        <w:footnoteRef/>
      </w:r>
      <w:r>
        <w:t xml:space="preserve"> It is important to note that the 2020 HLS was delayed for five months due to the COVID-19 lockdown, and it</w:t>
      </w:r>
      <w:r w:rsidR="00E073D7">
        <w:t xml:space="preserve"> is</w:t>
      </w:r>
      <w:r>
        <w:t xml:space="preserve"> unclear what impact this had on the data.</w:t>
      </w:r>
    </w:p>
  </w:footnote>
  <w:footnote w:id="24">
    <w:p w14:paraId="182902C8" w14:textId="0279E6CF" w:rsidR="00146F51" w:rsidRDefault="00146F51" w:rsidP="00146F51">
      <w:pPr>
        <w:pStyle w:val="FootnoteText"/>
      </w:pPr>
      <w:r>
        <w:rPr>
          <w:rStyle w:val="FootnoteReference"/>
        </w:rPr>
        <w:footnoteRef/>
      </w:r>
      <w:r>
        <w:t xml:space="preserve"> Loot boxes are digital containers holding random items for players to use in a game. Players have the ability to purchase loot boxes with real money and essentially gamble on the chance of receiving ‘rare’ items </w:t>
      </w:r>
      <w:r>
        <w:fldChar w:fldCharType="begin"/>
      </w:r>
      <w:r w:rsidR="00BA456D">
        <w:instrText xml:space="preserve"> ADDIN ZOTERO_ITEM CSL_CITATION {"citationID":"EHSxN8lj","properties":{"formattedCitation":"(Problem Gambling Foundation, 2020a)","plainCitation":"(Problem Gambling Foundation, 2020a)","noteIndex":23},"citationItems":[{"id":1530,"uris":["http://zotero.org/users/11111291/items/BA5US85Z"],"itemData":{"id":1530,"type":"webpage","title":"Loot Boxes","URL":"https://www.pgf.nz/downloads/assets/11960/1/loot-boxes.pdf","author":[{"literal":"Problem Gambling Foundation"}],"accessed":{"date-parts":[["2024",1,23]]},"issued":{"date-parts":[["2020"]]}}}],"schema":"https://github.com/citation-style-language/schema/raw/master/csl-citation.json"} </w:instrText>
      </w:r>
      <w:r>
        <w:fldChar w:fldCharType="separate"/>
      </w:r>
      <w:r w:rsidRPr="007C6809">
        <w:rPr>
          <w:rFonts w:ascii="Segoe UI" w:hAnsi="Segoe UI" w:cs="Segoe UI"/>
        </w:rPr>
        <w:t>(Problem Gambling Foundation, 2020a)</w:t>
      </w:r>
      <w:r>
        <w:fldChar w:fldCharType="end"/>
      </w:r>
      <w:r>
        <w:t>.</w:t>
      </w:r>
    </w:p>
  </w:footnote>
  <w:footnote w:id="25">
    <w:p w14:paraId="54F99191" w14:textId="56D20200" w:rsidR="009A5781" w:rsidRDefault="009A5781">
      <w:pPr>
        <w:pStyle w:val="FootnoteText"/>
      </w:pPr>
      <w:r>
        <w:rPr>
          <w:rStyle w:val="FootnoteReference"/>
        </w:rPr>
        <w:footnoteRef/>
      </w:r>
      <w:r>
        <w:t xml:space="preserve"> </w:t>
      </w:r>
      <w:r w:rsidR="00FE10A4">
        <w:t>The intervention data excludes the national gambling helpline</w:t>
      </w:r>
    </w:p>
  </w:footnote>
  <w:footnote w:id="26">
    <w:p w14:paraId="0ABBE3B7" w14:textId="07056AE7" w:rsidR="006B593C" w:rsidRPr="00011146" w:rsidRDefault="006B593C">
      <w:pPr>
        <w:pStyle w:val="FootnoteText"/>
        <w:rPr>
          <w:rFonts w:cs="Calibri"/>
          <w:szCs w:val="18"/>
        </w:rPr>
      </w:pPr>
      <w:r w:rsidRPr="00011146">
        <w:rPr>
          <w:rStyle w:val="FootnoteReference"/>
          <w:rFonts w:cs="Calibri"/>
          <w:szCs w:val="18"/>
        </w:rPr>
        <w:footnoteRef/>
      </w:r>
      <w:r w:rsidRPr="00011146">
        <w:rPr>
          <w:rFonts w:cs="Calibri"/>
          <w:szCs w:val="18"/>
        </w:rPr>
        <w:t xml:space="preserve"> </w:t>
      </w:r>
      <w:r w:rsidR="00A0146D" w:rsidRPr="00011146">
        <w:rPr>
          <w:rFonts w:cs="Calibri"/>
          <w:szCs w:val="18"/>
        </w:rPr>
        <w:t xml:space="preserve">Except for </w:t>
      </w:r>
      <w:r w:rsidR="006752A2" w:rsidRPr="00011146">
        <w:rPr>
          <w:rFonts w:cs="Calibri"/>
          <w:szCs w:val="18"/>
        </w:rPr>
        <w:t>some contribution via the Point of Consumption Charge</w:t>
      </w:r>
      <w:r w:rsidR="007048A9" w:rsidRPr="00011146">
        <w:rPr>
          <w:rFonts w:cs="Calibri"/>
          <w:szCs w:val="18"/>
        </w:rPr>
        <w:t>, and the Betting Use Information Charge paid to TAB NZ</w:t>
      </w:r>
      <w:r w:rsidR="00F94E03" w:rsidRPr="00011146">
        <w:rPr>
          <w:rFonts w:cs="Calibri"/>
          <w:szCs w:val="18"/>
        </w:rPr>
        <w:t xml:space="preserve">, however these are very small </w:t>
      </w:r>
      <w:r w:rsidR="00A505AC" w:rsidRPr="00011146">
        <w:rPr>
          <w:rFonts w:cs="Calibri"/>
          <w:szCs w:val="18"/>
        </w:rPr>
        <w:t>amounts</w:t>
      </w:r>
      <w:r w:rsidR="002F2A56" w:rsidRPr="00011146">
        <w:rPr>
          <w:rFonts w:cs="Calibri"/>
          <w:szCs w:val="18"/>
        </w:rPr>
        <w:t>. This is discussed further in section 10.7 below.</w:t>
      </w:r>
    </w:p>
  </w:footnote>
  <w:footnote w:id="27">
    <w:p w14:paraId="56B3E025" w14:textId="77777777" w:rsidR="007D6C7B" w:rsidRPr="00011146" w:rsidRDefault="007D6C7B" w:rsidP="00FB3D6A">
      <w:pPr>
        <w:pStyle w:val="pf0"/>
        <w:spacing w:before="0" w:beforeAutospacing="0" w:after="0" w:afterAutospacing="0"/>
        <w:rPr>
          <w:rFonts w:ascii="Calibri" w:eastAsiaTheme="minorHAnsi" w:hAnsi="Calibri" w:cs="Calibri"/>
          <w:sz w:val="18"/>
          <w:szCs w:val="18"/>
          <w:lang w:eastAsia="en-US"/>
        </w:rPr>
      </w:pPr>
      <w:r w:rsidRPr="00011146">
        <w:rPr>
          <w:rStyle w:val="FootnoteReference"/>
          <w:rFonts w:ascii="Calibri" w:hAnsi="Calibri" w:cs="Calibri"/>
          <w:sz w:val="18"/>
          <w:szCs w:val="18"/>
        </w:rPr>
        <w:footnoteRef/>
      </w:r>
      <w:r w:rsidRPr="00011146">
        <w:rPr>
          <w:rFonts w:ascii="Calibri" w:hAnsi="Calibri" w:cs="Calibri"/>
          <w:sz w:val="18"/>
          <w:szCs w:val="18"/>
        </w:rPr>
        <w:t xml:space="preserve"> </w:t>
      </w:r>
      <w:r w:rsidRPr="00011146">
        <w:rPr>
          <w:rFonts w:ascii="Calibri" w:eastAsiaTheme="minorHAnsi" w:hAnsi="Calibri" w:cs="Calibri"/>
          <w:sz w:val="18"/>
          <w:szCs w:val="18"/>
          <w:lang w:eastAsia="en-US"/>
        </w:rPr>
        <w:t>Offshore operators are subject to paying GST under the remote service rules enacted in 2016</w:t>
      </w:r>
    </w:p>
    <w:p w14:paraId="1F5DADA5" w14:textId="20D8AF35" w:rsidR="007D6C7B" w:rsidRPr="00FB3D6A" w:rsidRDefault="00000000" w:rsidP="00FB3D6A">
      <w:pPr>
        <w:spacing w:after="0" w:line="240" w:lineRule="auto"/>
        <w:rPr>
          <w:rFonts w:ascii="Arial" w:eastAsia="Times New Roman" w:hAnsi="Arial" w:cs="Arial"/>
          <w:szCs w:val="20"/>
          <w:lang w:eastAsia="en-NZ"/>
        </w:rPr>
      </w:pPr>
      <w:hyperlink r:id="rId13" w:history="1">
        <w:r w:rsidR="007D6C7B" w:rsidRPr="00011146">
          <w:rPr>
            <w:rFonts w:eastAsia="Times New Roman" w:cs="Calibri"/>
            <w:sz w:val="18"/>
            <w:szCs w:val="18"/>
            <w:u w:val="single"/>
            <w:lang w:eastAsia="en-NZ"/>
          </w:rPr>
          <w:t>https://www.ird.govt.nz/gst/gst-for-overseas-businesses/supplying-remote-services-into-new-zealand</w:t>
        </w:r>
      </w:hyperlink>
      <w:r w:rsidR="007D6C7B" w:rsidRPr="00011146">
        <w:rPr>
          <w:rFonts w:eastAsia="Times New Roman" w:cs="Calibri"/>
          <w:sz w:val="18"/>
          <w:szCs w:val="18"/>
          <w:lang w:eastAsia="en-NZ"/>
        </w:rPr>
        <w:t xml:space="preserve">. </w:t>
      </w:r>
      <w:r w:rsidR="007D6C7B" w:rsidRPr="00011146">
        <w:rPr>
          <w:rFonts w:cs="Calibri"/>
          <w:sz w:val="18"/>
          <w:szCs w:val="18"/>
        </w:rPr>
        <w:t>See also</w:t>
      </w:r>
      <w:r w:rsidR="007D6C7B" w:rsidRPr="00011146">
        <w:rPr>
          <w:rFonts w:eastAsia="Times New Roman" w:cs="Calibri"/>
          <w:sz w:val="18"/>
          <w:szCs w:val="18"/>
          <w:lang w:eastAsia="en-NZ"/>
        </w:rPr>
        <w:t xml:space="preserve"> </w:t>
      </w:r>
      <w:hyperlink r:id="rId14" w:history="1">
        <w:r w:rsidR="007D6C7B" w:rsidRPr="00011146">
          <w:rPr>
            <w:rStyle w:val="cf01"/>
            <w:rFonts w:ascii="Calibri" w:hAnsi="Calibri" w:cs="Calibri"/>
            <w:u w:val="single"/>
          </w:rPr>
          <w:t>https://www.parliament.nz/en/pb/order-paper-questions/written-questions/document/WQ_19699_2023/19699-2023-andrew-bayly-to-the-associate-minister-of</w:t>
        </w:r>
      </w:hyperlink>
    </w:p>
  </w:footnote>
  <w:footnote w:id="28">
    <w:p w14:paraId="1292542D" w14:textId="35B821A9" w:rsidR="00A46172" w:rsidRPr="00011146" w:rsidRDefault="00A46172">
      <w:pPr>
        <w:pStyle w:val="FootnoteText"/>
        <w:rPr>
          <w:rFonts w:cs="Calibri"/>
        </w:rPr>
      </w:pPr>
      <w:r w:rsidRPr="00011146">
        <w:rPr>
          <w:rStyle w:val="FootnoteReference"/>
          <w:rFonts w:cs="Calibri"/>
        </w:rPr>
        <w:footnoteRef/>
      </w:r>
      <w:r w:rsidRPr="00011146">
        <w:rPr>
          <w:rFonts w:cs="Calibri"/>
        </w:rPr>
        <w:t xml:space="preserve"> </w:t>
      </w:r>
      <w:hyperlink r:id="rId15" w:history="1">
        <w:r w:rsidRPr="00011146">
          <w:rPr>
            <w:rStyle w:val="cf01"/>
            <w:rFonts w:ascii="Calibri" w:hAnsi="Calibri" w:cs="Calibri"/>
            <w:u w:val="single"/>
          </w:rPr>
          <w:t>https://www.nzherald.co.nz/nz/google-pulls-bet22-gambling-ad-featuring-brendon-mccullum-from-youtube/I6ACWB7YHFCZ5LTC5V4YUAITBE/</w:t>
        </w:r>
      </w:hyperlink>
      <w:r w:rsidRPr="00011146">
        <w:rPr>
          <w:rFonts w:cs="Calibri"/>
          <w:sz w:val="20"/>
        </w:rPr>
        <w:t xml:space="preserve"> </w:t>
      </w:r>
    </w:p>
  </w:footnote>
  <w:footnote w:id="29">
    <w:p w14:paraId="31A4D186" w14:textId="544897A0" w:rsidR="00377E23" w:rsidRPr="00011146" w:rsidRDefault="00377E23">
      <w:pPr>
        <w:pStyle w:val="FootnoteText"/>
        <w:rPr>
          <w:rFonts w:cs="Calibri"/>
        </w:rPr>
      </w:pPr>
      <w:r w:rsidRPr="00011146">
        <w:rPr>
          <w:rStyle w:val="FootnoteReference"/>
          <w:rFonts w:cs="Calibri"/>
        </w:rPr>
        <w:footnoteRef/>
      </w:r>
      <w:r w:rsidRPr="00011146">
        <w:rPr>
          <w:rFonts w:cs="Calibri"/>
        </w:rPr>
        <w:t xml:space="preserve"> </w:t>
      </w:r>
      <w:hyperlink r:id="rId16" w:history="1">
        <w:r w:rsidRPr="00011146">
          <w:rPr>
            <w:rStyle w:val="Hyperlink"/>
            <w:rFonts w:cs="Calibri"/>
            <w:color w:val="auto"/>
          </w:rPr>
          <w:t>https://www.dia.govt.nz/onlinegamblingconsultation</w:t>
        </w:r>
      </w:hyperlink>
      <w:r w:rsidRPr="00011146">
        <w:rPr>
          <w:rFonts w:cs="Calibri"/>
        </w:rPr>
        <w:t xml:space="preserve"> </w:t>
      </w:r>
    </w:p>
  </w:footnote>
  <w:footnote w:id="30">
    <w:p w14:paraId="07D050FA" w14:textId="7378911B" w:rsidR="001237A5" w:rsidRDefault="001237A5">
      <w:pPr>
        <w:pStyle w:val="FootnoteText"/>
      </w:pPr>
      <w:r w:rsidRPr="00011146">
        <w:rPr>
          <w:rStyle w:val="FootnoteReference"/>
          <w:rFonts w:cs="Calibri"/>
        </w:rPr>
        <w:footnoteRef/>
      </w:r>
      <w:r w:rsidRPr="00011146">
        <w:rPr>
          <w:rFonts w:cs="Calibri"/>
        </w:rPr>
        <w:t xml:space="preserve"> </w:t>
      </w:r>
      <w:hyperlink r:id="rId17" w:history="1">
        <w:r w:rsidR="0046456B" w:rsidRPr="00011146">
          <w:rPr>
            <w:rStyle w:val="Hyperlink"/>
            <w:rFonts w:cs="Calibri"/>
            <w:color w:val="auto"/>
          </w:rPr>
          <w:t>https://www.treasury.govt.nz/publications/risa/cost-recovery-impact-statement-problem-gambling-levy-2022-23-2024-25</w:t>
        </w:r>
      </w:hyperlink>
      <w:r w:rsidR="0046456B" w:rsidRPr="00640F18">
        <w:t xml:space="preserve"> </w:t>
      </w:r>
    </w:p>
  </w:footnote>
  <w:footnote w:id="31">
    <w:p w14:paraId="5C446DA2" w14:textId="737CB1BA" w:rsidR="0015521B" w:rsidRDefault="0015521B">
      <w:pPr>
        <w:pStyle w:val="FootnoteText"/>
      </w:pPr>
      <w:r>
        <w:rPr>
          <w:rStyle w:val="FootnoteReference"/>
        </w:rPr>
        <w:footnoteRef/>
      </w:r>
      <w:r>
        <w:t xml:space="preserve"> Noting again the decision by Cabinet in-principle to regulate online gambling websites</w:t>
      </w:r>
      <w:r w:rsidR="00B110A0">
        <w:t>, however the status quo reflects the law and regulation as it stands today.</w:t>
      </w:r>
    </w:p>
  </w:footnote>
  <w:footnote w:id="32">
    <w:p w14:paraId="0E30D8FB" w14:textId="51C8726C" w:rsidR="00C579C2" w:rsidRDefault="00C579C2">
      <w:pPr>
        <w:pStyle w:val="FootnoteText"/>
      </w:pPr>
      <w:r>
        <w:rPr>
          <w:rStyle w:val="FootnoteReference"/>
        </w:rPr>
        <w:footnoteRef/>
      </w:r>
      <w:r>
        <w:t xml:space="preserve"> </w:t>
      </w:r>
      <w:r w:rsidR="00DE4A91">
        <w:t xml:space="preserve">Acknowledging that the levy formula takes into account any historical over or under-recovery </w:t>
      </w:r>
      <w:r w:rsidR="00115231">
        <w:t>for each 3 year period, however this would be a significant under-recovery</w:t>
      </w:r>
      <w:r w:rsidR="00A313E3">
        <w:t xml:space="preserve"> which would require a</w:t>
      </w:r>
      <w:r w:rsidR="009F47EB">
        <w:t xml:space="preserve"> commensurate increase in the levy (if the under-recovery is to be funded purely from the levy).</w:t>
      </w:r>
    </w:p>
  </w:footnote>
  <w:footnote w:id="33">
    <w:p w14:paraId="75F4AB8F" w14:textId="01FF03BD" w:rsidR="00E470D8" w:rsidRDefault="00E470D8">
      <w:pPr>
        <w:pStyle w:val="FootnoteText"/>
      </w:pPr>
      <w:r>
        <w:rPr>
          <w:rStyle w:val="FootnoteReference"/>
        </w:rPr>
        <w:footnoteRef/>
      </w:r>
      <w:r>
        <w:t xml:space="preserve"> </w:t>
      </w:r>
      <w:r w:rsidR="005C581F">
        <w:t>Since the latest participation data available is from the 2020 HLS, we base our analysis on expenditure and presentations from this period to maintain consistency.</w:t>
      </w:r>
    </w:p>
  </w:footnote>
  <w:footnote w:id="34">
    <w:p w14:paraId="01C04849" w14:textId="04694841" w:rsidR="008B2A94" w:rsidRDefault="008B2A94">
      <w:pPr>
        <w:pStyle w:val="FootnoteText"/>
      </w:pPr>
      <w:r w:rsidRPr="00D946C4">
        <w:rPr>
          <w:rStyle w:val="FootnoteReference"/>
        </w:rPr>
        <w:footnoteRef/>
      </w:r>
      <w:r>
        <w:t xml:space="preserve"> The HLS includes pokies at pubs</w:t>
      </w:r>
      <w:r w:rsidR="001D4E1E">
        <w:t>, clubs and casinos as a single participation</w:t>
      </w:r>
      <w:r w:rsidR="00293D2C">
        <w:t xml:space="preserve"> category</w:t>
      </w:r>
      <w:r w:rsidR="001D4E1E">
        <w:t>, therefore we combin</w:t>
      </w:r>
      <w:r w:rsidR="000E45E0">
        <w:t>e EGM and Casino expenditure and intervention services data</w:t>
      </w:r>
      <w:r w:rsidR="001A0645">
        <w:t xml:space="preserve"> </w:t>
      </w:r>
      <w:r w:rsidR="005C581F">
        <w:t>to maintain c</w:t>
      </w:r>
      <w:r w:rsidR="001A0645">
        <w:t>onsistency</w:t>
      </w:r>
      <w:r w:rsidR="000E45E0">
        <w:t>.</w:t>
      </w:r>
    </w:p>
  </w:footnote>
  <w:footnote w:id="35">
    <w:p w14:paraId="1D272AA3" w14:textId="19B13A52" w:rsidR="009D292B" w:rsidRDefault="009D292B">
      <w:pPr>
        <w:pStyle w:val="FootnoteText"/>
      </w:pPr>
      <w:r>
        <w:rPr>
          <w:rStyle w:val="FootnoteReference"/>
        </w:rPr>
        <w:footnoteRef/>
      </w:r>
      <w:r>
        <w:t xml:space="preserve"> Gambling expenditure refers to the money “lost” by players</w:t>
      </w:r>
      <w:r w:rsidR="0027728E">
        <w:t xml:space="preserve">, e.g. the total amount gambled minus the total prizes/winnings </w:t>
      </w:r>
      <w:r w:rsidR="00997228">
        <w:t>paid</w:t>
      </w:r>
      <w:r w:rsidR="0027728E">
        <w:t xml:space="preserve">. This is equal to the operating profit </w:t>
      </w:r>
      <w:r w:rsidR="00997228">
        <w:t>of each gambling provider.</w:t>
      </w:r>
    </w:p>
  </w:footnote>
  <w:footnote w:id="36">
    <w:p w14:paraId="3849A83D" w14:textId="4CAA3FC4" w:rsidR="0099235A" w:rsidRDefault="0099235A">
      <w:pPr>
        <w:pStyle w:val="FootnoteText"/>
      </w:pPr>
      <w:r>
        <w:rPr>
          <w:rStyle w:val="FootnoteReference"/>
        </w:rPr>
        <w:footnoteRef/>
      </w:r>
      <w:r>
        <w:t xml:space="preserve"> Note that offshore </w:t>
      </w:r>
      <w:r w:rsidR="00AC42A8">
        <w:t>gambling expenditure is derived from Regulus’ estimates which has an element of uncertainty</w:t>
      </w:r>
      <w:r w:rsidR="00482802">
        <w:t xml:space="preserve"> contrary to the actual expenditure data for the regulated sectors.</w:t>
      </w:r>
    </w:p>
  </w:footnote>
  <w:footnote w:id="37">
    <w:p w14:paraId="42EB8E51" w14:textId="55BE8806" w:rsidR="00CE3478" w:rsidRDefault="00CE3478" w:rsidP="00CE3478">
      <w:pPr>
        <w:pStyle w:val="FootnoteText"/>
      </w:pPr>
      <w:r>
        <w:rPr>
          <w:rStyle w:val="FootnoteReference"/>
        </w:rPr>
        <w:footnoteRef/>
      </w:r>
      <w:r>
        <w:t xml:space="preserve"> As noted above, a total of 77 gambling stakeholders were interviewed representing </w:t>
      </w:r>
      <w:r w:rsidR="00446432">
        <w:t>government agencies and research institutions</w:t>
      </w:r>
      <w:r>
        <w:t xml:space="preserve">, </w:t>
      </w:r>
      <w:r w:rsidR="00446432">
        <w:t xml:space="preserve">gambling </w:t>
      </w:r>
      <w:r>
        <w:t>industry,</w:t>
      </w:r>
      <w:r w:rsidR="00446432">
        <w:t xml:space="preserve"> service providers,</w:t>
      </w:r>
      <w:r>
        <w:t xml:space="preserve"> consumer</w:t>
      </w:r>
      <w:r w:rsidR="00446432">
        <w:t>s</w:t>
      </w:r>
      <w:r>
        <w:t xml:space="preserve"> and </w:t>
      </w:r>
      <w:r w:rsidR="00446432">
        <w:t xml:space="preserve">those with </w:t>
      </w:r>
      <w:r>
        <w:t>lived experience</w:t>
      </w:r>
      <w:r w:rsidR="00446432">
        <w:t xml:space="preserve">. </w:t>
      </w:r>
    </w:p>
  </w:footnote>
  <w:footnote w:id="38">
    <w:p w14:paraId="61BF882C" w14:textId="607C5506" w:rsidR="00CE3478" w:rsidRPr="00C75F88" w:rsidRDefault="00CE3478" w:rsidP="00CE3478">
      <w:pPr>
        <w:pStyle w:val="FootnoteText"/>
        <w:rPr>
          <w:rFonts w:cs="Calibri"/>
        </w:rPr>
      </w:pPr>
      <w:r w:rsidRPr="00C75F88">
        <w:rPr>
          <w:rStyle w:val="FootnoteReference"/>
          <w:rFonts w:cs="Calibri"/>
        </w:rPr>
        <w:footnoteRef/>
      </w:r>
      <w:r w:rsidRPr="00C75F88">
        <w:rPr>
          <w:rFonts w:cs="Calibri"/>
        </w:rPr>
        <w:t xml:space="preserve"> As above, at the time of writing this Needs Assessment, the government passed a bill to disestablish The Māori Health Authority - Te Aka Whai Ora which would result in their functions being distributed between Health New Zealand and the Ministry.</w:t>
      </w:r>
      <w:r>
        <w:rPr>
          <w:rFonts w:cs="Calibri"/>
        </w:rPr>
        <w:t xml:space="preserve"> </w:t>
      </w:r>
    </w:p>
  </w:footnote>
  <w:footnote w:id="39">
    <w:p w14:paraId="0BD7FC85" w14:textId="77777777" w:rsidR="00CE3478" w:rsidRPr="00C75F88" w:rsidRDefault="00CE3478" w:rsidP="00CE3478">
      <w:pPr>
        <w:pStyle w:val="FootnoteText"/>
      </w:pPr>
      <w:r w:rsidRPr="00C75F88">
        <w:rPr>
          <w:rStyle w:val="FootnoteReference"/>
        </w:rPr>
        <w:footnoteRef/>
      </w:r>
      <w:r w:rsidRPr="00C75F88">
        <w:t xml:space="preserve"> </w:t>
      </w:r>
      <w:hyperlink r:id="rId18" w:history="1">
        <w:r w:rsidRPr="00C75F88">
          <w:rPr>
            <w:rStyle w:val="Hyperlink"/>
            <w:color w:val="auto"/>
          </w:rPr>
          <w:t>https://tuturu.org.nz/</w:t>
        </w:r>
      </w:hyperlink>
      <w:r w:rsidRPr="00C75F8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38C0E" w14:textId="5EA8AA9B" w:rsidR="007C3921" w:rsidRDefault="005B0DFA">
    <w:pPr>
      <w:pStyle w:val="Header"/>
    </w:pPr>
    <w:r w:rsidRPr="00671F44">
      <w:rPr>
        <w:noProof/>
        <w:lang w:eastAsia="en-NZ"/>
      </w:rPr>
      <w:drawing>
        <wp:anchor distT="0" distB="0" distL="114300" distR="114300" simplePos="0" relativeHeight="251658242" behindDoc="0" locked="0" layoutInCell="1" allowOverlap="1" wp14:anchorId="5B3A2B68" wp14:editId="2E974BC8">
          <wp:simplePos x="0" y="0"/>
          <wp:positionH relativeFrom="page">
            <wp:posOffset>4975712</wp:posOffset>
          </wp:positionH>
          <wp:positionV relativeFrom="topMargin">
            <wp:posOffset>110623</wp:posOffset>
          </wp:positionV>
          <wp:extent cx="2885639" cy="967563"/>
          <wp:effectExtent l="0" t="0" r="0" b="4445"/>
          <wp:wrapNone/>
          <wp:docPr id="1016939801" name="Picture 1016939801" descr="A brown letter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44139" name="Picture 1435944139" descr="A brown letter on a white backgroun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2885639" cy="967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5326FC" wp14:editId="421BF2FF">
          <wp:extent cx="2337597" cy="786810"/>
          <wp:effectExtent l="0" t="0" r="5715" b="0"/>
          <wp:docPr id="1077953894" name="Picture 1077953894"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77671" name="Picture 727677671" descr="A close-up of 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7118" cy="80684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0D336" w14:textId="2F339348" w:rsidR="000B46A6" w:rsidRPr="0097741D" w:rsidRDefault="00F67F38" w:rsidP="00476995">
    <w:pPr>
      <w:pStyle w:val="Header"/>
    </w:pPr>
    <w:r w:rsidRPr="00671F44">
      <w:rPr>
        <w:noProof/>
        <w:lang w:eastAsia="en-NZ"/>
      </w:rPr>
      <w:drawing>
        <wp:anchor distT="0" distB="0" distL="114300" distR="114300" simplePos="0" relativeHeight="251658240" behindDoc="0" locked="0" layoutInCell="1" allowOverlap="1" wp14:anchorId="2EEBB096" wp14:editId="7FD4ABA2">
          <wp:simplePos x="0" y="0"/>
          <wp:positionH relativeFrom="page">
            <wp:posOffset>4067573</wp:posOffset>
          </wp:positionH>
          <wp:positionV relativeFrom="page">
            <wp:posOffset>-275590</wp:posOffset>
          </wp:positionV>
          <wp:extent cx="4978522" cy="1669312"/>
          <wp:effectExtent l="0" t="0" r="0" b="7620"/>
          <wp:wrapNone/>
          <wp:docPr id="339243393" name="Picture 339243393" descr="A close 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59443" name="Picture 1352059443" descr="A close up of a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4978522" cy="16693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7D0E14D1" wp14:editId="2A2A0D9E">
          <wp:simplePos x="0" y="0"/>
          <wp:positionH relativeFrom="column">
            <wp:posOffset>-510909</wp:posOffset>
          </wp:positionH>
          <wp:positionV relativeFrom="paragraph">
            <wp:posOffset>-109648</wp:posOffset>
          </wp:positionV>
          <wp:extent cx="3274695" cy="1101725"/>
          <wp:effectExtent l="0" t="0" r="1905" b="3175"/>
          <wp:wrapThrough wrapText="bothSides">
            <wp:wrapPolygon edited="0">
              <wp:start x="0" y="0"/>
              <wp:lineTo x="0" y="21289"/>
              <wp:lineTo x="21487" y="21289"/>
              <wp:lineTo x="21487" y="0"/>
              <wp:lineTo x="0" y="0"/>
            </wp:wrapPolygon>
          </wp:wrapThrough>
          <wp:docPr id="1341694565" name="Picture 1341694565" descr="A close 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8467" name="Picture 1182848467" descr="A close up of 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74695" cy="11017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2FCA3C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95DB1"/>
    <w:multiLevelType w:val="hybridMultilevel"/>
    <w:tmpl w:val="98009DAC"/>
    <w:lvl w:ilvl="0" w:tplc="0C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630210"/>
    <w:multiLevelType w:val="multilevel"/>
    <w:tmpl w:val="1409001D"/>
    <w:styleLink w:val="Cap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E9161D"/>
    <w:multiLevelType w:val="hybridMultilevel"/>
    <w:tmpl w:val="0C44D4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FF2497"/>
    <w:multiLevelType w:val="hybridMultilevel"/>
    <w:tmpl w:val="FB4A0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8160DF"/>
    <w:multiLevelType w:val="hybridMultilevel"/>
    <w:tmpl w:val="88907B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30AF4"/>
    <w:multiLevelType w:val="hybridMultilevel"/>
    <w:tmpl w:val="B47C86C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05C3ABC"/>
    <w:multiLevelType w:val="hybridMultilevel"/>
    <w:tmpl w:val="DD7EDD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E6917"/>
    <w:multiLevelType w:val="hybridMultilevel"/>
    <w:tmpl w:val="D4C419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5115C4F"/>
    <w:multiLevelType w:val="hybridMultilevel"/>
    <w:tmpl w:val="0E8C790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 w15:restartNumberingAfterBreak="0">
    <w:nsid w:val="167A6E58"/>
    <w:multiLevelType w:val="hybridMultilevel"/>
    <w:tmpl w:val="CEAC3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65848"/>
    <w:multiLevelType w:val="hybridMultilevel"/>
    <w:tmpl w:val="236C61F4"/>
    <w:lvl w:ilvl="0" w:tplc="63A04F1A">
      <w:start w:val="1"/>
      <w:numFmt w:val="bullet"/>
      <w:lvlText w:val=""/>
      <w:lvlJc w:val="left"/>
      <w:pPr>
        <w:ind w:left="720" w:hanging="360"/>
      </w:pPr>
      <w:rPr>
        <w:rFonts w:ascii="Symbol" w:hAnsi="Symbol" w:hint="default"/>
        <w:color w:val="7B5E0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E1572C"/>
    <w:multiLevelType w:val="hybridMultilevel"/>
    <w:tmpl w:val="678A93BC"/>
    <w:lvl w:ilvl="0" w:tplc="8F4A87AA">
      <w:start w:val="1"/>
      <w:numFmt w:val="bullet"/>
      <w:pStyle w:val="Bulletpointindented"/>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26C34AB8"/>
    <w:multiLevelType w:val="hybridMultilevel"/>
    <w:tmpl w:val="171E232C"/>
    <w:lvl w:ilvl="0" w:tplc="DAA2154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CD4D31"/>
    <w:multiLevelType w:val="hybridMultilevel"/>
    <w:tmpl w:val="ACEC59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54776E"/>
    <w:multiLevelType w:val="hybridMultilevel"/>
    <w:tmpl w:val="7A360A48"/>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6" w15:restartNumberingAfterBreak="0">
    <w:nsid w:val="2EFC3D7B"/>
    <w:multiLevelType w:val="hybridMultilevel"/>
    <w:tmpl w:val="97A4E5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65EB9"/>
    <w:multiLevelType w:val="hybridMultilevel"/>
    <w:tmpl w:val="43BE1C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022565D"/>
    <w:multiLevelType w:val="hybridMultilevel"/>
    <w:tmpl w:val="F56E02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6C56944"/>
    <w:multiLevelType w:val="multilevel"/>
    <w:tmpl w:val="A39645E6"/>
    <w:lvl w:ilvl="0">
      <w:start w:val="1"/>
      <w:numFmt w:val="decimal"/>
      <w:pStyle w:val="ListNumber"/>
      <w:lvlText w:val="%1."/>
      <w:lvlJc w:val="left"/>
      <w:pPr>
        <w:ind w:left="720" w:hanging="363"/>
      </w:pPr>
      <w:rPr>
        <w:rFonts w:hint="default"/>
      </w:rPr>
    </w:lvl>
    <w:lvl w:ilvl="1">
      <w:start w:val="1"/>
      <w:numFmt w:val="lowerLetter"/>
      <w:pStyle w:val="ListNumber2"/>
      <w:lvlText w:val="%2)"/>
      <w:lvlJc w:val="left"/>
      <w:pPr>
        <w:ind w:left="1077" w:hanging="357"/>
      </w:pPr>
      <w:rPr>
        <w:rFonts w:hint="default"/>
      </w:rPr>
    </w:lvl>
    <w:lvl w:ilvl="2">
      <w:start w:val="1"/>
      <w:numFmt w:val="lowerRoman"/>
      <w:pStyle w:val="ListNumber3"/>
      <w:lvlText w:val="%3."/>
      <w:lvlJc w:val="left"/>
      <w:pPr>
        <w:ind w:left="1440" w:hanging="363"/>
      </w:pPr>
      <w:rPr>
        <w:rFonts w:hint="default"/>
      </w:rPr>
    </w:lvl>
    <w:lvl w:ilvl="3">
      <w:start w:val="1"/>
      <w:numFmt w:val="bullet"/>
      <w:pStyle w:val="ListNumber4"/>
      <w:lvlText w:val=""/>
      <w:lvlJc w:val="left"/>
      <w:pPr>
        <w:ind w:left="1797" w:hanging="357"/>
      </w:pPr>
      <w:rPr>
        <w:rFonts w:ascii="Wingdings" w:hAnsi="Wingdings" w:hint="default"/>
        <w:color w:val="7B5E05" w:themeColor="accent1"/>
      </w:rPr>
    </w:lvl>
    <w:lvl w:ilvl="4">
      <w:start w:val="1"/>
      <w:numFmt w:val="bullet"/>
      <w:pStyle w:val="ListNumber5"/>
      <w:lvlText w:val="­"/>
      <w:lvlJc w:val="left"/>
      <w:pPr>
        <w:ind w:left="1800" w:hanging="337"/>
      </w:pPr>
      <w:rPr>
        <w:rFonts w:ascii="Century Gothic" w:hAnsi="Century Gothic" w:hint="default"/>
        <w:color w:val="7B5E05"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1C15B60"/>
    <w:multiLevelType w:val="hybridMultilevel"/>
    <w:tmpl w:val="985A3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28370C2"/>
    <w:multiLevelType w:val="multilevel"/>
    <w:tmpl w:val="AA945AE8"/>
    <w:lvl w:ilvl="0">
      <w:start w:val="1"/>
      <w:numFmt w:val="decimal"/>
      <w:pStyle w:val="NumberedParagraphs"/>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48A3658"/>
    <w:multiLevelType w:val="hybridMultilevel"/>
    <w:tmpl w:val="101433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13D78"/>
    <w:multiLevelType w:val="multilevel"/>
    <w:tmpl w:val="BC049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119AC"/>
    <w:multiLevelType w:val="multilevel"/>
    <w:tmpl w:val="AC2EF1D0"/>
    <w:lvl w:ilvl="0">
      <w:start w:val="1"/>
      <w:numFmt w:val="decimal"/>
      <w:pStyle w:val="Heading5"/>
      <w:lvlText w:val="%1."/>
      <w:lvlJc w:val="left"/>
      <w:pPr>
        <w:ind w:left="567" w:hanging="567"/>
      </w:pPr>
      <w:rPr>
        <w:rFonts w:hint="default"/>
      </w:rPr>
    </w:lvl>
    <w:lvl w:ilvl="1">
      <w:start w:val="1"/>
      <w:numFmt w:val="decimal"/>
      <w:pStyle w:val="Heading6"/>
      <w:lvlText w:val="%1.%2"/>
      <w:lvlJc w:val="left"/>
      <w:pPr>
        <w:ind w:left="737" w:hanging="737"/>
      </w:pPr>
      <w:rPr>
        <w:rFonts w:hint="default"/>
      </w:rPr>
    </w:lvl>
    <w:lvl w:ilvl="2">
      <w:start w:val="1"/>
      <w:numFmt w:val="decimal"/>
      <w:pStyle w:val="Heading7"/>
      <w:lvlText w:val="%1.%2.%3"/>
      <w:lvlJc w:val="left"/>
      <w:pPr>
        <w:ind w:left="907" w:hanging="907"/>
      </w:pPr>
      <w:rPr>
        <w:rFonts w:hint="default"/>
      </w:rPr>
    </w:lvl>
    <w:lvl w:ilvl="3">
      <w:start w:val="1"/>
      <w:numFmt w:val="decimal"/>
      <w:pStyle w:val="Heading8"/>
      <w:lvlText w:val="%1.%2.%3.%4"/>
      <w:lvlJc w:val="left"/>
      <w:pPr>
        <w:ind w:left="1077" w:hanging="107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pStyle w:val="Heading9"/>
      <w:lvlText w:val="Appendix %9"/>
      <w:lvlJc w:val="left"/>
      <w:pPr>
        <w:ind w:left="2268" w:hanging="2268"/>
      </w:pPr>
      <w:rPr>
        <w:rFonts w:hint="default"/>
        <w:color w:val="7B5E05" w:themeColor="accent1"/>
      </w:rPr>
    </w:lvl>
  </w:abstractNum>
  <w:abstractNum w:abstractNumId="25" w15:restartNumberingAfterBreak="0">
    <w:nsid w:val="48B8760A"/>
    <w:multiLevelType w:val="hybridMultilevel"/>
    <w:tmpl w:val="42704B26"/>
    <w:lvl w:ilvl="0" w:tplc="85709FDA">
      <w:start w:val="1"/>
      <w:numFmt w:val="decimal"/>
      <w:lvlText w:val="%1."/>
      <w:lvlJc w:val="left"/>
      <w:pPr>
        <w:ind w:left="1020" w:hanging="360"/>
      </w:pPr>
    </w:lvl>
    <w:lvl w:ilvl="1" w:tplc="E8D4CED2">
      <w:start w:val="1"/>
      <w:numFmt w:val="decimal"/>
      <w:lvlText w:val="%2."/>
      <w:lvlJc w:val="left"/>
      <w:pPr>
        <w:ind w:left="1020" w:hanging="360"/>
      </w:pPr>
    </w:lvl>
    <w:lvl w:ilvl="2" w:tplc="F0E064C0">
      <w:start w:val="1"/>
      <w:numFmt w:val="decimal"/>
      <w:lvlText w:val="%3."/>
      <w:lvlJc w:val="left"/>
      <w:pPr>
        <w:ind w:left="1020" w:hanging="360"/>
      </w:pPr>
    </w:lvl>
    <w:lvl w:ilvl="3" w:tplc="9B50D248">
      <w:start w:val="1"/>
      <w:numFmt w:val="decimal"/>
      <w:lvlText w:val="%4."/>
      <w:lvlJc w:val="left"/>
      <w:pPr>
        <w:ind w:left="1020" w:hanging="360"/>
      </w:pPr>
    </w:lvl>
    <w:lvl w:ilvl="4" w:tplc="90F801EA">
      <w:start w:val="1"/>
      <w:numFmt w:val="decimal"/>
      <w:lvlText w:val="%5."/>
      <w:lvlJc w:val="left"/>
      <w:pPr>
        <w:ind w:left="1020" w:hanging="360"/>
      </w:pPr>
    </w:lvl>
    <w:lvl w:ilvl="5" w:tplc="A73E9F2E">
      <w:start w:val="1"/>
      <w:numFmt w:val="decimal"/>
      <w:lvlText w:val="%6."/>
      <w:lvlJc w:val="left"/>
      <w:pPr>
        <w:ind w:left="1020" w:hanging="360"/>
      </w:pPr>
    </w:lvl>
    <w:lvl w:ilvl="6" w:tplc="2208ED4A">
      <w:start w:val="1"/>
      <w:numFmt w:val="decimal"/>
      <w:lvlText w:val="%7."/>
      <w:lvlJc w:val="left"/>
      <w:pPr>
        <w:ind w:left="1020" w:hanging="360"/>
      </w:pPr>
    </w:lvl>
    <w:lvl w:ilvl="7" w:tplc="F7668740">
      <w:start w:val="1"/>
      <w:numFmt w:val="decimal"/>
      <w:lvlText w:val="%8."/>
      <w:lvlJc w:val="left"/>
      <w:pPr>
        <w:ind w:left="1020" w:hanging="360"/>
      </w:pPr>
    </w:lvl>
    <w:lvl w:ilvl="8" w:tplc="3C4A5200">
      <w:start w:val="1"/>
      <w:numFmt w:val="decimal"/>
      <w:lvlText w:val="%9."/>
      <w:lvlJc w:val="left"/>
      <w:pPr>
        <w:ind w:left="1020" w:hanging="360"/>
      </w:pPr>
    </w:lvl>
  </w:abstractNum>
  <w:abstractNum w:abstractNumId="26" w15:restartNumberingAfterBreak="0">
    <w:nsid w:val="4A026264"/>
    <w:multiLevelType w:val="hybridMultilevel"/>
    <w:tmpl w:val="D426772E"/>
    <w:lvl w:ilvl="0" w:tplc="B6600D0E">
      <w:start w:val="1"/>
      <w:numFmt w:val="decimal"/>
      <w:lvlText w:val="%1."/>
      <w:lvlJc w:val="left"/>
      <w:pPr>
        <w:ind w:left="1440" w:hanging="360"/>
      </w:pPr>
    </w:lvl>
    <w:lvl w:ilvl="1" w:tplc="54DA9500">
      <w:start w:val="1"/>
      <w:numFmt w:val="decimal"/>
      <w:lvlText w:val="%2."/>
      <w:lvlJc w:val="left"/>
      <w:pPr>
        <w:ind w:left="1440" w:hanging="360"/>
      </w:pPr>
    </w:lvl>
    <w:lvl w:ilvl="2" w:tplc="8E8AC236">
      <w:start w:val="1"/>
      <w:numFmt w:val="decimal"/>
      <w:lvlText w:val="%3."/>
      <w:lvlJc w:val="left"/>
      <w:pPr>
        <w:ind w:left="1440" w:hanging="360"/>
      </w:pPr>
    </w:lvl>
    <w:lvl w:ilvl="3" w:tplc="376800D8">
      <w:start w:val="1"/>
      <w:numFmt w:val="decimal"/>
      <w:lvlText w:val="%4."/>
      <w:lvlJc w:val="left"/>
      <w:pPr>
        <w:ind w:left="1440" w:hanging="360"/>
      </w:pPr>
    </w:lvl>
    <w:lvl w:ilvl="4" w:tplc="AFCC9BBC">
      <w:start w:val="1"/>
      <w:numFmt w:val="decimal"/>
      <w:lvlText w:val="%5."/>
      <w:lvlJc w:val="left"/>
      <w:pPr>
        <w:ind w:left="1440" w:hanging="360"/>
      </w:pPr>
    </w:lvl>
    <w:lvl w:ilvl="5" w:tplc="E68882DE">
      <w:start w:val="1"/>
      <w:numFmt w:val="decimal"/>
      <w:lvlText w:val="%6."/>
      <w:lvlJc w:val="left"/>
      <w:pPr>
        <w:ind w:left="1440" w:hanging="360"/>
      </w:pPr>
    </w:lvl>
    <w:lvl w:ilvl="6" w:tplc="1610CC22">
      <w:start w:val="1"/>
      <w:numFmt w:val="decimal"/>
      <w:lvlText w:val="%7."/>
      <w:lvlJc w:val="left"/>
      <w:pPr>
        <w:ind w:left="1440" w:hanging="360"/>
      </w:pPr>
    </w:lvl>
    <w:lvl w:ilvl="7" w:tplc="DC6802CC">
      <w:start w:val="1"/>
      <w:numFmt w:val="decimal"/>
      <w:lvlText w:val="%8."/>
      <w:lvlJc w:val="left"/>
      <w:pPr>
        <w:ind w:left="1440" w:hanging="360"/>
      </w:pPr>
    </w:lvl>
    <w:lvl w:ilvl="8" w:tplc="99FCD274">
      <w:start w:val="1"/>
      <w:numFmt w:val="decimal"/>
      <w:lvlText w:val="%9."/>
      <w:lvlJc w:val="left"/>
      <w:pPr>
        <w:ind w:left="1440" w:hanging="360"/>
      </w:pPr>
    </w:lvl>
  </w:abstractNum>
  <w:abstractNum w:abstractNumId="27" w15:restartNumberingAfterBreak="0">
    <w:nsid w:val="4B750733"/>
    <w:multiLevelType w:val="hybridMultilevel"/>
    <w:tmpl w:val="C6CCF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EE457BC"/>
    <w:multiLevelType w:val="hybridMultilevel"/>
    <w:tmpl w:val="FAA8CC76"/>
    <w:lvl w:ilvl="0" w:tplc="6B249C5A">
      <w:start w:val="1"/>
      <w:numFmt w:val="bullet"/>
      <w:lvlText w:val=""/>
      <w:lvlJc w:val="left"/>
      <w:pPr>
        <w:ind w:left="1440" w:hanging="360"/>
      </w:pPr>
      <w:rPr>
        <w:rFonts w:ascii="Symbol" w:hAnsi="Symbol"/>
      </w:rPr>
    </w:lvl>
    <w:lvl w:ilvl="1" w:tplc="9D86CC78">
      <w:start w:val="1"/>
      <w:numFmt w:val="bullet"/>
      <w:lvlText w:val=""/>
      <w:lvlJc w:val="left"/>
      <w:pPr>
        <w:ind w:left="1440" w:hanging="360"/>
      </w:pPr>
      <w:rPr>
        <w:rFonts w:ascii="Symbol" w:hAnsi="Symbol"/>
      </w:rPr>
    </w:lvl>
    <w:lvl w:ilvl="2" w:tplc="91505662">
      <w:start w:val="1"/>
      <w:numFmt w:val="bullet"/>
      <w:lvlText w:val=""/>
      <w:lvlJc w:val="left"/>
      <w:pPr>
        <w:ind w:left="1440" w:hanging="360"/>
      </w:pPr>
      <w:rPr>
        <w:rFonts w:ascii="Symbol" w:hAnsi="Symbol"/>
      </w:rPr>
    </w:lvl>
    <w:lvl w:ilvl="3" w:tplc="80D4D1F0">
      <w:start w:val="1"/>
      <w:numFmt w:val="bullet"/>
      <w:lvlText w:val=""/>
      <w:lvlJc w:val="left"/>
      <w:pPr>
        <w:ind w:left="1440" w:hanging="360"/>
      </w:pPr>
      <w:rPr>
        <w:rFonts w:ascii="Symbol" w:hAnsi="Symbol"/>
      </w:rPr>
    </w:lvl>
    <w:lvl w:ilvl="4" w:tplc="7DAED9E6">
      <w:start w:val="1"/>
      <w:numFmt w:val="bullet"/>
      <w:lvlText w:val=""/>
      <w:lvlJc w:val="left"/>
      <w:pPr>
        <w:ind w:left="1440" w:hanging="360"/>
      </w:pPr>
      <w:rPr>
        <w:rFonts w:ascii="Symbol" w:hAnsi="Symbol"/>
      </w:rPr>
    </w:lvl>
    <w:lvl w:ilvl="5" w:tplc="C49E81CE">
      <w:start w:val="1"/>
      <w:numFmt w:val="bullet"/>
      <w:lvlText w:val=""/>
      <w:lvlJc w:val="left"/>
      <w:pPr>
        <w:ind w:left="1440" w:hanging="360"/>
      </w:pPr>
      <w:rPr>
        <w:rFonts w:ascii="Symbol" w:hAnsi="Symbol"/>
      </w:rPr>
    </w:lvl>
    <w:lvl w:ilvl="6" w:tplc="234A2178">
      <w:start w:val="1"/>
      <w:numFmt w:val="bullet"/>
      <w:lvlText w:val=""/>
      <w:lvlJc w:val="left"/>
      <w:pPr>
        <w:ind w:left="1440" w:hanging="360"/>
      </w:pPr>
      <w:rPr>
        <w:rFonts w:ascii="Symbol" w:hAnsi="Symbol"/>
      </w:rPr>
    </w:lvl>
    <w:lvl w:ilvl="7" w:tplc="7880600A">
      <w:start w:val="1"/>
      <w:numFmt w:val="bullet"/>
      <w:lvlText w:val=""/>
      <w:lvlJc w:val="left"/>
      <w:pPr>
        <w:ind w:left="1440" w:hanging="360"/>
      </w:pPr>
      <w:rPr>
        <w:rFonts w:ascii="Symbol" w:hAnsi="Symbol"/>
      </w:rPr>
    </w:lvl>
    <w:lvl w:ilvl="8" w:tplc="D10A2D9C">
      <w:start w:val="1"/>
      <w:numFmt w:val="bullet"/>
      <w:lvlText w:val=""/>
      <w:lvlJc w:val="left"/>
      <w:pPr>
        <w:ind w:left="1440" w:hanging="360"/>
      </w:pPr>
      <w:rPr>
        <w:rFonts w:ascii="Symbol" w:hAnsi="Symbol"/>
      </w:rPr>
    </w:lvl>
  </w:abstractNum>
  <w:abstractNum w:abstractNumId="29" w15:restartNumberingAfterBreak="0">
    <w:nsid w:val="58F60DD9"/>
    <w:multiLevelType w:val="hybridMultilevel"/>
    <w:tmpl w:val="BA70000C"/>
    <w:lvl w:ilvl="0" w:tplc="02DE3AD6">
      <w:start w:val="1"/>
      <w:numFmt w:val="decimal"/>
      <w:lvlText w:val="%1."/>
      <w:lvlJc w:val="left"/>
      <w:pPr>
        <w:ind w:left="1020" w:hanging="360"/>
      </w:pPr>
    </w:lvl>
    <w:lvl w:ilvl="1" w:tplc="B7C0CD68">
      <w:start w:val="1"/>
      <w:numFmt w:val="decimal"/>
      <w:lvlText w:val="%2."/>
      <w:lvlJc w:val="left"/>
      <w:pPr>
        <w:ind w:left="1020" w:hanging="360"/>
      </w:pPr>
    </w:lvl>
    <w:lvl w:ilvl="2" w:tplc="AE6E4CAA">
      <w:start w:val="1"/>
      <w:numFmt w:val="decimal"/>
      <w:lvlText w:val="%3."/>
      <w:lvlJc w:val="left"/>
      <w:pPr>
        <w:ind w:left="1020" w:hanging="360"/>
      </w:pPr>
    </w:lvl>
    <w:lvl w:ilvl="3" w:tplc="7DF47A18">
      <w:start w:val="1"/>
      <w:numFmt w:val="decimal"/>
      <w:lvlText w:val="%4."/>
      <w:lvlJc w:val="left"/>
      <w:pPr>
        <w:ind w:left="1020" w:hanging="360"/>
      </w:pPr>
    </w:lvl>
    <w:lvl w:ilvl="4" w:tplc="75D62AE0">
      <w:start w:val="1"/>
      <w:numFmt w:val="decimal"/>
      <w:lvlText w:val="%5."/>
      <w:lvlJc w:val="left"/>
      <w:pPr>
        <w:ind w:left="1020" w:hanging="360"/>
      </w:pPr>
    </w:lvl>
    <w:lvl w:ilvl="5" w:tplc="5FE6575C">
      <w:start w:val="1"/>
      <w:numFmt w:val="decimal"/>
      <w:lvlText w:val="%6."/>
      <w:lvlJc w:val="left"/>
      <w:pPr>
        <w:ind w:left="1020" w:hanging="360"/>
      </w:pPr>
    </w:lvl>
    <w:lvl w:ilvl="6" w:tplc="C35415DA">
      <w:start w:val="1"/>
      <w:numFmt w:val="decimal"/>
      <w:lvlText w:val="%7."/>
      <w:lvlJc w:val="left"/>
      <w:pPr>
        <w:ind w:left="1020" w:hanging="360"/>
      </w:pPr>
    </w:lvl>
    <w:lvl w:ilvl="7" w:tplc="B5A876E6">
      <w:start w:val="1"/>
      <w:numFmt w:val="decimal"/>
      <w:lvlText w:val="%8."/>
      <w:lvlJc w:val="left"/>
      <w:pPr>
        <w:ind w:left="1020" w:hanging="360"/>
      </w:pPr>
    </w:lvl>
    <w:lvl w:ilvl="8" w:tplc="EFFACF72">
      <w:start w:val="1"/>
      <w:numFmt w:val="decimal"/>
      <w:lvlText w:val="%9."/>
      <w:lvlJc w:val="left"/>
      <w:pPr>
        <w:ind w:left="1020" w:hanging="360"/>
      </w:pPr>
    </w:lvl>
  </w:abstractNum>
  <w:abstractNum w:abstractNumId="30" w15:restartNumberingAfterBreak="0">
    <w:nsid w:val="599C0379"/>
    <w:multiLevelType w:val="hybridMultilevel"/>
    <w:tmpl w:val="C202555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1" w15:restartNumberingAfterBreak="0">
    <w:nsid w:val="5E3276CD"/>
    <w:multiLevelType w:val="hybridMultilevel"/>
    <w:tmpl w:val="D3505A9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2" w15:restartNumberingAfterBreak="0">
    <w:nsid w:val="5FD40A31"/>
    <w:multiLevelType w:val="hybridMultilevel"/>
    <w:tmpl w:val="934AFDF0"/>
    <w:lvl w:ilvl="0" w:tplc="B7C8F5FE">
      <w:start w:val="1"/>
      <w:numFmt w:val="bullet"/>
      <w:pStyle w:val="Bullet"/>
      <w:lvlText w:val=""/>
      <w:lvlJc w:val="left"/>
      <w:pPr>
        <w:ind w:left="927" w:hanging="360"/>
      </w:pPr>
      <w:rPr>
        <w:rFonts w:ascii="Symbol" w:hAnsi="Symbol" w:hint="default"/>
        <w:sz w:val="20"/>
      </w:rPr>
    </w:lvl>
    <w:lvl w:ilvl="1" w:tplc="EF6A42BE">
      <w:start w:val="1"/>
      <w:numFmt w:val="bullet"/>
      <w:pStyle w:val="Bulletlevel2"/>
      <w:lvlText w:val="○"/>
      <w:lvlJc w:val="left"/>
      <w:pPr>
        <w:ind w:left="1281" w:hanging="357"/>
      </w:pPr>
      <w:rPr>
        <w:rFonts w:ascii="Courier New" w:hAnsi="Courier New" w:cs="Times New Roman" w:hint="default"/>
        <w:b/>
        <w:i w:val="0"/>
        <w:sz w:val="18"/>
      </w:rPr>
    </w:lvl>
    <w:lvl w:ilvl="2" w:tplc="04AED29E">
      <w:start w:val="1"/>
      <w:numFmt w:val="bullet"/>
      <w:lvlRestart w:val="0"/>
      <w:pStyle w:val="Bulletlevel3"/>
      <w:lvlText w:val="-"/>
      <w:lvlJc w:val="left"/>
      <w:pPr>
        <w:ind w:left="1639" w:hanging="358"/>
      </w:pPr>
      <w:rPr>
        <w:rFonts w:ascii="Arial" w:hAnsi="Arial" w:cs="Times New Roman" w:hint="default"/>
      </w:rPr>
    </w:lvl>
    <w:lvl w:ilvl="3" w:tplc="9C4EEEF2">
      <w:start w:val="1"/>
      <w:numFmt w:val="none"/>
      <w:lvlRestart w:val="0"/>
      <w:suff w:val="nothing"/>
      <w:lvlText w:val=""/>
      <w:lvlJc w:val="left"/>
      <w:pPr>
        <w:ind w:left="1701" w:firstLine="0"/>
      </w:pPr>
    </w:lvl>
    <w:lvl w:ilvl="4" w:tplc="7C68337E">
      <w:start w:val="1"/>
      <w:numFmt w:val="none"/>
      <w:lvlRestart w:val="0"/>
      <w:lvlText w:val=""/>
      <w:lvlJc w:val="left"/>
      <w:pPr>
        <w:tabs>
          <w:tab w:val="num" w:pos="283"/>
        </w:tabs>
        <w:ind w:left="283" w:firstLine="0"/>
      </w:pPr>
    </w:lvl>
    <w:lvl w:ilvl="5" w:tplc="B5366248">
      <w:start w:val="1"/>
      <w:numFmt w:val="none"/>
      <w:lvlRestart w:val="0"/>
      <w:lvlText w:val=""/>
      <w:lvlJc w:val="left"/>
      <w:pPr>
        <w:tabs>
          <w:tab w:val="num" w:pos="283"/>
        </w:tabs>
        <w:ind w:left="283" w:firstLine="0"/>
      </w:pPr>
    </w:lvl>
    <w:lvl w:ilvl="6" w:tplc="D2D485E4">
      <w:start w:val="1"/>
      <w:numFmt w:val="none"/>
      <w:lvlRestart w:val="0"/>
      <w:lvlText w:val=""/>
      <w:lvlJc w:val="left"/>
      <w:pPr>
        <w:tabs>
          <w:tab w:val="num" w:pos="283"/>
        </w:tabs>
        <w:ind w:left="283" w:firstLine="0"/>
      </w:pPr>
    </w:lvl>
    <w:lvl w:ilvl="7" w:tplc="DFD825B4">
      <w:start w:val="1"/>
      <w:numFmt w:val="none"/>
      <w:lvlRestart w:val="0"/>
      <w:lvlText w:val=""/>
      <w:lvlJc w:val="left"/>
      <w:pPr>
        <w:tabs>
          <w:tab w:val="num" w:pos="283"/>
        </w:tabs>
        <w:ind w:left="283" w:firstLine="0"/>
      </w:pPr>
    </w:lvl>
    <w:lvl w:ilvl="8" w:tplc="E2EC1452">
      <w:start w:val="1"/>
      <w:numFmt w:val="none"/>
      <w:lvlRestart w:val="0"/>
      <w:lvlText w:val=""/>
      <w:lvlJc w:val="left"/>
      <w:pPr>
        <w:tabs>
          <w:tab w:val="num" w:pos="283"/>
        </w:tabs>
        <w:ind w:left="283" w:firstLine="0"/>
      </w:pPr>
    </w:lvl>
  </w:abstractNum>
  <w:abstractNum w:abstractNumId="33" w15:restartNumberingAfterBreak="0">
    <w:nsid w:val="61C3485C"/>
    <w:multiLevelType w:val="multilevel"/>
    <w:tmpl w:val="4EDCC30C"/>
    <w:lvl w:ilvl="0">
      <w:start w:val="1"/>
      <w:numFmt w:val="bullet"/>
      <w:lvlText w:val=""/>
      <w:lvlJc w:val="left"/>
      <w:pPr>
        <w:ind w:left="992" w:hanging="425"/>
      </w:pPr>
      <w:rPr>
        <w:rFonts w:ascii="Symbol" w:hAnsi="Symbol" w:hint="default"/>
        <w:color w:val="7B5E05"/>
      </w:rPr>
    </w:lvl>
    <w:lvl w:ilvl="1">
      <w:start w:val="1"/>
      <w:numFmt w:val="bullet"/>
      <w:pStyle w:val="ListBullet2"/>
      <w:lvlText w:val="o"/>
      <w:lvlJc w:val="left"/>
      <w:pPr>
        <w:ind w:left="1701" w:hanging="425"/>
      </w:pPr>
      <w:rPr>
        <w:rFonts w:ascii="Courier New" w:hAnsi="Courier New" w:hint="default"/>
        <w:color w:val="7B5E05" w:themeColor="accent1"/>
      </w:rPr>
    </w:lvl>
    <w:lvl w:ilvl="2">
      <w:start w:val="1"/>
      <w:numFmt w:val="bullet"/>
      <w:pStyle w:val="OutlineBoxBullets"/>
      <w:lvlText w:val=""/>
      <w:lvlJc w:val="left"/>
      <w:pPr>
        <w:ind w:left="567" w:firstLine="238"/>
      </w:pPr>
      <w:rPr>
        <w:rFonts w:ascii="Symbol" w:hAnsi="Symbol" w:hint="default"/>
        <w:color w:val="7B5E05" w:themeColor="accent1"/>
      </w:rPr>
    </w:lvl>
    <w:lvl w:ilvl="3">
      <w:start w:val="1"/>
      <w:numFmt w:val="bullet"/>
      <w:lvlText w:val="໐"/>
      <w:lvlJc w:val="left"/>
      <w:pPr>
        <w:ind w:left="1043" w:hanging="238"/>
      </w:pPr>
      <w:rPr>
        <w:rFonts w:ascii="Segoe UI" w:hAnsi="Segoe UI" w:hint="default"/>
        <w:color w:val="7B5E05" w:themeColor="accent1"/>
      </w:rPr>
    </w:lvl>
    <w:lvl w:ilvl="4">
      <w:start w:val="1"/>
      <w:numFmt w:val="bullet"/>
      <w:lvlText w:val="o"/>
      <w:lvlJc w:val="left"/>
      <w:pPr>
        <w:ind w:left="2673" w:hanging="360"/>
      </w:pPr>
      <w:rPr>
        <w:rFonts w:ascii="Courier New" w:hAnsi="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cs="Courier New" w:hint="default"/>
      </w:rPr>
    </w:lvl>
    <w:lvl w:ilvl="8">
      <w:start w:val="1"/>
      <w:numFmt w:val="bullet"/>
      <w:lvlText w:val=""/>
      <w:lvlJc w:val="left"/>
      <w:pPr>
        <w:ind w:left="5553" w:hanging="360"/>
      </w:pPr>
      <w:rPr>
        <w:rFonts w:ascii="Wingdings" w:hAnsi="Wingdings" w:hint="default"/>
      </w:rPr>
    </w:lvl>
  </w:abstractNum>
  <w:abstractNum w:abstractNumId="34" w15:restartNumberingAfterBreak="0">
    <w:nsid w:val="637B42F5"/>
    <w:multiLevelType w:val="hybridMultilevel"/>
    <w:tmpl w:val="7DCA0BF8"/>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5" w15:restartNumberingAfterBreak="0">
    <w:nsid w:val="69FF2F91"/>
    <w:multiLevelType w:val="hybridMultilevel"/>
    <w:tmpl w:val="01544B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ED706A3"/>
    <w:multiLevelType w:val="hybridMultilevel"/>
    <w:tmpl w:val="AF6445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3B83BA8"/>
    <w:multiLevelType w:val="hybridMultilevel"/>
    <w:tmpl w:val="B4B4E686"/>
    <w:lvl w:ilvl="0" w:tplc="656E8540">
      <w:start w:val="1"/>
      <w:numFmt w:val="bullet"/>
      <w:pStyle w:val="Bulleted"/>
      <w:lvlText w:val="●"/>
      <w:lvlJc w:val="left"/>
      <w:pPr>
        <w:ind w:left="720" w:hanging="360"/>
      </w:pPr>
      <w:rPr>
        <w:rFonts w:ascii="Arial" w:hAnsi="Arial" w:hint="default"/>
        <w:color w:val="auto"/>
        <w:sz w:val="20"/>
      </w:rPr>
    </w:lvl>
    <w:lvl w:ilvl="1" w:tplc="72D031BC">
      <w:start w:val="1"/>
      <w:numFmt w:val="bullet"/>
      <w:pStyle w:val="Second-levelbullets"/>
      <w:lvlText w:val="○"/>
      <w:lvlJc w:val="left"/>
      <w:pPr>
        <w:ind w:left="1440" w:hanging="360"/>
      </w:pPr>
      <w:rPr>
        <w:rFonts w:ascii="Calibri" w:hAnsi="Calibri" w:cs="Calibri" w:hint="default"/>
        <w:b/>
        <w:i w:val="0"/>
        <w:color w:val="374E7A"/>
        <w:sz w:val="20"/>
        <w:szCs w:val="20"/>
        <w:u w:color="FFFFFF" w:themeColor="background1"/>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74983182">
    <w:abstractNumId w:val="33"/>
  </w:num>
  <w:num w:numId="2" w16cid:durableId="1362362788">
    <w:abstractNumId w:val="19"/>
  </w:num>
  <w:num w:numId="3" w16cid:durableId="1872452479">
    <w:abstractNumId w:val="24"/>
  </w:num>
  <w:num w:numId="4" w16cid:durableId="556476709">
    <w:abstractNumId w:val="2"/>
  </w:num>
  <w:num w:numId="5" w16cid:durableId="1349522200">
    <w:abstractNumId w:val="21"/>
  </w:num>
  <w:num w:numId="6" w16cid:durableId="1205093117">
    <w:abstractNumId w:val="11"/>
  </w:num>
  <w:num w:numId="7" w16cid:durableId="1581058191">
    <w:abstractNumId w:val="32"/>
  </w:num>
  <w:num w:numId="8" w16cid:durableId="1775052755">
    <w:abstractNumId w:val="37"/>
  </w:num>
  <w:num w:numId="9" w16cid:durableId="1105809965">
    <w:abstractNumId w:val="6"/>
  </w:num>
  <w:num w:numId="10" w16cid:durableId="1221281535">
    <w:abstractNumId w:val="31"/>
  </w:num>
  <w:num w:numId="11" w16cid:durableId="1783645683">
    <w:abstractNumId w:val="15"/>
  </w:num>
  <w:num w:numId="12" w16cid:durableId="137846897">
    <w:abstractNumId w:val="7"/>
  </w:num>
  <w:num w:numId="13" w16cid:durableId="919943525">
    <w:abstractNumId w:val="10"/>
  </w:num>
  <w:num w:numId="14" w16cid:durableId="91318826">
    <w:abstractNumId w:val="5"/>
  </w:num>
  <w:num w:numId="15" w16cid:durableId="51466746">
    <w:abstractNumId w:val="16"/>
  </w:num>
  <w:num w:numId="16" w16cid:durableId="733431090">
    <w:abstractNumId w:val="22"/>
  </w:num>
  <w:num w:numId="17" w16cid:durableId="1754740938">
    <w:abstractNumId w:val="13"/>
  </w:num>
  <w:num w:numId="18" w16cid:durableId="108742342">
    <w:abstractNumId w:val="1"/>
  </w:num>
  <w:num w:numId="19" w16cid:durableId="328950317">
    <w:abstractNumId w:val="0"/>
  </w:num>
  <w:num w:numId="20" w16cid:durableId="406465886">
    <w:abstractNumId w:val="23"/>
  </w:num>
  <w:num w:numId="21" w16cid:durableId="24797864">
    <w:abstractNumId w:val="20"/>
  </w:num>
  <w:num w:numId="22" w16cid:durableId="1224217931">
    <w:abstractNumId w:val="12"/>
  </w:num>
  <w:num w:numId="23" w16cid:durableId="1336037796">
    <w:abstractNumId w:val="14"/>
  </w:num>
  <w:num w:numId="24" w16cid:durableId="1757701065">
    <w:abstractNumId w:val="35"/>
  </w:num>
  <w:num w:numId="25" w16cid:durableId="830759520">
    <w:abstractNumId w:val="30"/>
  </w:num>
  <w:num w:numId="26" w16cid:durableId="685058464">
    <w:abstractNumId w:val="9"/>
  </w:num>
  <w:num w:numId="27" w16cid:durableId="715355281">
    <w:abstractNumId w:val="17"/>
  </w:num>
  <w:num w:numId="28" w16cid:durableId="1424719690">
    <w:abstractNumId w:val="4"/>
  </w:num>
  <w:num w:numId="29" w16cid:durableId="383144389">
    <w:abstractNumId w:val="18"/>
  </w:num>
  <w:num w:numId="30" w16cid:durableId="607394089">
    <w:abstractNumId w:val="27"/>
  </w:num>
  <w:num w:numId="31" w16cid:durableId="1569225839">
    <w:abstractNumId w:val="3"/>
  </w:num>
  <w:num w:numId="32" w16cid:durableId="544878678">
    <w:abstractNumId w:val="8"/>
  </w:num>
  <w:num w:numId="33" w16cid:durableId="240602982">
    <w:abstractNumId w:val="36"/>
  </w:num>
  <w:num w:numId="34" w16cid:durableId="560991947">
    <w:abstractNumId w:val="28"/>
  </w:num>
  <w:num w:numId="35" w16cid:durableId="138813216">
    <w:abstractNumId w:val="34"/>
  </w:num>
  <w:num w:numId="36" w16cid:durableId="640884745">
    <w:abstractNumId w:val="26"/>
  </w:num>
  <w:num w:numId="37" w16cid:durableId="257099594">
    <w:abstractNumId w:val="25"/>
  </w:num>
  <w:num w:numId="38" w16cid:durableId="1909488685">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2M7EwMjQ2N7C0NDdS0lEKTi0uzszPAymwqAUAuRo+lSwAAAA="/>
  </w:docVars>
  <w:rsids>
    <w:rsidRoot w:val="007D7D39"/>
    <w:rsid w:val="000001F2"/>
    <w:rsid w:val="00000B86"/>
    <w:rsid w:val="00000E69"/>
    <w:rsid w:val="0000129A"/>
    <w:rsid w:val="000016DF"/>
    <w:rsid w:val="00001884"/>
    <w:rsid w:val="00001CC3"/>
    <w:rsid w:val="00002082"/>
    <w:rsid w:val="00002183"/>
    <w:rsid w:val="00002461"/>
    <w:rsid w:val="0000254E"/>
    <w:rsid w:val="000028A2"/>
    <w:rsid w:val="00002C55"/>
    <w:rsid w:val="00003019"/>
    <w:rsid w:val="0000356B"/>
    <w:rsid w:val="000035C8"/>
    <w:rsid w:val="00003738"/>
    <w:rsid w:val="00003A46"/>
    <w:rsid w:val="000043FB"/>
    <w:rsid w:val="0000488D"/>
    <w:rsid w:val="00004980"/>
    <w:rsid w:val="000049FB"/>
    <w:rsid w:val="00004C5D"/>
    <w:rsid w:val="00005208"/>
    <w:rsid w:val="0000527F"/>
    <w:rsid w:val="000054BE"/>
    <w:rsid w:val="0000564B"/>
    <w:rsid w:val="00005A64"/>
    <w:rsid w:val="000064A4"/>
    <w:rsid w:val="00006501"/>
    <w:rsid w:val="00006571"/>
    <w:rsid w:val="00006EB3"/>
    <w:rsid w:val="00006ECE"/>
    <w:rsid w:val="0000744E"/>
    <w:rsid w:val="00007561"/>
    <w:rsid w:val="000077A8"/>
    <w:rsid w:val="0000790B"/>
    <w:rsid w:val="00007BC9"/>
    <w:rsid w:val="00007D61"/>
    <w:rsid w:val="0001005F"/>
    <w:rsid w:val="00010184"/>
    <w:rsid w:val="00010BAE"/>
    <w:rsid w:val="00011146"/>
    <w:rsid w:val="00011384"/>
    <w:rsid w:val="00012376"/>
    <w:rsid w:val="0001325E"/>
    <w:rsid w:val="000133D4"/>
    <w:rsid w:val="000133D6"/>
    <w:rsid w:val="000137B8"/>
    <w:rsid w:val="000137C1"/>
    <w:rsid w:val="000137C2"/>
    <w:rsid w:val="000138C9"/>
    <w:rsid w:val="00013B1E"/>
    <w:rsid w:val="00014208"/>
    <w:rsid w:val="0001422E"/>
    <w:rsid w:val="0001425D"/>
    <w:rsid w:val="00014371"/>
    <w:rsid w:val="000151C5"/>
    <w:rsid w:val="000155EB"/>
    <w:rsid w:val="000158E5"/>
    <w:rsid w:val="00015920"/>
    <w:rsid w:val="00015DC6"/>
    <w:rsid w:val="00016A37"/>
    <w:rsid w:val="00016B75"/>
    <w:rsid w:val="0001717C"/>
    <w:rsid w:val="0001740A"/>
    <w:rsid w:val="000179DF"/>
    <w:rsid w:val="00017DCA"/>
    <w:rsid w:val="000207B8"/>
    <w:rsid w:val="00020A3D"/>
    <w:rsid w:val="00020A56"/>
    <w:rsid w:val="00020BCB"/>
    <w:rsid w:val="00020D4F"/>
    <w:rsid w:val="0002128F"/>
    <w:rsid w:val="0002132E"/>
    <w:rsid w:val="00021B7F"/>
    <w:rsid w:val="00022409"/>
    <w:rsid w:val="00022485"/>
    <w:rsid w:val="00022777"/>
    <w:rsid w:val="00023181"/>
    <w:rsid w:val="00024098"/>
    <w:rsid w:val="00024305"/>
    <w:rsid w:val="000245D6"/>
    <w:rsid w:val="00024773"/>
    <w:rsid w:val="00024A32"/>
    <w:rsid w:val="000250DE"/>
    <w:rsid w:val="0002553F"/>
    <w:rsid w:val="000257C4"/>
    <w:rsid w:val="000259D1"/>
    <w:rsid w:val="00025B10"/>
    <w:rsid w:val="00025C54"/>
    <w:rsid w:val="000261D7"/>
    <w:rsid w:val="000262DC"/>
    <w:rsid w:val="00026A79"/>
    <w:rsid w:val="00026AA1"/>
    <w:rsid w:val="00026C4E"/>
    <w:rsid w:val="00026EF5"/>
    <w:rsid w:val="000271F5"/>
    <w:rsid w:val="00027481"/>
    <w:rsid w:val="00027AEB"/>
    <w:rsid w:val="00030265"/>
    <w:rsid w:val="00030959"/>
    <w:rsid w:val="000309CE"/>
    <w:rsid w:val="00030FA0"/>
    <w:rsid w:val="000316A1"/>
    <w:rsid w:val="0003204C"/>
    <w:rsid w:val="00032474"/>
    <w:rsid w:val="00032894"/>
    <w:rsid w:val="0003296D"/>
    <w:rsid w:val="000329B3"/>
    <w:rsid w:val="00032AB5"/>
    <w:rsid w:val="00032C19"/>
    <w:rsid w:val="00032C7F"/>
    <w:rsid w:val="00032FD7"/>
    <w:rsid w:val="00033233"/>
    <w:rsid w:val="00033870"/>
    <w:rsid w:val="00033F84"/>
    <w:rsid w:val="0003417E"/>
    <w:rsid w:val="00034240"/>
    <w:rsid w:val="000345E2"/>
    <w:rsid w:val="00034B1D"/>
    <w:rsid w:val="00034BA0"/>
    <w:rsid w:val="00034D4F"/>
    <w:rsid w:val="000353D3"/>
    <w:rsid w:val="000355BA"/>
    <w:rsid w:val="000356ED"/>
    <w:rsid w:val="00035BB8"/>
    <w:rsid w:val="000363AC"/>
    <w:rsid w:val="00036514"/>
    <w:rsid w:val="000365DC"/>
    <w:rsid w:val="000366FC"/>
    <w:rsid w:val="00036880"/>
    <w:rsid w:val="00036B29"/>
    <w:rsid w:val="00036B4D"/>
    <w:rsid w:val="00036B5A"/>
    <w:rsid w:val="00036EE5"/>
    <w:rsid w:val="00037036"/>
    <w:rsid w:val="000373D3"/>
    <w:rsid w:val="00037A06"/>
    <w:rsid w:val="00037BC5"/>
    <w:rsid w:val="00037CC3"/>
    <w:rsid w:val="00037F88"/>
    <w:rsid w:val="0004040C"/>
    <w:rsid w:val="000404C0"/>
    <w:rsid w:val="0004072A"/>
    <w:rsid w:val="00040F1F"/>
    <w:rsid w:val="00040F3D"/>
    <w:rsid w:val="00041148"/>
    <w:rsid w:val="0004175E"/>
    <w:rsid w:val="00041943"/>
    <w:rsid w:val="00041A5C"/>
    <w:rsid w:val="00041AF1"/>
    <w:rsid w:val="00042076"/>
    <w:rsid w:val="0004211D"/>
    <w:rsid w:val="00042232"/>
    <w:rsid w:val="00042C1A"/>
    <w:rsid w:val="00043193"/>
    <w:rsid w:val="000433B1"/>
    <w:rsid w:val="00043577"/>
    <w:rsid w:val="00043FF6"/>
    <w:rsid w:val="000453B1"/>
    <w:rsid w:val="00045A21"/>
    <w:rsid w:val="00045A83"/>
    <w:rsid w:val="00045E43"/>
    <w:rsid w:val="00046CA0"/>
    <w:rsid w:val="00046D33"/>
    <w:rsid w:val="00046F4E"/>
    <w:rsid w:val="00047044"/>
    <w:rsid w:val="00047089"/>
    <w:rsid w:val="000472BC"/>
    <w:rsid w:val="0004731B"/>
    <w:rsid w:val="00047A44"/>
    <w:rsid w:val="00047C17"/>
    <w:rsid w:val="00047F80"/>
    <w:rsid w:val="00047F93"/>
    <w:rsid w:val="00050D8F"/>
    <w:rsid w:val="00050E86"/>
    <w:rsid w:val="000514A6"/>
    <w:rsid w:val="00051C90"/>
    <w:rsid w:val="00052058"/>
    <w:rsid w:val="000520F9"/>
    <w:rsid w:val="0005210F"/>
    <w:rsid w:val="000529DE"/>
    <w:rsid w:val="00052FAB"/>
    <w:rsid w:val="00053697"/>
    <w:rsid w:val="00053997"/>
    <w:rsid w:val="00053A75"/>
    <w:rsid w:val="00054BA6"/>
    <w:rsid w:val="000551D7"/>
    <w:rsid w:val="00055463"/>
    <w:rsid w:val="000554D2"/>
    <w:rsid w:val="00055567"/>
    <w:rsid w:val="0005586F"/>
    <w:rsid w:val="00055D45"/>
    <w:rsid w:val="0005622A"/>
    <w:rsid w:val="000563CA"/>
    <w:rsid w:val="000565D0"/>
    <w:rsid w:val="00056AC7"/>
    <w:rsid w:val="00056AD0"/>
    <w:rsid w:val="00056FA5"/>
    <w:rsid w:val="00057003"/>
    <w:rsid w:val="0005736D"/>
    <w:rsid w:val="00057642"/>
    <w:rsid w:val="00057C83"/>
    <w:rsid w:val="000602CA"/>
    <w:rsid w:val="000605EE"/>
    <w:rsid w:val="0006070F"/>
    <w:rsid w:val="000608EC"/>
    <w:rsid w:val="00060B43"/>
    <w:rsid w:val="00061A22"/>
    <w:rsid w:val="000623C9"/>
    <w:rsid w:val="000630A5"/>
    <w:rsid w:val="00063771"/>
    <w:rsid w:val="000637D3"/>
    <w:rsid w:val="0006384F"/>
    <w:rsid w:val="00063E6C"/>
    <w:rsid w:val="00063EF0"/>
    <w:rsid w:val="000642C3"/>
    <w:rsid w:val="00064691"/>
    <w:rsid w:val="00064D74"/>
    <w:rsid w:val="00064D7A"/>
    <w:rsid w:val="000661BA"/>
    <w:rsid w:val="0006658F"/>
    <w:rsid w:val="00067510"/>
    <w:rsid w:val="0006755D"/>
    <w:rsid w:val="00067DF4"/>
    <w:rsid w:val="00067F7E"/>
    <w:rsid w:val="00071422"/>
    <w:rsid w:val="0007146F"/>
    <w:rsid w:val="00071623"/>
    <w:rsid w:val="00071916"/>
    <w:rsid w:val="00071D42"/>
    <w:rsid w:val="00071E2A"/>
    <w:rsid w:val="0007205D"/>
    <w:rsid w:val="00072356"/>
    <w:rsid w:val="0007277D"/>
    <w:rsid w:val="0007290C"/>
    <w:rsid w:val="0007293B"/>
    <w:rsid w:val="00072B0F"/>
    <w:rsid w:val="00072D86"/>
    <w:rsid w:val="00073469"/>
    <w:rsid w:val="00073734"/>
    <w:rsid w:val="000739D5"/>
    <w:rsid w:val="00074143"/>
    <w:rsid w:val="00074495"/>
    <w:rsid w:val="00074940"/>
    <w:rsid w:val="00074AC0"/>
    <w:rsid w:val="00074B82"/>
    <w:rsid w:val="00074CF1"/>
    <w:rsid w:val="000753D4"/>
    <w:rsid w:val="00075670"/>
    <w:rsid w:val="00075A91"/>
    <w:rsid w:val="00075FA7"/>
    <w:rsid w:val="0007624F"/>
    <w:rsid w:val="000764C9"/>
    <w:rsid w:val="000767E6"/>
    <w:rsid w:val="00076844"/>
    <w:rsid w:val="00076A12"/>
    <w:rsid w:val="00076A79"/>
    <w:rsid w:val="00076B89"/>
    <w:rsid w:val="00076F49"/>
    <w:rsid w:val="00076FD8"/>
    <w:rsid w:val="0007715E"/>
    <w:rsid w:val="000774FD"/>
    <w:rsid w:val="00077992"/>
    <w:rsid w:val="00077D6D"/>
    <w:rsid w:val="00080399"/>
    <w:rsid w:val="0008057A"/>
    <w:rsid w:val="0008057B"/>
    <w:rsid w:val="0008076A"/>
    <w:rsid w:val="0008077F"/>
    <w:rsid w:val="00080B21"/>
    <w:rsid w:val="00080DDB"/>
    <w:rsid w:val="000810E8"/>
    <w:rsid w:val="000815FB"/>
    <w:rsid w:val="00081E30"/>
    <w:rsid w:val="000823FE"/>
    <w:rsid w:val="00082540"/>
    <w:rsid w:val="00082A1C"/>
    <w:rsid w:val="00082B49"/>
    <w:rsid w:val="00082B84"/>
    <w:rsid w:val="00082CC7"/>
    <w:rsid w:val="00083005"/>
    <w:rsid w:val="000831AB"/>
    <w:rsid w:val="00083746"/>
    <w:rsid w:val="00083960"/>
    <w:rsid w:val="00083BF2"/>
    <w:rsid w:val="00083FA7"/>
    <w:rsid w:val="000846CE"/>
    <w:rsid w:val="00084D02"/>
    <w:rsid w:val="000851A4"/>
    <w:rsid w:val="00085776"/>
    <w:rsid w:val="000857B7"/>
    <w:rsid w:val="0008581E"/>
    <w:rsid w:val="00085ACC"/>
    <w:rsid w:val="00085AE8"/>
    <w:rsid w:val="00085D1C"/>
    <w:rsid w:val="000860D8"/>
    <w:rsid w:val="00086177"/>
    <w:rsid w:val="00086217"/>
    <w:rsid w:val="000864F8"/>
    <w:rsid w:val="00086B0C"/>
    <w:rsid w:val="00086BB2"/>
    <w:rsid w:val="00086E63"/>
    <w:rsid w:val="00086EAC"/>
    <w:rsid w:val="00086F92"/>
    <w:rsid w:val="00087337"/>
    <w:rsid w:val="000873E7"/>
    <w:rsid w:val="00087618"/>
    <w:rsid w:val="00087744"/>
    <w:rsid w:val="00087E44"/>
    <w:rsid w:val="0009063A"/>
    <w:rsid w:val="000909B0"/>
    <w:rsid w:val="00090C72"/>
    <w:rsid w:val="000911B0"/>
    <w:rsid w:val="000915B5"/>
    <w:rsid w:val="00091F32"/>
    <w:rsid w:val="000921C7"/>
    <w:rsid w:val="00092AEC"/>
    <w:rsid w:val="00092EC0"/>
    <w:rsid w:val="00092F0E"/>
    <w:rsid w:val="000930D7"/>
    <w:rsid w:val="00093220"/>
    <w:rsid w:val="0009342B"/>
    <w:rsid w:val="00093DAC"/>
    <w:rsid w:val="00093F28"/>
    <w:rsid w:val="0009410E"/>
    <w:rsid w:val="00094668"/>
    <w:rsid w:val="00094831"/>
    <w:rsid w:val="00094ABD"/>
    <w:rsid w:val="00094DAC"/>
    <w:rsid w:val="00095059"/>
    <w:rsid w:val="00095250"/>
    <w:rsid w:val="0009534C"/>
    <w:rsid w:val="0009541E"/>
    <w:rsid w:val="00095880"/>
    <w:rsid w:val="00095AD2"/>
    <w:rsid w:val="00095EBE"/>
    <w:rsid w:val="000962E2"/>
    <w:rsid w:val="00096333"/>
    <w:rsid w:val="00096364"/>
    <w:rsid w:val="00096815"/>
    <w:rsid w:val="000968CC"/>
    <w:rsid w:val="00096950"/>
    <w:rsid w:val="00096A1F"/>
    <w:rsid w:val="00096A21"/>
    <w:rsid w:val="00096C27"/>
    <w:rsid w:val="0009706E"/>
    <w:rsid w:val="0009727C"/>
    <w:rsid w:val="000972A6"/>
    <w:rsid w:val="00097531"/>
    <w:rsid w:val="000977D2"/>
    <w:rsid w:val="00097BBE"/>
    <w:rsid w:val="000A036C"/>
    <w:rsid w:val="000A0441"/>
    <w:rsid w:val="000A0BA5"/>
    <w:rsid w:val="000A0C77"/>
    <w:rsid w:val="000A12D2"/>
    <w:rsid w:val="000A1961"/>
    <w:rsid w:val="000A1EB8"/>
    <w:rsid w:val="000A1FC9"/>
    <w:rsid w:val="000A2073"/>
    <w:rsid w:val="000A252B"/>
    <w:rsid w:val="000A2802"/>
    <w:rsid w:val="000A2D2A"/>
    <w:rsid w:val="000A2DC8"/>
    <w:rsid w:val="000A2F83"/>
    <w:rsid w:val="000A384B"/>
    <w:rsid w:val="000A3B37"/>
    <w:rsid w:val="000A4213"/>
    <w:rsid w:val="000A4813"/>
    <w:rsid w:val="000A49DA"/>
    <w:rsid w:val="000A4D4D"/>
    <w:rsid w:val="000A50B1"/>
    <w:rsid w:val="000A5595"/>
    <w:rsid w:val="000A5913"/>
    <w:rsid w:val="000A59E8"/>
    <w:rsid w:val="000A5BA5"/>
    <w:rsid w:val="000A5D4B"/>
    <w:rsid w:val="000A5EBE"/>
    <w:rsid w:val="000A5F3A"/>
    <w:rsid w:val="000A61CE"/>
    <w:rsid w:val="000A698B"/>
    <w:rsid w:val="000A6A74"/>
    <w:rsid w:val="000A6A94"/>
    <w:rsid w:val="000A709A"/>
    <w:rsid w:val="000A70CD"/>
    <w:rsid w:val="000A77E0"/>
    <w:rsid w:val="000A7B69"/>
    <w:rsid w:val="000B0269"/>
    <w:rsid w:val="000B02B3"/>
    <w:rsid w:val="000B1189"/>
    <w:rsid w:val="000B1239"/>
    <w:rsid w:val="000B1589"/>
    <w:rsid w:val="000B1A72"/>
    <w:rsid w:val="000B1CFB"/>
    <w:rsid w:val="000B1FF5"/>
    <w:rsid w:val="000B2617"/>
    <w:rsid w:val="000B2951"/>
    <w:rsid w:val="000B2B92"/>
    <w:rsid w:val="000B37FE"/>
    <w:rsid w:val="000B3858"/>
    <w:rsid w:val="000B3985"/>
    <w:rsid w:val="000B3C7E"/>
    <w:rsid w:val="000B3C88"/>
    <w:rsid w:val="000B3D68"/>
    <w:rsid w:val="000B4275"/>
    <w:rsid w:val="000B42F5"/>
    <w:rsid w:val="000B4512"/>
    <w:rsid w:val="000B46A6"/>
    <w:rsid w:val="000B4747"/>
    <w:rsid w:val="000B4813"/>
    <w:rsid w:val="000B4ED2"/>
    <w:rsid w:val="000B52AD"/>
    <w:rsid w:val="000B55A3"/>
    <w:rsid w:val="000B6CB4"/>
    <w:rsid w:val="000B7058"/>
    <w:rsid w:val="000B7C91"/>
    <w:rsid w:val="000C003D"/>
    <w:rsid w:val="000C02E4"/>
    <w:rsid w:val="000C054D"/>
    <w:rsid w:val="000C072C"/>
    <w:rsid w:val="000C0956"/>
    <w:rsid w:val="000C097D"/>
    <w:rsid w:val="000C0CC8"/>
    <w:rsid w:val="000C23A0"/>
    <w:rsid w:val="000C2CD8"/>
    <w:rsid w:val="000C2D3C"/>
    <w:rsid w:val="000C2E4A"/>
    <w:rsid w:val="000C3129"/>
    <w:rsid w:val="000C3373"/>
    <w:rsid w:val="000C341C"/>
    <w:rsid w:val="000C3D71"/>
    <w:rsid w:val="000C490E"/>
    <w:rsid w:val="000C4A6B"/>
    <w:rsid w:val="000C52C6"/>
    <w:rsid w:val="000C53B4"/>
    <w:rsid w:val="000C5825"/>
    <w:rsid w:val="000C5A1B"/>
    <w:rsid w:val="000C5C85"/>
    <w:rsid w:val="000C67F5"/>
    <w:rsid w:val="000C6D7B"/>
    <w:rsid w:val="000C74B9"/>
    <w:rsid w:val="000C7854"/>
    <w:rsid w:val="000C7B99"/>
    <w:rsid w:val="000D0301"/>
    <w:rsid w:val="000D05B0"/>
    <w:rsid w:val="000D07D7"/>
    <w:rsid w:val="000D0A59"/>
    <w:rsid w:val="000D0F14"/>
    <w:rsid w:val="000D1136"/>
    <w:rsid w:val="000D1237"/>
    <w:rsid w:val="000D1514"/>
    <w:rsid w:val="000D1595"/>
    <w:rsid w:val="000D1B22"/>
    <w:rsid w:val="000D1E2B"/>
    <w:rsid w:val="000D20AC"/>
    <w:rsid w:val="000D24EA"/>
    <w:rsid w:val="000D258A"/>
    <w:rsid w:val="000D262C"/>
    <w:rsid w:val="000D266E"/>
    <w:rsid w:val="000D2AE7"/>
    <w:rsid w:val="000D2D82"/>
    <w:rsid w:val="000D34AF"/>
    <w:rsid w:val="000D386E"/>
    <w:rsid w:val="000D3C2C"/>
    <w:rsid w:val="000D3CAA"/>
    <w:rsid w:val="000D3F36"/>
    <w:rsid w:val="000D42A0"/>
    <w:rsid w:val="000D48EC"/>
    <w:rsid w:val="000D4CE1"/>
    <w:rsid w:val="000D54C6"/>
    <w:rsid w:val="000D54CB"/>
    <w:rsid w:val="000D5F7F"/>
    <w:rsid w:val="000D6099"/>
    <w:rsid w:val="000D669A"/>
    <w:rsid w:val="000D69F1"/>
    <w:rsid w:val="000D6A17"/>
    <w:rsid w:val="000D6BA7"/>
    <w:rsid w:val="000D6F6D"/>
    <w:rsid w:val="000D6F9B"/>
    <w:rsid w:val="000D7272"/>
    <w:rsid w:val="000D7302"/>
    <w:rsid w:val="000D7B0C"/>
    <w:rsid w:val="000D7B68"/>
    <w:rsid w:val="000D7C39"/>
    <w:rsid w:val="000D7E80"/>
    <w:rsid w:val="000E022B"/>
    <w:rsid w:val="000E04CD"/>
    <w:rsid w:val="000E05FA"/>
    <w:rsid w:val="000E07EF"/>
    <w:rsid w:val="000E084D"/>
    <w:rsid w:val="000E0A80"/>
    <w:rsid w:val="000E0B99"/>
    <w:rsid w:val="000E0FF1"/>
    <w:rsid w:val="000E171C"/>
    <w:rsid w:val="000E23A7"/>
    <w:rsid w:val="000E2424"/>
    <w:rsid w:val="000E29A9"/>
    <w:rsid w:val="000E2B31"/>
    <w:rsid w:val="000E2EC7"/>
    <w:rsid w:val="000E3294"/>
    <w:rsid w:val="000E3843"/>
    <w:rsid w:val="000E3DD5"/>
    <w:rsid w:val="000E4158"/>
    <w:rsid w:val="000E4200"/>
    <w:rsid w:val="000E45E0"/>
    <w:rsid w:val="000E53AD"/>
    <w:rsid w:val="000E5495"/>
    <w:rsid w:val="000E575D"/>
    <w:rsid w:val="000E5B91"/>
    <w:rsid w:val="000E5E42"/>
    <w:rsid w:val="000E64BD"/>
    <w:rsid w:val="000E6A9C"/>
    <w:rsid w:val="000E6AB5"/>
    <w:rsid w:val="000E7285"/>
    <w:rsid w:val="000E7775"/>
    <w:rsid w:val="000E79F5"/>
    <w:rsid w:val="000E7B53"/>
    <w:rsid w:val="000F0070"/>
    <w:rsid w:val="000F01B6"/>
    <w:rsid w:val="000F0DEE"/>
    <w:rsid w:val="000F1452"/>
    <w:rsid w:val="000F1771"/>
    <w:rsid w:val="000F1BDC"/>
    <w:rsid w:val="000F1C14"/>
    <w:rsid w:val="000F21BA"/>
    <w:rsid w:val="000F2747"/>
    <w:rsid w:val="000F275C"/>
    <w:rsid w:val="000F2C5C"/>
    <w:rsid w:val="000F379F"/>
    <w:rsid w:val="000F384C"/>
    <w:rsid w:val="000F39F6"/>
    <w:rsid w:val="000F3B4A"/>
    <w:rsid w:val="000F3C17"/>
    <w:rsid w:val="000F3E42"/>
    <w:rsid w:val="000F3EF1"/>
    <w:rsid w:val="000F43D7"/>
    <w:rsid w:val="000F4592"/>
    <w:rsid w:val="000F4675"/>
    <w:rsid w:val="000F4713"/>
    <w:rsid w:val="000F5267"/>
    <w:rsid w:val="000F5285"/>
    <w:rsid w:val="000F52E4"/>
    <w:rsid w:val="000F5B97"/>
    <w:rsid w:val="000F6128"/>
    <w:rsid w:val="000F6192"/>
    <w:rsid w:val="000F61DD"/>
    <w:rsid w:val="000F6261"/>
    <w:rsid w:val="000F680B"/>
    <w:rsid w:val="000F6CE0"/>
    <w:rsid w:val="000F74E1"/>
    <w:rsid w:val="000F7A6D"/>
    <w:rsid w:val="0010000F"/>
    <w:rsid w:val="001001AA"/>
    <w:rsid w:val="0010023E"/>
    <w:rsid w:val="0010062C"/>
    <w:rsid w:val="0010067E"/>
    <w:rsid w:val="00100823"/>
    <w:rsid w:val="001008CD"/>
    <w:rsid w:val="00100A29"/>
    <w:rsid w:val="00100BD8"/>
    <w:rsid w:val="00100E2A"/>
    <w:rsid w:val="00101B04"/>
    <w:rsid w:val="001020B6"/>
    <w:rsid w:val="001021BC"/>
    <w:rsid w:val="001021CB"/>
    <w:rsid w:val="001021F5"/>
    <w:rsid w:val="0010224B"/>
    <w:rsid w:val="00102637"/>
    <w:rsid w:val="00103298"/>
    <w:rsid w:val="001032F2"/>
    <w:rsid w:val="00103388"/>
    <w:rsid w:val="0010339A"/>
    <w:rsid w:val="0010346A"/>
    <w:rsid w:val="001034EE"/>
    <w:rsid w:val="00103DD4"/>
    <w:rsid w:val="00103FC4"/>
    <w:rsid w:val="001040E8"/>
    <w:rsid w:val="0010422A"/>
    <w:rsid w:val="00104358"/>
    <w:rsid w:val="00104552"/>
    <w:rsid w:val="00104955"/>
    <w:rsid w:val="00104C43"/>
    <w:rsid w:val="00104CAA"/>
    <w:rsid w:val="001053DC"/>
    <w:rsid w:val="0010557D"/>
    <w:rsid w:val="00105877"/>
    <w:rsid w:val="0010592B"/>
    <w:rsid w:val="00105C54"/>
    <w:rsid w:val="001061FC"/>
    <w:rsid w:val="00106352"/>
    <w:rsid w:val="0010683D"/>
    <w:rsid w:val="00106C61"/>
    <w:rsid w:val="00106E25"/>
    <w:rsid w:val="0010733C"/>
    <w:rsid w:val="00107A37"/>
    <w:rsid w:val="00107BAE"/>
    <w:rsid w:val="001100FB"/>
    <w:rsid w:val="00110191"/>
    <w:rsid w:val="00110ADE"/>
    <w:rsid w:val="00110D06"/>
    <w:rsid w:val="00110DBE"/>
    <w:rsid w:val="0011142E"/>
    <w:rsid w:val="00111693"/>
    <w:rsid w:val="00111F3F"/>
    <w:rsid w:val="00111FA2"/>
    <w:rsid w:val="00112266"/>
    <w:rsid w:val="0011256C"/>
    <w:rsid w:val="001125FF"/>
    <w:rsid w:val="00112CA4"/>
    <w:rsid w:val="00112D0F"/>
    <w:rsid w:val="00112E73"/>
    <w:rsid w:val="0011345B"/>
    <w:rsid w:val="001140DE"/>
    <w:rsid w:val="00114374"/>
    <w:rsid w:val="00114EAA"/>
    <w:rsid w:val="00114F73"/>
    <w:rsid w:val="00115083"/>
    <w:rsid w:val="001150DC"/>
    <w:rsid w:val="00115231"/>
    <w:rsid w:val="00115839"/>
    <w:rsid w:val="00115F13"/>
    <w:rsid w:val="00116528"/>
    <w:rsid w:val="00116D7D"/>
    <w:rsid w:val="00116F6E"/>
    <w:rsid w:val="00117003"/>
    <w:rsid w:val="0011709E"/>
    <w:rsid w:val="0011747F"/>
    <w:rsid w:val="00117799"/>
    <w:rsid w:val="00117E77"/>
    <w:rsid w:val="00117FB5"/>
    <w:rsid w:val="0012012F"/>
    <w:rsid w:val="00120212"/>
    <w:rsid w:val="00120A5C"/>
    <w:rsid w:val="00120F8A"/>
    <w:rsid w:val="001211D2"/>
    <w:rsid w:val="00121284"/>
    <w:rsid w:val="00121ADA"/>
    <w:rsid w:val="00122147"/>
    <w:rsid w:val="001222B0"/>
    <w:rsid w:val="0012268D"/>
    <w:rsid w:val="00122CAD"/>
    <w:rsid w:val="0012316E"/>
    <w:rsid w:val="00123566"/>
    <w:rsid w:val="0012360B"/>
    <w:rsid w:val="001237A5"/>
    <w:rsid w:val="00123B0F"/>
    <w:rsid w:val="00123BEA"/>
    <w:rsid w:val="00123E0F"/>
    <w:rsid w:val="00125270"/>
    <w:rsid w:val="001255B8"/>
    <w:rsid w:val="0012565D"/>
    <w:rsid w:val="0012572E"/>
    <w:rsid w:val="00125884"/>
    <w:rsid w:val="0012588A"/>
    <w:rsid w:val="00125B06"/>
    <w:rsid w:val="00125BD6"/>
    <w:rsid w:val="00125D62"/>
    <w:rsid w:val="00126045"/>
    <w:rsid w:val="00126983"/>
    <w:rsid w:val="00126A20"/>
    <w:rsid w:val="00126B9B"/>
    <w:rsid w:val="0012771D"/>
    <w:rsid w:val="00127FB1"/>
    <w:rsid w:val="0013043B"/>
    <w:rsid w:val="001305DF"/>
    <w:rsid w:val="00130B64"/>
    <w:rsid w:val="00130E24"/>
    <w:rsid w:val="001310BC"/>
    <w:rsid w:val="001313EF"/>
    <w:rsid w:val="00131410"/>
    <w:rsid w:val="00131884"/>
    <w:rsid w:val="00131D2D"/>
    <w:rsid w:val="00131EA7"/>
    <w:rsid w:val="0013208A"/>
    <w:rsid w:val="0013208B"/>
    <w:rsid w:val="0013282C"/>
    <w:rsid w:val="001328AF"/>
    <w:rsid w:val="00132EB2"/>
    <w:rsid w:val="001338A7"/>
    <w:rsid w:val="001339F4"/>
    <w:rsid w:val="00133DF1"/>
    <w:rsid w:val="001342B4"/>
    <w:rsid w:val="00134527"/>
    <w:rsid w:val="00134CA2"/>
    <w:rsid w:val="00134D6A"/>
    <w:rsid w:val="00135278"/>
    <w:rsid w:val="001353E0"/>
    <w:rsid w:val="00135520"/>
    <w:rsid w:val="001360F5"/>
    <w:rsid w:val="00136121"/>
    <w:rsid w:val="001363E8"/>
    <w:rsid w:val="00136BA8"/>
    <w:rsid w:val="001370C0"/>
    <w:rsid w:val="00137435"/>
    <w:rsid w:val="00137DFD"/>
    <w:rsid w:val="00137E5A"/>
    <w:rsid w:val="001407D3"/>
    <w:rsid w:val="00140CFF"/>
    <w:rsid w:val="001413AD"/>
    <w:rsid w:val="001414F7"/>
    <w:rsid w:val="001415AF"/>
    <w:rsid w:val="00141828"/>
    <w:rsid w:val="00141932"/>
    <w:rsid w:val="00141E5D"/>
    <w:rsid w:val="001428EE"/>
    <w:rsid w:val="00142DB8"/>
    <w:rsid w:val="001438FC"/>
    <w:rsid w:val="0014390F"/>
    <w:rsid w:val="00144083"/>
    <w:rsid w:val="00144B75"/>
    <w:rsid w:val="00144B99"/>
    <w:rsid w:val="00144D35"/>
    <w:rsid w:val="00144D48"/>
    <w:rsid w:val="00145376"/>
    <w:rsid w:val="0014577D"/>
    <w:rsid w:val="00145844"/>
    <w:rsid w:val="00145905"/>
    <w:rsid w:val="00145B3F"/>
    <w:rsid w:val="00146372"/>
    <w:rsid w:val="001465CE"/>
    <w:rsid w:val="001467D2"/>
    <w:rsid w:val="00146A73"/>
    <w:rsid w:val="00146B61"/>
    <w:rsid w:val="00146CDE"/>
    <w:rsid w:val="00146F51"/>
    <w:rsid w:val="001476EC"/>
    <w:rsid w:val="0014782A"/>
    <w:rsid w:val="00147D20"/>
    <w:rsid w:val="00147D4B"/>
    <w:rsid w:val="00147EAC"/>
    <w:rsid w:val="00147F4B"/>
    <w:rsid w:val="001501AA"/>
    <w:rsid w:val="0015085A"/>
    <w:rsid w:val="00150A6B"/>
    <w:rsid w:val="00150B35"/>
    <w:rsid w:val="00150C59"/>
    <w:rsid w:val="001510A8"/>
    <w:rsid w:val="001512C3"/>
    <w:rsid w:val="00151C22"/>
    <w:rsid w:val="00151ED6"/>
    <w:rsid w:val="001523C8"/>
    <w:rsid w:val="00152452"/>
    <w:rsid w:val="0015278F"/>
    <w:rsid w:val="001528CC"/>
    <w:rsid w:val="00152989"/>
    <w:rsid w:val="00152BF1"/>
    <w:rsid w:val="00152D0A"/>
    <w:rsid w:val="00152D1A"/>
    <w:rsid w:val="001531BE"/>
    <w:rsid w:val="00153496"/>
    <w:rsid w:val="00153590"/>
    <w:rsid w:val="00153612"/>
    <w:rsid w:val="001538F6"/>
    <w:rsid w:val="00153C1E"/>
    <w:rsid w:val="0015433A"/>
    <w:rsid w:val="001546B9"/>
    <w:rsid w:val="001547A4"/>
    <w:rsid w:val="00154CCB"/>
    <w:rsid w:val="0015521B"/>
    <w:rsid w:val="00155970"/>
    <w:rsid w:val="00155A08"/>
    <w:rsid w:val="00155A0E"/>
    <w:rsid w:val="00155AAD"/>
    <w:rsid w:val="00155F04"/>
    <w:rsid w:val="00156390"/>
    <w:rsid w:val="00156453"/>
    <w:rsid w:val="00156693"/>
    <w:rsid w:val="001566B0"/>
    <w:rsid w:val="00156984"/>
    <w:rsid w:val="00156DA9"/>
    <w:rsid w:val="00156E75"/>
    <w:rsid w:val="00157565"/>
    <w:rsid w:val="001577F9"/>
    <w:rsid w:val="00157C53"/>
    <w:rsid w:val="001602BD"/>
    <w:rsid w:val="001608BD"/>
    <w:rsid w:val="001615CF"/>
    <w:rsid w:val="00161A0A"/>
    <w:rsid w:val="00161D36"/>
    <w:rsid w:val="001620A5"/>
    <w:rsid w:val="00162162"/>
    <w:rsid w:val="00162B0A"/>
    <w:rsid w:val="00162EB2"/>
    <w:rsid w:val="00162F7B"/>
    <w:rsid w:val="001637C0"/>
    <w:rsid w:val="00163849"/>
    <w:rsid w:val="00163913"/>
    <w:rsid w:val="00163BBA"/>
    <w:rsid w:val="00163BF8"/>
    <w:rsid w:val="0016423C"/>
    <w:rsid w:val="0016493B"/>
    <w:rsid w:val="00164BA6"/>
    <w:rsid w:val="00165B35"/>
    <w:rsid w:val="00165C2E"/>
    <w:rsid w:val="00165E47"/>
    <w:rsid w:val="00166474"/>
    <w:rsid w:val="00166AC5"/>
    <w:rsid w:val="00166B49"/>
    <w:rsid w:val="00166B95"/>
    <w:rsid w:val="00167352"/>
    <w:rsid w:val="00167396"/>
    <w:rsid w:val="00167C01"/>
    <w:rsid w:val="00170B34"/>
    <w:rsid w:val="00170B6A"/>
    <w:rsid w:val="00170F58"/>
    <w:rsid w:val="00170F67"/>
    <w:rsid w:val="00171210"/>
    <w:rsid w:val="00171631"/>
    <w:rsid w:val="00171717"/>
    <w:rsid w:val="00171735"/>
    <w:rsid w:val="00171A27"/>
    <w:rsid w:val="00171FAD"/>
    <w:rsid w:val="0017201B"/>
    <w:rsid w:val="0017212A"/>
    <w:rsid w:val="001721D3"/>
    <w:rsid w:val="0017228F"/>
    <w:rsid w:val="0017291A"/>
    <w:rsid w:val="00172997"/>
    <w:rsid w:val="00172D72"/>
    <w:rsid w:val="001739CB"/>
    <w:rsid w:val="00173CC3"/>
    <w:rsid w:val="00174F44"/>
    <w:rsid w:val="00174F71"/>
    <w:rsid w:val="001750D9"/>
    <w:rsid w:val="001752E0"/>
    <w:rsid w:val="0017588E"/>
    <w:rsid w:val="00176838"/>
    <w:rsid w:val="00176B14"/>
    <w:rsid w:val="00176FAC"/>
    <w:rsid w:val="001770BA"/>
    <w:rsid w:val="00177E8A"/>
    <w:rsid w:val="001801FB"/>
    <w:rsid w:val="0018027C"/>
    <w:rsid w:val="0018057A"/>
    <w:rsid w:val="0018089B"/>
    <w:rsid w:val="001808A4"/>
    <w:rsid w:val="00180ADE"/>
    <w:rsid w:val="00181316"/>
    <w:rsid w:val="001817D8"/>
    <w:rsid w:val="00181AD8"/>
    <w:rsid w:val="00181ED4"/>
    <w:rsid w:val="00182180"/>
    <w:rsid w:val="0018223E"/>
    <w:rsid w:val="00182411"/>
    <w:rsid w:val="00182A65"/>
    <w:rsid w:val="001831E5"/>
    <w:rsid w:val="00183206"/>
    <w:rsid w:val="00183626"/>
    <w:rsid w:val="00183708"/>
    <w:rsid w:val="00183BA3"/>
    <w:rsid w:val="00183C6F"/>
    <w:rsid w:val="00183C8D"/>
    <w:rsid w:val="001840C2"/>
    <w:rsid w:val="001840DF"/>
    <w:rsid w:val="001849EB"/>
    <w:rsid w:val="00184E7C"/>
    <w:rsid w:val="00184F07"/>
    <w:rsid w:val="00185228"/>
    <w:rsid w:val="0018524C"/>
    <w:rsid w:val="0018564A"/>
    <w:rsid w:val="00185C8F"/>
    <w:rsid w:val="00185D3C"/>
    <w:rsid w:val="00185FAC"/>
    <w:rsid w:val="00186061"/>
    <w:rsid w:val="001867A3"/>
    <w:rsid w:val="00186D8F"/>
    <w:rsid w:val="001872DD"/>
    <w:rsid w:val="00187948"/>
    <w:rsid w:val="00187B0A"/>
    <w:rsid w:val="00187C06"/>
    <w:rsid w:val="001907B9"/>
    <w:rsid w:val="0019100A"/>
    <w:rsid w:val="00191041"/>
    <w:rsid w:val="001911CF"/>
    <w:rsid w:val="001912CA"/>
    <w:rsid w:val="0019131A"/>
    <w:rsid w:val="00191387"/>
    <w:rsid w:val="00191A6E"/>
    <w:rsid w:val="00191F08"/>
    <w:rsid w:val="0019244A"/>
    <w:rsid w:val="00192973"/>
    <w:rsid w:val="0019297A"/>
    <w:rsid w:val="00192D5F"/>
    <w:rsid w:val="00193420"/>
    <w:rsid w:val="00193432"/>
    <w:rsid w:val="00193EF5"/>
    <w:rsid w:val="00194209"/>
    <w:rsid w:val="001944DB"/>
    <w:rsid w:val="00194960"/>
    <w:rsid w:val="00195248"/>
    <w:rsid w:val="0019530C"/>
    <w:rsid w:val="001953CC"/>
    <w:rsid w:val="0019544A"/>
    <w:rsid w:val="0019545D"/>
    <w:rsid w:val="00195B27"/>
    <w:rsid w:val="00195DF8"/>
    <w:rsid w:val="00196174"/>
    <w:rsid w:val="00196AB2"/>
    <w:rsid w:val="00196C92"/>
    <w:rsid w:val="0019712B"/>
    <w:rsid w:val="001979E1"/>
    <w:rsid w:val="001A02DB"/>
    <w:rsid w:val="001A03CC"/>
    <w:rsid w:val="001A05FD"/>
    <w:rsid w:val="001A0645"/>
    <w:rsid w:val="001A07A6"/>
    <w:rsid w:val="001A0C4E"/>
    <w:rsid w:val="001A0E6D"/>
    <w:rsid w:val="001A12A0"/>
    <w:rsid w:val="001A1AC7"/>
    <w:rsid w:val="001A210B"/>
    <w:rsid w:val="001A2159"/>
    <w:rsid w:val="001A21B9"/>
    <w:rsid w:val="001A2567"/>
    <w:rsid w:val="001A2A4E"/>
    <w:rsid w:val="001A2C7E"/>
    <w:rsid w:val="001A33AA"/>
    <w:rsid w:val="001A3834"/>
    <w:rsid w:val="001A39AE"/>
    <w:rsid w:val="001A414A"/>
    <w:rsid w:val="001A434F"/>
    <w:rsid w:val="001A454F"/>
    <w:rsid w:val="001A4B73"/>
    <w:rsid w:val="001A4C03"/>
    <w:rsid w:val="001A4D24"/>
    <w:rsid w:val="001A4DDE"/>
    <w:rsid w:val="001A4E6F"/>
    <w:rsid w:val="001A4FAB"/>
    <w:rsid w:val="001A5317"/>
    <w:rsid w:val="001A5656"/>
    <w:rsid w:val="001A57A4"/>
    <w:rsid w:val="001A5A9C"/>
    <w:rsid w:val="001A5B4B"/>
    <w:rsid w:val="001A5C17"/>
    <w:rsid w:val="001A62A1"/>
    <w:rsid w:val="001A650F"/>
    <w:rsid w:val="001A6744"/>
    <w:rsid w:val="001A695A"/>
    <w:rsid w:val="001A6A50"/>
    <w:rsid w:val="001A6B75"/>
    <w:rsid w:val="001A7046"/>
    <w:rsid w:val="001A7546"/>
    <w:rsid w:val="001A768C"/>
    <w:rsid w:val="001B0089"/>
    <w:rsid w:val="001B0223"/>
    <w:rsid w:val="001B0315"/>
    <w:rsid w:val="001B11BF"/>
    <w:rsid w:val="001B206A"/>
    <w:rsid w:val="001B360B"/>
    <w:rsid w:val="001B39E1"/>
    <w:rsid w:val="001B3BEA"/>
    <w:rsid w:val="001B3CC9"/>
    <w:rsid w:val="001B3F57"/>
    <w:rsid w:val="001B4096"/>
    <w:rsid w:val="001B40A9"/>
    <w:rsid w:val="001B538F"/>
    <w:rsid w:val="001B5615"/>
    <w:rsid w:val="001B577D"/>
    <w:rsid w:val="001B5D73"/>
    <w:rsid w:val="001B5D83"/>
    <w:rsid w:val="001B600E"/>
    <w:rsid w:val="001B671C"/>
    <w:rsid w:val="001B67F4"/>
    <w:rsid w:val="001B6B8D"/>
    <w:rsid w:val="001B6E91"/>
    <w:rsid w:val="001B700A"/>
    <w:rsid w:val="001B70A0"/>
    <w:rsid w:val="001B70F8"/>
    <w:rsid w:val="001B712C"/>
    <w:rsid w:val="001B7202"/>
    <w:rsid w:val="001B72E2"/>
    <w:rsid w:val="001B794F"/>
    <w:rsid w:val="001B7A16"/>
    <w:rsid w:val="001B7A96"/>
    <w:rsid w:val="001B7CB7"/>
    <w:rsid w:val="001C0E0A"/>
    <w:rsid w:val="001C0E55"/>
    <w:rsid w:val="001C0FDC"/>
    <w:rsid w:val="001C158A"/>
    <w:rsid w:val="001C1A2D"/>
    <w:rsid w:val="001C1AF1"/>
    <w:rsid w:val="001C1F3D"/>
    <w:rsid w:val="001C219E"/>
    <w:rsid w:val="001C23D6"/>
    <w:rsid w:val="001C2430"/>
    <w:rsid w:val="001C24ED"/>
    <w:rsid w:val="001C2517"/>
    <w:rsid w:val="001C2561"/>
    <w:rsid w:val="001C2C96"/>
    <w:rsid w:val="001C3320"/>
    <w:rsid w:val="001C33C1"/>
    <w:rsid w:val="001C368F"/>
    <w:rsid w:val="001C3757"/>
    <w:rsid w:val="001C38D8"/>
    <w:rsid w:val="001C3971"/>
    <w:rsid w:val="001C398C"/>
    <w:rsid w:val="001C3FCE"/>
    <w:rsid w:val="001C4C3F"/>
    <w:rsid w:val="001C51D3"/>
    <w:rsid w:val="001C5547"/>
    <w:rsid w:val="001C55F5"/>
    <w:rsid w:val="001C5959"/>
    <w:rsid w:val="001C5F75"/>
    <w:rsid w:val="001C622D"/>
    <w:rsid w:val="001C64D4"/>
    <w:rsid w:val="001C6639"/>
    <w:rsid w:val="001C6D72"/>
    <w:rsid w:val="001C7685"/>
    <w:rsid w:val="001C78FF"/>
    <w:rsid w:val="001C7F5F"/>
    <w:rsid w:val="001D0AB9"/>
    <w:rsid w:val="001D0AFE"/>
    <w:rsid w:val="001D0FF8"/>
    <w:rsid w:val="001D13B9"/>
    <w:rsid w:val="001D1AAB"/>
    <w:rsid w:val="001D2104"/>
    <w:rsid w:val="001D223D"/>
    <w:rsid w:val="001D2283"/>
    <w:rsid w:val="001D2814"/>
    <w:rsid w:val="001D2B13"/>
    <w:rsid w:val="001D2F81"/>
    <w:rsid w:val="001D3299"/>
    <w:rsid w:val="001D33BF"/>
    <w:rsid w:val="001D369F"/>
    <w:rsid w:val="001D3869"/>
    <w:rsid w:val="001D3AE0"/>
    <w:rsid w:val="001D3BDD"/>
    <w:rsid w:val="001D3C36"/>
    <w:rsid w:val="001D401E"/>
    <w:rsid w:val="001D43AD"/>
    <w:rsid w:val="001D4896"/>
    <w:rsid w:val="001D4C0F"/>
    <w:rsid w:val="001D4E1E"/>
    <w:rsid w:val="001D519A"/>
    <w:rsid w:val="001D51C9"/>
    <w:rsid w:val="001D5223"/>
    <w:rsid w:val="001D5991"/>
    <w:rsid w:val="001D59D2"/>
    <w:rsid w:val="001D5C33"/>
    <w:rsid w:val="001D5D35"/>
    <w:rsid w:val="001D5D74"/>
    <w:rsid w:val="001D67C1"/>
    <w:rsid w:val="001D72C2"/>
    <w:rsid w:val="001D74C6"/>
    <w:rsid w:val="001D7514"/>
    <w:rsid w:val="001D7C63"/>
    <w:rsid w:val="001D7FB0"/>
    <w:rsid w:val="001E01DC"/>
    <w:rsid w:val="001E028B"/>
    <w:rsid w:val="001E0474"/>
    <w:rsid w:val="001E0731"/>
    <w:rsid w:val="001E0D88"/>
    <w:rsid w:val="001E0F9B"/>
    <w:rsid w:val="001E0FC1"/>
    <w:rsid w:val="001E118F"/>
    <w:rsid w:val="001E121F"/>
    <w:rsid w:val="001E16AB"/>
    <w:rsid w:val="001E1CA0"/>
    <w:rsid w:val="001E21CC"/>
    <w:rsid w:val="001E243D"/>
    <w:rsid w:val="001E26F0"/>
    <w:rsid w:val="001E2C4C"/>
    <w:rsid w:val="001E2D09"/>
    <w:rsid w:val="001E2F42"/>
    <w:rsid w:val="001E2F84"/>
    <w:rsid w:val="001E3715"/>
    <w:rsid w:val="001E4B66"/>
    <w:rsid w:val="001E4C75"/>
    <w:rsid w:val="001E4D0A"/>
    <w:rsid w:val="001E4ED2"/>
    <w:rsid w:val="001E4FA6"/>
    <w:rsid w:val="001E529C"/>
    <w:rsid w:val="001E579B"/>
    <w:rsid w:val="001E5C20"/>
    <w:rsid w:val="001E5DFC"/>
    <w:rsid w:val="001E5E4F"/>
    <w:rsid w:val="001E68A5"/>
    <w:rsid w:val="001E698E"/>
    <w:rsid w:val="001E6EBE"/>
    <w:rsid w:val="001E733B"/>
    <w:rsid w:val="001E757A"/>
    <w:rsid w:val="001E7950"/>
    <w:rsid w:val="001E7CA2"/>
    <w:rsid w:val="001F0311"/>
    <w:rsid w:val="001F052B"/>
    <w:rsid w:val="001F0FFF"/>
    <w:rsid w:val="001F18AE"/>
    <w:rsid w:val="001F1CBE"/>
    <w:rsid w:val="001F1D67"/>
    <w:rsid w:val="001F1F83"/>
    <w:rsid w:val="001F222D"/>
    <w:rsid w:val="001F2297"/>
    <w:rsid w:val="001F23A1"/>
    <w:rsid w:val="001F23D3"/>
    <w:rsid w:val="001F2437"/>
    <w:rsid w:val="001F2A15"/>
    <w:rsid w:val="001F363B"/>
    <w:rsid w:val="001F3BD0"/>
    <w:rsid w:val="001F3D16"/>
    <w:rsid w:val="001F40D8"/>
    <w:rsid w:val="001F4C94"/>
    <w:rsid w:val="001F5134"/>
    <w:rsid w:val="001F5278"/>
    <w:rsid w:val="001F589C"/>
    <w:rsid w:val="001F592D"/>
    <w:rsid w:val="001F5F3A"/>
    <w:rsid w:val="001F67D9"/>
    <w:rsid w:val="001F6D05"/>
    <w:rsid w:val="001F6ED2"/>
    <w:rsid w:val="001F6F4D"/>
    <w:rsid w:val="001F7226"/>
    <w:rsid w:val="001F730A"/>
    <w:rsid w:val="00200074"/>
    <w:rsid w:val="00200178"/>
    <w:rsid w:val="0020095B"/>
    <w:rsid w:val="00200B87"/>
    <w:rsid w:val="00200DE3"/>
    <w:rsid w:val="00200F77"/>
    <w:rsid w:val="00201330"/>
    <w:rsid w:val="00201729"/>
    <w:rsid w:val="002018EC"/>
    <w:rsid w:val="0020197F"/>
    <w:rsid w:val="002019B8"/>
    <w:rsid w:val="00202238"/>
    <w:rsid w:val="0020234E"/>
    <w:rsid w:val="002023D6"/>
    <w:rsid w:val="0020285E"/>
    <w:rsid w:val="00202BA1"/>
    <w:rsid w:val="00203254"/>
    <w:rsid w:val="002032F9"/>
    <w:rsid w:val="00203369"/>
    <w:rsid w:val="002034FD"/>
    <w:rsid w:val="00203888"/>
    <w:rsid w:val="00203A0D"/>
    <w:rsid w:val="00203AEA"/>
    <w:rsid w:val="00204120"/>
    <w:rsid w:val="0020412A"/>
    <w:rsid w:val="00204516"/>
    <w:rsid w:val="002049F3"/>
    <w:rsid w:val="00205589"/>
    <w:rsid w:val="00205657"/>
    <w:rsid w:val="002057CA"/>
    <w:rsid w:val="00205DF8"/>
    <w:rsid w:val="00205F82"/>
    <w:rsid w:val="002061A9"/>
    <w:rsid w:val="00206466"/>
    <w:rsid w:val="00206484"/>
    <w:rsid w:val="00206C5B"/>
    <w:rsid w:val="00206E3C"/>
    <w:rsid w:val="0020727F"/>
    <w:rsid w:val="00207B5F"/>
    <w:rsid w:val="00207C85"/>
    <w:rsid w:val="00207D43"/>
    <w:rsid w:val="00210116"/>
    <w:rsid w:val="002101D9"/>
    <w:rsid w:val="00210B35"/>
    <w:rsid w:val="0021107B"/>
    <w:rsid w:val="002122B0"/>
    <w:rsid w:val="00212554"/>
    <w:rsid w:val="0021279C"/>
    <w:rsid w:val="00212A28"/>
    <w:rsid w:val="002131D6"/>
    <w:rsid w:val="002134E3"/>
    <w:rsid w:val="0021375B"/>
    <w:rsid w:val="00213946"/>
    <w:rsid w:val="00213E23"/>
    <w:rsid w:val="002142AF"/>
    <w:rsid w:val="002147A4"/>
    <w:rsid w:val="00214B47"/>
    <w:rsid w:val="00214E32"/>
    <w:rsid w:val="00214FC2"/>
    <w:rsid w:val="002151AB"/>
    <w:rsid w:val="00215A3C"/>
    <w:rsid w:val="00215A63"/>
    <w:rsid w:val="002169F4"/>
    <w:rsid w:val="0021765D"/>
    <w:rsid w:val="002177C3"/>
    <w:rsid w:val="00217E8A"/>
    <w:rsid w:val="00220239"/>
    <w:rsid w:val="00220305"/>
    <w:rsid w:val="002208B8"/>
    <w:rsid w:val="00220AE4"/>
    <w:rsid w:val="00220CA5"/>
    <w:rsid w:val="00220D0E"/>
    <w:rsid w:val="00220D50"/>
    <w:rsid w:val="002211EE"/>
    <w:rsid w:val="0022122E"/>
    <w:rsid w:val="0022123A"/>
    <w:rsid w:val="0022164E"/>
    <w:rsid w:val="0022178C"/>
    <w:rsid w:val="00221B88"/>
    <w:rsid w:val="00221E00"/>
    <w:rsid w:val="00221F3C"/>
    <w:rsid w:val="00222075"/>
    <w:rsid w:val="0022214C"/>
    <w:rsid w:val="002228FE"/>
    <w:rsid w:val="0022363B"/>
    <w:rsid w:val="00223691"/>
    <w:rsid w:val="002237A4"/>
    <w:rsid w:val="00223EBF"/>
    <w:rsid w:val="00223F5B"/>
    <w:rsid w:val="002241E0"/>
    <w:rsid w:val="00224241"/>
    <w:rsid w:val="002243C1"/>
    <w:rsid w:val="0022490F"/>
    <w:rsid w:val="00224C36"/>
    <w:rsid w:val="00224C37"/>
    <w:rsid w:val="00225491"/>
    <w:rsid w:val="00225A12"/>
    <w:rsid w:val="00225BEF"/>
    <w:rsid w:val="002260E6"/>
    <w:rsid w:val="00226629"/>
    <w:rsid w:val="0022710E"/>
    <w:rsid w:val="00227699"/>
    <w:rsid w:val="00227F57"/>
    <w:rsid w:val="00227FEE"/>
    <w:rsid w:val="002307AE"/>
    <w:rsid w:val="00230B93"/>
    <w:rsid w:val="00230C6F"/>
    <w:rsid w:val="00230DB1"/>
    <w:rsid w:val="0023141B"/>
    <w:rsid w:val="00231A61"/>
    <w:rsid w:val="00231BBD"/>
    <w:rsid w:val="00231E2A"/>
    <w:rsid w:val="0023218A"/>
    <w:rsid w:val="002322C2"/>
    <w:rsid w:val="002323F1"/>
    <w:rsid w:val="00232D4E"/>
    <w:rsid w:val="00232E5D"/>
    <w:rsid w:val="00233322"/>
    <w:rsid w:val="00233BD5"/>
    <w:rsid w:val="00233D1A"/>
    <w:rsid w:val="00233F89"/>
    <w:rsid w:val="00233FE1"/>
    <w:rsid w:val="00234606"/>
    <w:rsid w:val="00234AF4"/>
    <w:rsid w:val="00235293"/>
    <w:rsid w:val="0023530C"/>
    <w:rsid w:val="00235361"/>
    <w:rsid w:val="002353E0"/>
    <w:rsid w:val="002353F0"/>
    <w:rsid w:val="00235599"/>
    <w:rsid w:val="00235782"/>
    <w:rsid w:val="00235F3F"/>
    <w:rsid w:val="00236225"/>
    <w:rsid w:val="00236286"/>
    <w:rsid w:val="00236F24"/>
    <w:rsid w:val="00237171"/>
    <w:rsid w:val="00237538"/>
    <w:rsid w:val="00237A5D"/>
    <w:rsid w:val="00237CF4"/>
    <w:rsid w:val="00240170"/>
    <w:rsid w:val="00240292"/>
    <w:rsid w:val="00240B30"/>
    <w:rsid w:val="00241266"/>
    <w:rsid w:val="00241607"/>
    <w:rsid w:val="002416AD"/>
    <w:rsid w:val="00242795"/>
    <w:rsid w:val="00242800"/>
    <w:rsid w:val="00242C36"/>
    <w:rsid w:val="00242CC8"/>
    <w:rsid w:val="002433E8"/>
    <w:rsid w:val="002439B5"/>
    <w:rsid w:val="00243B15"/>
    <w:rsid w:val="00243BC3"/>
    <w:rsid w:val="00243C48"/>
    <w:rsid w:val="00243C58"/>
    <w:rsid w:val="00244302"/>
    <w:rsid w:val="002444E8"/>
    <w:rsid w:val="00244676"/>
    <w:rsid w:val="002446D9"/>
    <w:rsid w:val="00244E4E"/>
    <w:rsid w:val="00245422"/>
    <w:rsid w:val="00245929"/>
    <w:rsid w:val="00245A3F"/>
    <w:rsid w:val="00245A66"/>
    <w:rsid w:val="00245AC4"/>
    <w:rsid w:val="002462BD"/>
    <w:rsid w:val="002465FF"/>
    <w:rsid w:val="002471C4"/>
    <w:rsid w:val="00247396"/>
    <w:rsid w:val="002474A3"/>
    <w:rsid w:val="00247B49"/>
    <w:rsid w:val="00247F7A"/>
    <w:rsid w:val="002503D2"/>
    <w:rsid w:val="00250761"/>
    <w:rsid w:val="00250B4B"/>
    <w:rsid w:val="00250E45"/>
    <w:rsid w:val="00250F37"/>
    <w:rsid w:val="00251101"/>
    <w:rsid w:val="00251430"/>
    <w:rsid w:val="00251A7F"/>
    <w:rsid w:val="00251CA7"/>
    <w:rsid w:val="00252750"/>
    <w:rsid w:val="002528B2"/>
    <w:rsid w:val="00252AA4"/>
    <w:rsid w:val="00252DA9"/>
    <w:rsid w:val="00252F17"/>
    <w:rsid w:val="00253B58"/>
    <w:rsid w:val="00253BAE"/>
    <w:rsid w:val="00253EF7"/>
    <w:rsid w:val="00254388"/>
    <w:rsid w:val="002549C2"/>
    <w:rsid w:val="00254A52"/>
    <w:rsid w:val="00254BE0"/>
    <w:rsid w:val="00255224"/>
    <w:rsid w:val="00255351"/>
    <w:rsid w:val="002554C0"/>
    <w:rsid w:val="002557B5"/>
    <w:rsid w:val="00255994"/>
    <w:rsid w:val="002559A4"/>
    <w:rsid w:val="00255B0A"/>
    <w:rsid w:val="00255B49"/>
    <w:rsid w:val="002561A3"/>
    <w:rsid w:val="0025627A"/>
    <w:rsid w:val="0025639E"/>
    <w:rsid w:val="002568D0"/>
    <w:rsid w:val="00256ACB"/>
    <w:rsid w:val="00256CD4"/>
    <w:rsid w:val="00257123"/>
    <w:rsid w:val="00257761"/>
    <w:rsid w:val="00257C55"/>
    <w:rsid w:val="00257F45"/>
    <w:rsid w:val="00260552"/>
    <w:rsid w:val="00260F03"/>
    <w:rsid w:val="00261638"/>
    <w:rsid w:val="00261B22"/>
    <w:rsid w:val="0026247B"/>
    <w:rsid w:val="002632D5"/>
    <w:rsid w:val="002632FB"/>
    <w:rsid w:val="00263457"/>
    <w:rsid w:val="00263EFA"/>
    <w:rsid w:val="0026449D"/>
    <w:rsid w:val="00264DB4"/>
    <w:rsid w:val="00264F0A"/>
    <w:rsid w:val="002650CF"/>
    <w:rsid w:val="0026510C"/>
    <w:rsid w:val="002652CB"/>
    <w:rsid w:val="0026551E"/>
    <w:rsid w:val="00266397"/>
    <w:rsid w:val="00266436"/>
    <w:rsid w:val="002665A8"/>
    <w:rsid w:val="00266647"/>
    <w:rsid w:val="00267423"/>
    <w:rsid w:val="00267630"/>
    <w:rsid w:val="00267848"/>
    <w:rsid w:val="00267BD3"/>
    <w:rsid w:val="00267DD5"/>
    <w:rsid w:val="00270867"/>
    <w:rsid w:val="002708C4"/>
    <w:rsid w:val="00270D4E"/>
    <w:rsid w:val="00271732"/>
    <w:rsid w:val="0027175A"/>
    <w:rsid w:val="002717CC"/>
    <w:rsid w:val="00271903"/>
    <w:rsid w:val="00272299"/>
    <w:rsid w:val="00272927"/>
    <w:rsid w:val="0027306D"/>
    <w:rsid w:val="00273448"/>
    <w:rsid w:val="00273945"/>
    <w:rsid w:val="00273F12"/>
    <w:rsid w:val="00274640"/>
    <w:rsid w:val="002746E3"/>
    <w:rsid w:val="002747C1"/>
    <w:rsid w:val="00274A2C"/>
    <w:rsid w:val="00274BAF"/>
    <w:rsid w:val="00274E08"/>
    <w:rsid w:val="0027543F"/>
    <w:rsid w:val="002754AD"/>
    <w:rsid w:val="00275DC3"/>
    <w:rsid w:val="00275E66"/>
    <w:rsid w:val="00275FF0"/>
    <w:rsid w:val="002762EE"/>
    <w:rsid w:val="002768AE"/>
    <w:rsid w:val="00276B65"/>
    <w:rsid w:val="0027706D"/>
    <w:rsid w:val="0027728C"/>
    <w:rsid w:val="0027728E"/>
    <w:rsid w:val="0027750C"/>
    <w:rsid w:val="00277580"/>
    <w:rsid w:val="00277D2F"/>
    <w:rsid w:val="00280785"/>
    <w:rsid w:val="00280C09"/>
    <w:rsid w:val="00280C8B"/>
    <w:rsid w:val="00281266"/>
    <w:rsid w:val="00281609"/>
    <w:rsid w:val="00281A79"/>
    <w:rsid w:val="00281B09"/>
    <w:rsid w:val="00281B93"/>
    <w:rsid w:val="002821CF"/>
    <w:rsid w:val="0028229E"/>
    <w:rsid w:val="00282994"/>
    <w:rsid w:val="0028382E"/>
    <w:rsid w:val="00283909"/>
    <w:rsid w:val="00283DBD"/>
    <w:rsid w:val="00283EB4"/>
    <w:rsid w:val="0028410B"/>
    <w:rsid w:val="0028470D"/>
    <w:rsid w:val="00284FBB"/>
    <w:rsid w:val="002855AF"/>
    <w:rsid w:val="00285F89"/>
    <w:rsid w:val="00286AA9"/>
    <w:rsid w:val="00286BF8"/>
    <w:rsid w:val="00286FFC"/>
    <w:rsid w:val="002874B7"/>
    <w:rsid w:val="0028788C"/>
    <w:rsid w:val="00290184"/>
    <w:rsid w:val="002902BD"/>
    <w:rsid w:val="0029050F"/>
    <w:rsid w:val="00290B95"/>
    <w:rsid w:val="00290ED5"/>
    <w:rsid w:val="002913DE"/>
    <w:rsid w:val="00291C8C"/>
    <w:rsid w:val="00291D84"/>
    <w:rsid w:val="00291FAD"/>
    <w:rsid w:val="0029223A"/>
    <w:rsid w:val="0029274B"/>
    <w:rsid w:val="002927F5"/>
    <w:rsid w:val="00292B3F"/>
    <w:rsid w:val="00293006"/>
    <w:rsid w:val="0029368A"/>
    <w:rsid w:val="002939D2"/>
    <w:rsid w:val="00293A6C"/>
    <w:rsid w:val="00293D2C"/>
    <w:rsid w:val="00294351"/>
    <w:rsid w:val="00294B84"/>
    <w:rsid w:val="00294E24"/>
    <w:rsid w:val="00295150"/>
    <w:rsid w:val="002953BA"/>
    <w:rsid w:val="002955EE"/>
    <w:rsid w:val="002959ED"/>
    <w:rsid w:val="00295AB9"/>
    <w:rsid w:val="00295FFB"/>
    <w:rsid w:val="00296035"/>
    <w:rsid w:val="0029611E"/>
    <w:rsid w:val="00296660"/>
    <w:rsid w:val="0029679F"/>
    <w:rsid w:val="0029694C"/>
    <w:rsid w:val="00296A6E"/>
    <w:rsid w:val="002973CF"/>
    <w:rsid w:val="00297611"/>
    <w:rsid w:val="002978DA"/>
    <w:rsid w:val="002979B3"/>
    <w:rsid w:val="002A0130"/>
    <w:rsid w:val="002A069D"/>
    <w:rsid w:val="002A0826"/>
    <w:rsid w:val="002A11F7"/>
    <w:rsid w:val="002A1550"/>
    <w:rsid w:val="002A192A"/>
    <w:rsid w:val="002A1FA4"/>
    <w:rsid w:val="002A1FBD"/>
    <w:rsid w:val="002A252F"/>
    <w:rsid w:val="002A2571"/>
    <w:rsid w:val="002A289C"/>
    <w:rsid w:val="002A2D5F"/>
    <w:rsid w:val="002A2F2C"/>
    <w:rsid w:val="002A2FA9"/>
    <w:rsid w:val="002A30D4"/>
    <w:rsid w:val="002A313B"/>
    <w:rsid w:val="002A342B"/>
    <w:rsid w:val="002A399E"/>
    <w:rsid w:val="002A3A85"/>
    <w:rsid w:val="002A3AC1"/>
    <w:rsid w:val="002A3BB9"/>
    <w:rsid w:val="002A3F81"/>
    <w:rsid w:val="002A4177"/>
    <w:rsid w:val="002A428C"/>
    <w:rsid w:val="002A45BC"/>
    <w:rsid w:val="002A4805"/>
    <w:rsid w:val="002A48E2"/>
    <w:rsid w:val="002A5208"/>
    <w:rsid w:val="002A5365"/>
    <w:rsid w:val="002A5473"/>
    <w:rsid w:val="002A57EB"/>
    <w:rsid w:val="002A5FAF"/>
    <w:rsid w:val="002A6AF7"/>
    <w:rsid w:val="002A6BAD"/>
    <w:rsid w:val="002A6BFF"/>
    <w:rsid w:val="002A6D3D"/>
    <w:rsid w:val="002A719D"/>
    <w:rsid w:val="002A720D"/>
    <w:rsid w:val="002A745A"/>
    <w:rsid w:val="002A746D"/>
    <w:rsid w:val="002A7479"/>
    <w:rsid w:val="002A75E7"/>
    <w:rsid w:val="002A7721"/>
    <w:rsid w:val="002A7856"/>
    <w:rsid w:val="002A78D1"/>
    <w:rsid w:val="002A79CD"/>
    <w:rsid w:val="002A7E18"/>
    <w:rsid w:val="002A7E96"/>
    <w:rsid w:val="002B0045"/>
    <w:rsid w:val="002B0102"/>
    <w:rsid w:val="002B01A2"/>
    <w:rsid w:val="002B0D7C"/>
    <w:rsid w:val="002B142D"/>
    <w:rsid w:val="002B1BD2"/>
    <w:rsid w:val="002B238A"/>
    <w:rsid w:val="002B23AF"/>
    <w:rsid w:val="002B268D"/>
    <w:rsid w:val="002B2EFD"/>
    <w:rsid w:val="002B2F39"/>
    <w:rsid w:val="002B324C"/>
    <w:rsid w:val="002B329B"/>
    <w:rsid w:val="002B3316"/>
    <w:rsid w:val="002B35D0"/>
    <w:rsid w:val="002B3889"/>
    <w:rsid w:val="002B3A82"/>
    <w:rsid w:val="002B3E27"/>
    <w:rsid w:val="002B3E7A"/>
    <w:rsid w:val="002B4394"/>
    <w:rsid w:val="002B446D"/>
    <w:rsid w:val="002B4594"/>
    <w:rsid w:val="002B480E"/>
    <w:rsid w:val="002B59C4"/>
    <w:rsid w:val="002B5C1D"/>
    <w:rsid w:val="002B5CF0"/>
    <w:rsid w:val="002B5DFD"/>
    <w:rsid w:val="002B5E28"/>
    <w:rsid w:val="002B6909"/>
    <w:rsid w:val="002B6FD5"/>
    <w:rsid w:val="002B7080"/>
    <w:rsid w:val="002B733E"/>
    <w:rsid w:val="002B7583"/>
    <w:rsid w:val="002B7594"/>
    <w:rsid w:val="002B7896"/>
    <w:rsid w:val="002B7A3F"/>
    <w:rsid w:val="002C0A1C"/>
    <w:rsid w:val="002C0A3B"/>
    <w:rsid w:val="002C0B50"/>
    <w:rsid w:val="002C0DA6"/>
    <w:rsid w:val="002C1081"/>
    <w:rsid w:val="002C1220"/>
    <w:rsid w:val="002C1326"/>
    <w:rsid w:val="002C1410"/>
    <w:rsid w:val="002C1553"/>
    <w:rsid w:val="002C329F"/>
    <w:rsid w:val="002C3492"/>
    <w:rsid w:val="002C411B"/>
    <w:rsid w:val="002C4171"/>
    <w:rsid w:val="002C4ADB"/>
    <w:rsid w:val="002C5128"/>
    <w:rsid w:val="002C51EA"/>
    <w:rsid w:val="002C542B"/>
    <w:rsid w:val="002C562F"/>
    <w:rsid w:val="002C5689"/>
    <w:rsid w:val="002C56D8"/>
    <w:rsid w:val="002C5B49"/>
    <w:rsid w:val="002C5C54"/>
    <w:rsid w:val="002C5D59"/>
    <w:rsid w:val="002C5DD9"/>
    <w:rsid w:val="002C683C"/>
    <w:rsid w:val="002C6CDC"/>
    <w:rsid w:val="002C6D4F"/>
    <w:rsid w:val="002C713E"/>
    <w:rsid w:val="002C71E5"/>
    <w:rsid w:val="002C7205"/>
    <w:rsid w:val="002C727E"/>
    <w:rsid w:val="002D023C"/>
    <w:rsid w:val="002D0388"/>
    <w:rsid w:val="002D0509"/>
    <w:rsid w:val="002D0889"/>
    <w:rsid w:val="002D0B23"/>
    <w:rsid w:val="002D0EF3"/>
    <w:rsid w:val="002D14BB"/>
    <w:rsid w:val="002D1509"/>
    <w:rsid w:val="002D29D5"/>
    <w:rsid w:val="002D2A39"/>
    <w:rsid w:val="002D3275"/>
    <w:rsid w:val="002D4265"/>
    <w:rsid w:val="002D43B5"/>
    <w:rsid w:val="002D43C1"/>
    <w:rsid w:val="002D4442"/>
    <w:rsid w:val="002D44C4"/>
    <w:rsid w:val="002D4784"/>
    <w:rsid w:val="002D486D"/>
    <w:rsid w:val="002D4AD1"/>
    <w:rsid w:val="002D5288"/>
    <w:rsid w:val="002D5B89"/>
    <w:rsid w:val="002D5F02"/>
    <w:rsid w:val="002D60EB"/>
    <w:rsid w:val="002D6356"/>
    <w:rsid w:val="002D65C7"/>
    <w:rsid w:val="002D65D1"/>
    <w:rsid w:val="002D6B78"/>
    <w:rsid w:val="002D6BAC"/>
    <w:rsid w:val="002D6C37"/>
    <w:rsid w:val="002D6D72"/>
    <w:rsid w:val="002D6D97"/>
    <w:rsid w:val="002D704C"/>
    <w:rsid w:val="002D7319"/>
    <w:rsid w:val="002D7F0D"/>
    <w:rsid w:val="002E0297"/>
    <w:rsid w:val="002E10A2"/>
    <w:rsid w:val="002E13B0"/>
    <w:rsid w:val="002E17A5"/>
    <w:rsid w:val="002E1996"/>
    <w:rsid w:val="002E19E4"/>
    <w:rsid w:val="002E1DC3"/>
    <w:rsid w:val="002E23D4"/>
    <w:rsid w:val="002E23E9"/>
    <w:rsid w:val="002E2747"/>
    <w:rsid w:val="002E28E9"/>
    <w:rsid w:val="002E365D"/>
    <w:rsid w:val="002E40BF"/>
    <w:rsid w:val="002E42D0"/>
    <w:rsid w:val="002E4323"/>
    <w:rsid w:val="002E4454"/>
    <w:rsid w:val="002E4B65"/>
    <w:rsid w:val="002E4F3D"/>
    <w:rsid w:val="002E5098"/>
    <w:rsid w:val="002E5421"/>
    <w:rsid w:val="002E58EE"/>
    <w:rsid w:val="002E5D9D"/>
    <w:rsid w:val="002E6336"/>
    <w:rsid w:val="002E64B6"/>
    <w:rsid w:val="002E6659"/>
    <w:rsid w:val="002E6CC7"/>
    <w:rsid w:val="002E72F8"/>
    <w:rsid w:val="002E78EC"/>
    <w:rsid w:val="002E7AE3"/>
    <w:rsid w:val="002F03F8"/>
    <w:rsid w:val="002F0485"/>
    <w:rsid w:val="002F0630"/>
    <w:rsid w:val="002F08CD"/>
    <w:rsid w:val="002F0EF4"/>
    <w:rsid w:val="002F17AC"/>
    <w:rsid w:val="002F19E7"/>
    <w:rsid w:val="002F1A1A"/>
    <w:rsid w:val="002F1CF7"/>
    <w:rsid w:val="002F23E9"/>
    <w:rsid w:val="002F2A56"/>
    <w:rsid w:val="002F39AF"/>
    <w:rsid w:val="002F39C9"/>
    <w:rsid w:val="002F3DFC"/>
    <w:rsid w:val="002F3E2E"/>
    <w:rsid w:val="002F42AD"/>
    <w:rsid w:val="002F4755"/>
    <w:rsid w:val="002F5158"/>
    <w:rsid w:val="002F520A"/>
    <w:rsid w:val="002F5363"/>
    <w:rsid w:val="002F62EC"/>
    <w:rsid w:val="002F659B"/>
    <w:rsid w:val="002F65BB"/>
    <w:rsid w:val="002F697C"/>
    <w:rsid w:val="002F6BC7"/>
    <w:rsid w:val="002F6E28"/>
    <w:rsid w:val="002F73EE"/>
    <w:rsid w:val="002F7783"/>
    <w:rsid w:val="002F77F7"/>
    <w:rsid w:val="002F78EF"/>
    <w:rsid w:val="002F7BBF"/>
    <w:rsid w:val="002F7D4E"/>
    <w:rsid w:val="0030090F"/>
    <w:rsid w:val="00300F77"/>
    <w:rsid w:val="0030169A"/>
    <w:rsid w:val="0030184C"/>
    <w:rsid w:val="003019B8"/>
    <w:rsid w:val="00301A83"/>
    <w:rsid w:val="00302070"/>
    <w:rsid w:val="00302893"/>
    <w:rsid w:val="0030318D"/>
    <w:rsid w:val="00303A82"/>
    <w:rsid w:val="00303AAC"/>
    <w:rsid w:val="00303C88"/>
    <w:rsid w:val="0030422C"/>
    <w:rsid w:val="003050C1"/>
    <w:rsid w:val="00305252"/>
    <w:rsid w:val="003055CF"/>
    <w:rsid w:val="0030565B"/>
    <w:rsid w:val="003059F1"/>
    <w:rsid w:val="00305DF3"/>
    <w:rsid w:val="00306136"/>
    <w:rsid w:val="003064E3"/>
    <w:rsid w:val="00306533"/>
    <w:rsid w:val="00307527"/>
    <w:rsid w:val="00307690"/>
    <w:rsid w:val="0030789C"/>
    <w:rsid w:val="00307916"/>
    <w:rsid w:val="00307A78"/>
    <w:rsid w:val="00310020"/>
    <w:rsid w:val="003101CE"/>
    <w:rsid w:val="0031028C"/>
    <w:rsid w:val="00310B59"/>
    <w:rsid w:val="00310CEE"/>
    <w:rsid w:val="00310F87"/>
    <w:rsid w:val="00311135"/>
    <w:rsid w:val="003111A9"/>
    <w:rsid w:val="00311F66"/>
    <w:rsid w:val="00311FC0"/>
    <w:rsid w:val="0031204A"/>
    <w:rsid w:val="00312686"/>
    <w:rsid w:val="00312754"/>
    <w:rsid w:val="00312AA8"/>
    <w:rsid w:val="00313946"/>
    <w:rsid w:val="00313DBE"/>
    <w:rsid w:val="00313DF7"/>
    <w:rsid w:val="00313E37"/>
    <w:rsid w:val="00314080"/>
    <w:rsid w:val="00314540"/>
    <w:rsid w:val="0031456A"/>
    <w:rsid w:val="00314E6E"/>
    <w:rsid w:val="00314F42"/>
    <w:rsid w:val="00315683"/>
    <w:rsid w:val="003167AC"/>
    <w:rsid w:val="003169AC"/>
    <w:rsid w:val="00316D83"/>
    <w:rsid w:val="003171AB"/>
    <w:rsid w:val="003173CF"/>
    <w:rsid w:val="00317627"/>
    <w:rsid w:val="00317C33"/>
    <w:rsid w:val="00317E0D"/>
    <w:rsid w:val="0032025E"/>
    <w:rsid w:val="003202F9"/>
    <w:rsid w:val="00320D11"/>
    <w:rsid w:val="00321154"/>
    <w:rsid w:val="00321959"/>
    <w:rsid w:val="00321D4A"/>
    <w:rsid w:val="00322948"/>
    <w:rsid w:val="00322C62"/>
    <w:rsid w:val="00322D4D"/>
    <w:rsid w:val="00322F3E"/>
    <w:rsid w:val="003230AF"/>
    <w:rsid w:val="00323252"/>
    <w:rsid w:val="003236F3"/>
    <w:rsid w:val="0032394B"/>
    <w:rsid w:val="0032417D"/>
    <w:rsid w:val="003243C8"/>
    <w:rsid w:val="003245E3"/>
    <w:rsid w:val="0032475A"/>
    <w:rsid w:val="00324BB3"/>
    <w:rsid w:val="00324C30"/>
    <w:rsid w:val="00324DE6"/>
    <w:rsid w:val="003256EC"/>
    <w:rsid w:val="00325C30"/>
    <w:rsid w:val="00325E8F"/>
    <w:rsid w:val="0032628A"/>
    <w:rsid w:val="003266E8"/>
    <w:rsid w:val="003269AC"/>
    <w:rsid w:val="00326C22"/>
    <w:rsid w:val="00326C3A"/>
    <w:rsid w:val="00327080"/>
    <w:rsid w:val="0032721F"/>
    <w:rsid w:val="003273C1"/>
    <w:rsid w:val="003274F6"/>
    <w:rsid w:val="003279B5"/>
    <w:rsid w:val="00327C00"/>
    <w:rsid w:val="00327CE2"/>
    <w:rsid w:val="00330042"/>
    <w:rsid w:val="003304C8"/>
    <w:rsid w:val="003308FD"/>
    <w:rsid w:val="00330DEA"/>
    <w:rsid w:val="00330EE0"/>
    <w:rsid w:val="00330F66"/>
    <w:rsid w:val="00331507"/>
    <w:rsid w:val="00331940"/>
    <w:rsid w:val="00331DC7"/>
    <w:rsid w:val="003320CC"/>
    <w:rsid w:val="0033221E"/>
    <w:rsid w:val="00332C00"/>
    <w:rsid w:val="00332CC2"/>
    <w:rsid w:val="00332E9E"/>
    <w:rsid w:val="00332F4B"/>
    <w:rsid w:val="00333201"/>
    <w:rsid w:val="003333B8"/>
    <w:rsid w:val="003338E2"/>
    <w:rsid w:val="00333A4D"/>
    <w:rsid w:val="00333C9D"/>
    <w:rsid w:val="00333DF7"/>
    <w:rsid w:val="00334E67"/>
    <w:rsid w:val="00334F14"/>
    <w:rsid w:val="00334F94"/>
    <w:rsid w:val="00334FC1"/>
    <w:rsid w:val="003357E1"/>
    <w:rsid w:val="0033580A"/>
    <w:rsid w:val="003363F3"/>
    <w:rsid w:val="0033689D"/>
    <w:rsid w:val="00336D5E"/>
    <w:rsid w:val="00336F88"/>
    <w:rsid w:val="00337331"/>
    <w:rsid w:val="00337397"/>
    <w:rsid w:val="00337FD3"/>
    <w:rsid w:val="003400F4"/>
    <w:rsid w:val="0034015F"/>
    <w:rsid w:val="0034016B"/>
    <w:rsid w:val="003404E0"/>
    <w:rsid w:val="0034056C"/>
    <w:rsid w:val="00340A6D"/>
    <w:rsid w:val="00340A71"/>
    <w:rsid w:val="00340AF4"/>
    <w:rsid w:val="00340DA1"/>
    <w:rsid w:val="00340FF5"/>
    <w:rsid w:val="003415E2"/>
    <w:rsid w:val="0034168E"/>
    <w:rsid w:val="00341F7B"/>
    <w:rsid w:val="00342097"/>
    <w:rsid w:val="003421D2"/>
    <w:rsid w:val="003425F7"/>
    <w:rsid w:val="0034263B"/>
    <w:rsid w:val="003431AF"/>
    <w:rsid w:val="00343701"/>
    <w:rsid w:val="00343AC7"/>
    <w:rsid w:val="00343D6D"/>
    <w:rsid w:val="003448E7"/>
    <w:rsid w:val="00344AC0"/>
    <w:rsid w:val="00344B94"/>
    <w:rsid w:val="00344CDF"/>
    <w:rsid w:val="00344E4F"/>
    <w:rsid w:val="00345669"/>
    <w:rsid w:val="003457B4"/>
    <w:rsid w:val="00345AB7"/>
    <w:rsid w:val="00345CB8"/>
    <w:rsid w:val="003461EF"/>
    <w:rsid w:val="003463F6"/>
    <w:rsid w:val="003473CC"/>
    <w:rsid w:val="003477C7"/>
    <w:rsid w:val="00347DCF"/>
    <w:rsid w:val="00350004"/>
    <w:rsid w:val="0035013A"/>
    <w:rsid w:val="003503F8"/>
    <w:rsid w:val="0035081B"/>
    <w:rsid w:val="00350E53"/>
    <w:rsid w:val="003512F6"/>
    <w:rsid w:val="00351A7E"/>
    <w:rsid w:val="00351D93"/>
    <w:rsid w:val="003525C1"/>
    <w:rsid w:val="003528B3"/>
    <w:rsid w:val="00352A1B"/>
    <w:rsid w:val="00352CDC"/>
    <w:rsid w:val="0035311B"/>
    <w:rsid w:val="0035317A"/>
    <w:rsid w:val="003537B8"/>
    <w:rsid w:val="00354012"/>
    <w:rsid w:val="00354222"/>
    <w:rsid w:val="00354646"/>
    <w:rsid w:val="00354903"/>
    <w:rsid w:val="00355312"/>
    <w:rsid w:val="003553C4"/>
    <w:rsid w:val="0035617D"/>
    <w:rsid w:val="003563F4"/>
    <w:rsid w:val="00356E07"/>
    <w:rsid w:val="00356F61"/>
    <w:rsid w:val="00356F6B"/>
    <w:rsid w:val="00356FDB"/>
    <w:rsid w:val="003570F8"/>
    <w:rsid w:val="003575E1"/>
    <w:rsid w:val="003576F6"/>
    <w:rsid w:val="003602D0"/>
    <w:rsid w:val="003604A3"/>
    <w:rsid w:val="003608A2"/>
    <w:rsid w:val="00360DA4"/>
    <w:rsid w:val="00361352"/>
    <w:rsid w:val="003615E8"/>
    <w:rsid w:val="003616E7"/>
    <w:rsid w:val="00361723"/>
    <w:rsid w:val="00361B95"/>
    <w:rsid w:val="00362063"/>
    <w:rsid w:val="003620C3"/>
    <w:rsid w:val="0036239C"/>
    <w:rsid w:val="00362840"/>
    <w:rsid w:val="00362BEE"/>
    <w:rsid w:val="0036334C"/>
    <w:rsid w:val="00363532"/>
    <w:rsid w:val="003639F9"/>
    <w:rsid w:val="00363A58"/>
    <w:rsid w:val="003640B8"/>
    <w:rsid w:val="003640D5"/>
    <w:rsid w:val="0036445F"/>
    <w:rsid w:val="00364985"/>
    <w:rsid w:val="00365621"/>
    <w:rsid w:val="0036584C"/>
    <w:rsid w:val="00365A09"/>
    <w:rsid w:val="00366739"/>
    <w:rsid w:val="003668D7"/>
    <w:rsid w:val="003673C0"/>
    <w:rsid w:val="00370B38"/>
    <w:rsid w:val="00370F51"/>
    <w:rsid w:val="003717BD"/>
    <w:rsid w:val="00371BF7"/>
    <w:rsid w:val="00371E53"/>
    <w:rsid w:val="003724A2"/>
    <w:rsid w:val="00372529"/>
    <w:rsid w:val="003725D2"/>
    <w:rsid w:val="003728A3"/>
    <w:rsid w:val="00372D2B"/>
    <w:rsid w:val="00372D37"/>
    <w:rsid w:val="00372F3E"/>
    <w:rsid w:val="0037326F"/>
    <w:rsid w:val="003736ED"/>
    <w:rsid w:val="003737BC"/>
    <w:rsid w:val="00373A7A"/>
    <w:rsid w:val="00373AC3"/>
    <w:rsid w:val="003745A7"/>
    <w:rsid w:val="00374804"/>
    <w:rsid w:val="00374AF1"/>
    <w:rsid w:val="00374B3E"/>
    <w:rsid w:val="00374F6E"/>
    <w:rsid w:val="00374FDC"/>
    <w:rsid w:val="0037550F"/>
    <w:rsid w:val="00375667"/>
    <w:rsid w:val="00375FBE"/>
    <w:rsid w:val="003760C6"/>
    <w:rsid w:val="0037662A"/>
    <w:rsid w:val="00376B03"/>
    <w:rsid w:val="003773D4"/>
    <w:rsid w:val="00377E23"/>
    <w:rsid w:val="00377F8C"/>
    <w:rsid w:val="00377FB1"/>
    <w:rsid w:val="00380286"/>
    <w:rsid w:val="0038059D"/>
    <w:rsid w:val="003806CF"/>
    <w:rsid w:val="0038091B"/>
    <w:rsid w:val="00380EDE"/>
    <w:rsid w:val="00380EF8"/>
    <w:rsid w:val="00380F3B"/>
    <w:rsid w:val="0038120A"/>
    <w:rsid w:val="00381747"/>
    <w:rsid w:val="00381E36"/>
    <w:rsid w:val="00381E9E"/>
    <w:rsid w:val="0038224C"/>
    <w:rsid w:val="003824CD"/>
    <w:rsid w:val="00382551"/>
    <w:rsid w:val="00382F80"/>
    <w:rsid w:val="003831A9"/>
    <w:rsid w:val="00383B4B"/>
    <w:rsid w:val="00384105"/>
    <w:rsid w:val="003841B5"/>
    <w:rsid w:val="003841EE"/>
    <w:rsid w:val="00384487"/>
    <w:rsid w:val="0038454C"/>
    <w:rsid w:val="00385229"/>
    <w:rsid w:val="003860A9"/>
    <w:rsid w:val="003864B2"/>
    <w:rsid w:val="003874EB"/>
    <w:rsid w:val="00391694"/>
    <w:rsid w:val="00391784"/>
    <w:rsid w:val="00391D40"/>
    <w:rsid w:val="0039223A"/>
    <w:rsid w:val="003922E0"/>
    <w:rsid w:val="00392317"/>
    <w:rsid w:val="00392A74"/>
    <w:rsid w:val="00392F35"/>
    <w:rsid w:val="003933C6"/>
    <w:rsid w:val="0039361E"/>
    <w:rsid w:val="00393710"/>
    <w:rsid w:val="00393B00"/>
    <w:rsid w:val="00394081"/>
    <w:rsid w:val="0039459D"/>
    <w:rsid w:val="00394645"/>
    <w:rsid w:val="00394696"/>
    <w:rsid w:val="00394A5E"/>
    <w:rsid w:val="00394AFA"/>
    <w:rsid w:val="00394E51"/>
    <w:rsid w:val="00394F7F"/>
    <w:rsid w:val="0039572E"/>
    <w:rsid w:val="0039598F"/>
    <w:rsid w:val="00395BDC"/>
    <w:rsid w:val="0039688A"/>
    <w:rsid w:val="00397118"/>
    <w:rsid w:val="0039728A"/>
    <w:rsid w:val="00397403"/>
    <w:rsid w:val="00397568"/>
    <w:rsid w:val="00397B6A"/>
    <w:rsid w:val="003A050C"/>
    <w:rsid w:val="003A0A1D"/>
    <w:rsid w:val="003A1462"/>
    <w:rsid w:val="003A16E6"/>
    <w:rsid w:val="003A1B0C"/>
    <w:rsid w:val="003A1BD0"/>
    <w:rsid w:val="003A204C"/>
    <w:rsid w:val="003A235B"/>
    <w:rsid w:val="003A2539"/>
    <w:rsid w:val="003A2653"/>
    <w:rsid w:val="003A2818"/>
    <w:rsid w:val="003A284A"/>
    <w:rsid w:val="003A365C"/>
    <w:rsid w:val="003A425F"/>
    <w:rsid w:val="003A43A7"/>
    <w:rsid w:val="003A489E"/>
    <w:rsid w:val="003A4B3F"/>
    <w:rsid w:val="003A4E25"/>
    <w:rsid w:val="003A5181"/>
    <w:rsid w:val="003A519F"/>
    <w:rsid w:val="003A5507"/>
    <w:rsid w:val="003A598D"/>
    <w:rsid w:val="003A6010"/>
    <w:rsid w:val="003A6038"/>
    <w:rsid w:val="003A6148"/>
    <w:rsid w:val="003A67A6"/>
    <w:rsid w:val="003A67D6"/>
    <w:rsid w:val="003A6995"/>
    <w:rsid w:val="003A6E64"/>
    <w:rsid w:val="003A7247"/>
    <w:rsid w:val="003A752F"/>
    <w:rsid w:val="003A77F3"/>
    <w:rsid w:val="003B0063"/>
    <w:rsid w:val="003B0359"/>
    <w:rsid w:val="003B0366"/>
    <w:rsid w:val="003B04DB"/>
    <w:rsid w:val="003B09A9"/>
    <w:rsid w:val="003B0CE7"/>
    <w:rsid w:val="003B1544"/>
    <w:rsid w:val="003B16D2"/>
    <w:rsid w:val="003B1937"/>
    <w:rsid w:val="003B19FD"/>
    <w:rsid w:val="003B1D1F"/>
    <w:rsid w:val="003B1F86"/>
    <w:rsid w:val="003B2032"/>
    <w:rsid w:val="003B25B4"/>
    <w:rsid w:val="003B264C"/>
    <w:rsid w:val="003B281A"/>
    <w:rsid w:val="003B2B87"/>
    <w:rsid w:val="003B2FC9"/>
    <w:rsid w:val="003B3A59"/>
    <w:rsid w:val="003B3D4D"/>
    <w:rsid w:val="003B3FDE"/>
    <w:rsid w:val="003B41AA"/>
    <w:rsid w:val="003B41B2"/>
    <w:rsid w:val="003B4372"/>
    <w:rsid w:val="003B457E"/>
    <w:rsid w:val="003B4ACB"/>
    <w:rsid w:val="003B4C19"/>
    <w:rsid w:val="003B4D03"/>
    <w:rsid w:val="003B5257"/>
    <w:rsid w:val="003B5423"/>
    <w:rsid w:val="003B56D4"/>
    <w:rsid w:val="003B587F"/>
    <w:rsid w:val="003B58EE"/>
    <w:rsid w:val="003B5B98"/>
    <w:rsid w:val="003B5D69"/>
    <w:rsid w:val="003B6582"/>
    <w:rsid w:val="003B6934"/>
    <w:rsid w:val="003B6A37"/>
    <w:rsid w:val="003B6C81"/>
    <w:rsid w:val="003B71B0"/>
    <w:rsid w:val="003B73B9"/>
    <w:rsid w:val="003B73BC"/>
    <w:rsid w:val="003B7882"/>
    <w:rsid w:val="003B7F14"/>
    <w:rsid w:val="003C01E1"/>
    <w:rsid w:val="003C0F98"/>
    <w:rsid w:val="003C0FCE"/>
    <w:rsid w:val="003C1140"/>
    <w:rsid w:val="003C1326"/>
    <w:rsid w:val="003C167F"/>
    <w:rsid w:val="003C1B32"/>
    <w:rsid w:val="003C1DC3"/>
    <w:rsid w:val="003C2066"/>
    <w:rsid w:val="003C2200"/>
    <w:rsid w:val="003C2820"/>
    <w:rsid w:val="003C3167"/>
    <w:rsid w:val="003C3598"/>
    <w:rsid w:val="003C370D"/>
    <w:rsid w:val="003C378B"/>
    <w:rsid w:val="003C3ACF"/>
    <w:rsid w:val="003C41FE"/>
    <w:rsid w:val="003C42B9"/>
    <w:rsid w:val="003C433A"/>
    <w:rsid w:val="003C45C3"/>
    <w:rsid w:val="003C4936"/>
    <w:rsid w:val="003C4BCE"/>
    <w:rsid w:val="003C5625"/>
    <w:rsid w:val="003C5870"/>
    <w:rsid w:val="003C6420"/>
    <w:rsid w:val="003C6561"/>
    <w:rsid w:val="003C65BD"/>
    <w:rsid w:val="003C69D1"/>
    <w:rsid w:val="003C7995"/>
    <w:rsid w:val="003C7BA0"/>
    <w:rsid w:val="003C7BFF"/>
    <w:rsid w:val="003C7F36"/>
    <w:rsid w:val="003C7FB8"/>
    <w:rsid w:val="003D0307"/>
    <w:rsid w:val="003D070A"/>
    <w:rsid w:val="003D094B"/>
    <w:rsid w:val="003D0B35"/>
    <w:rsid w:val="003D1247"/>
    <w:rsid w:val="003D12F3"/>
    <w:rsid w:val="003D1398"/>
    <w:rsid w:val="003D14E0"/>
    <w:rsid w:val="003D1E93"/>
    <w:rsid w:val="003D24DE"/>
    <w:rsid w:val="003D26C0"/>
    <w:rsid w:val="003D2C49"/>
    <w:rsid w:val="003D2EB2"/>
    <w:rsid w:val="003D3F36"/>
    <w:rsid w:val="003D3F4A"/>
    <w:rsid w:val="003D41B7"/>
    <w:rsid w:val="003D4671"/>
    <w:rsid w:val="003D46BE"/>
    <w:rsid w:val="003D5DA4"/>
    <w:rsid w:val="003D61C1"/>
    <w:rsid w:val="003D6256"/>
    <w:rsid w:val="003D625E"/>
    <w:rsid w:val="003D6AF7"/>
    <w:rsid w:val="003D6C56"/>
    <w:rsid w:val="003D6FE3"/>
    <w:rsid w:val="003D791B"/>
    <w:rsid w:val="003D7DE6"/>
    <w:rsid w:val="003D7EF9"/>
    <w:rsid w:val="003E063C"/>
    <w:rsid w:val="003E0804"/>
    <w:rsid w:val="003E0A88"/>
    <w:rsid w:val="003E0AF8"/>
    <w:rsid w:val="003E0B68"/>
    <w:rsid w:val="003E1062"/>
    <w:rsid w:val="003E163C"/>
    <w:rsid w:val="003E18B6"/>
    <w:rsid w:val="003E1FE3"/>
    <w:rsid w:val="003E233A"/>
    <w:rsid w:val="003E2388"/>
    <w:rsid w:val="003E2500"/>
    <w:rsid w:val="003E2660"/>
    <w:rsid w:val="003E32CE"/>
    <w:rsid w:val="003E3517"/>
    <w:rsid w:val="003E36DA"/>
    <w:rsid w:val="003E37E0"/>
    <w:rsid w:val="003E384D"/>
    <w:rsid w:val="003E3950"/>
    <w:rsid w:val="003E3A1B"/>
    <w:rsid w:val="003E3B9A"/>
    <w:rsid w:val="003E3DE8"/>
    <w:rsid w:val="003E4025"/>
    <w:rsid w:val="003E40AC"/>
    <w:rsid w:val="003E42D0"/>
    <w:rsid w:val="003E440E"/>
    <w:rsid w:val="003E4D49"/>
    <w:rsid w:val="003E4E99"/>
    <w:rsid w:val="003E547E"/>
    <w:rsid w:val="003E54C3"/>
    <w:rsid w:val="003E54C8"/>
    <w:rsid w:val="003E55D9"/>
    <w:rsid w:val="003E5AC8"/>
    <w:rsid w:val="003E61CE"/>
    <w:rsid w:val="003E6475"/>
    <w:rsid w:val="003E6A8C"/>
    <w:rsid w:val="003E7340"/>
    <w:rsid w:val="003E78D5"/>
    <w:rsid w:val="003E7A5E"/>
    <w:rsid w:val="003F0337"/>
    <w:rsid w:val="003F0418"/>
    <w:rsid w:val="003F07B3"/>
    <w:rsid w:val="003F109F"/>
    <w:rsid w:val="003F14CF"/>
    <w:rsid w:val="003F17DB"/>
    <w:rsid w:val="003F185D"/>
    <w:rsid w:val="003F1F47"/>
    <w:rsid w:val="003F2B49"/>
    <w:rsid w:val="003F2FCD"/>
    <w:rsid w:val="003F3319"/>
    <w:rsid w:val="003F3539"/>
    <w:rsid w:val="003F3A01"/>
    <w:rsid w:val="003F3ABA"/>
    <w:rsid w:val="003F40AD"/>
    <w:rsid w:val="003F40EF"/>
    <w:rsid w:val="003F466B"/>
    <w:rsid w:val="003F488F"/>
    <w:rsid w:val="003F4A5B"/>
    <w:rsid w:val="003F5151"/>
    <w:rsid w:val="003F538A"/>
    <w:rsid w:val="003F6064"/>
    <w:rsid w:val="003F672D"/>
    <w:rsid w:val="003F6C61"/>
    <w:rsid w:val="003F7102"/>
    <w:rsid w:val="003F71E8"/>
    <w:rsid w:val="00400101"/>
    <w:rsid w:val="0040035F"/>
    <w:rsid w:val="00400643"/>
    <w:rsid w:val="00400667"/>
    <w:rsid w:val="00400773"/>
    <w:rsid w:val="00400D74"/>
    <w:rsid w:val="00400DEE"/>
    <w:rsid w:val="0040186F"/>
    <w:rsid w:val="00401CE2"/>
    <w:rsid w:val="00401DFA"/>
    <w:rsid w:val="004023E7"/>
    <w:rsid w:val="004025C0"/>
    <w:rsid w:val="004027A3"/>
    <w:rsid w:val="00403201"/>
    <w:rsid w:val="0040367E"/>
    <w:rsid w:val="0040376F"/>
    <w:rsid w:val="004044AC"/>
    <w:rsid w:val="004048BA"/>
    <w:rsid w:val="00405048"/>
    <w:rsid w:val="004055F0"/>
    <w:rsid w:val="0040583A"/>
    <w:rsid w:val="00405A55"/>
    <w:rsid w:val="00405C84"/>
    <w:rsid w:val="00405CBA"/>
    <w:rsid w:val="00405E10"/>
    <w:rsid w:val="0040621A"/>
    <w:rsid w:val="00406FDB"/>
    <w:rsid w:val="004079A7"/>
    <w:rsid w:val="00407B3C"/>
    <w:rsid w:val="004101BD"/>
    <w:rsid w:val="004102D7"/>
    <w:rsid w:val="004107D3"/>
    <w:rsid w:val="004109AE"/>
    <w:rsid w:val="00410C66"/>
    <w:rsid w:val="00410DC5"/>
    <w:rsid w:val="0041121A"/>
    <w:rsid w:val="004117A2"/>
    <w:rsid w:val="00411AAA"/>
    <w:rsid w:val="00412106"/>
    <w:rsid w:val="00412261"/>
    <w:rsid w:val="00412637"/>
    <w:rsid w:val="00412BE4"/>
    <w:rsid w:val="00412C15"/>
    <w:rsid w:val="004132BB"/>
    <w:rsid w:val="00413D65"/>
    <w:rsid w:val="00414689"/>
    <w:rsid w:val="0041474A"/>
    <w:rsid w:val="004147EB"/>
    <w:rsid w:val="00414A35"/>
    <w:rsid w:val="00414C1F"/>
    <w:rsid w:val="00414E10"/>
    <w:rsid w:val="00415301"/>
    <w:rsid w:val="00415472"/>
    <w:rsid w:val="00415505"/>
    <w:rsid w:val="004158E8"/>
    <w:rsid w:val="00415D4B"/>
    <w:rsid w:val="00415F81"/>
    <w:rsid w:val="00415FAE"/>
    <w:rsid w:val="00416059"/>
    <w:rsid w:val="004161D8"/>
    <w:rsid w:val="00416547"/>
    <w:rsid w:val="00416622"/>
    <w:rsid w:val="00417206"/>
    <w:rsid w:val="0041734A"/>
    <w:rsid w:val="00417574"/>
    <w:rsid w:val="004177A5"/>
    <w:rsid w:val="00417A77"/>
    <w:rsid w:val="00417DE3"/>
    <w:rsid w:val="00420152"/>
    <w:rsid w:val="00420DE8"/>
    <w:rsid w:val="00420FE5"/>
    <w:rsid w:val="00421534"/>
    <w:rsid w:val="0042165F"/>
    <w:rsid w:val="004217E8"/>
    <w:rsid w:val="00421CCB"/>
    <w:rsid w:val="00421D00"/>
    <w:rsid w:val="00422221"/>
    <w:rsid w:val="004222C0"/>
    <w:rsid w:val="004222CD"/>
    <w:rsid w:val="004223B3"/>
    <w:rsid w:val="004223BA"/>
    <w:rsid w:val="0042248F"/>
    <w:rsid w:val="004226D1"/>
    <w:rsid w:val="00422B7D"/>
    <w:rsid w:val="00422F2D"/>
    <w:rsid w:val="0042316C"/>
    <w:rsid w:val="00423248"/>
    <w:rsid w:val="0042375D"/>
    <w:rsid w:val="00423E31"/>
    <w:rsid w:val="004244B6"/>
    <w:rsid w:val="004246E6"/>
    <w:rsid w:val="004249F7"/>
    <w:rsid w:val="00425393"/>
    <w:rsid w:val="0042571B"/>
    <w:rsid w:val="00425B02"/>
    <w:rsid w:val="00425FE4"/>
    <w:rsid w:val="004260E4"/>
    <w:rsid w:val="0042653B"/>
    <w:rsid w:val="00426559"/>
    <w:rsid w:val="00426889"/>
    <w:rsid w:val="004268EF"/>
    <w:rsid w:val="00426ABC"/>
    <w:rsid w:val="00427619"/>
    <w:rsid w:val="00427656"/>
    <w:rsid w:val="00427A84"/>
    <w:rsid w:val="00427DCA"/>
    <w:rsid w:val="0043021D"/>
    <w:rsid w:val="00430326"/>
    <w:rsid w:val="004308B3"/>
    <w:rsid w:val="00430AEF"/>
    <w:rsid w:val="004311DC"/>
    <w:rsid w:val="004312C2"/>
    <w:rsid w:val="004313DD"/>
    <w:rsid w:val="00431BC5"/>
    <w:rsid w:val="00431CE4"/>
    <w:rsid w:val="00431D53"/>
    <w:rsid w:val="00431FC3"/>
    <w:rsid w:val="00431FCF"/>
    <w:rsid w:val="0043204C"/>
    <w:rsid w:val="00432096"/>
    <w:rsid w:val="00432241"/>
    <w:rsid w:val="0043243C"/>
    <w:rsid w:val="00432872"/>
    <w:rsid w:val="00432901"/>
    <w:rsid w:val="00433168"/>
    <w:rsid w:val="004336F0"/>
    <w:rsid w:val="004338C7"/>
    <w:rsid w:val="00433EB1"/>
    <w:rsid w:val="00433FEB"/>
    <w:rsid w:val="004347C3"/>
    <w:rsid w:val="0043498A"/>
    <w:rsid w:val="00434A22"/>
    <w:rsid w:val="00434B8B"/>
    <w:rsid w:val="00434C61"/>
    <w:rsid w:val="00435294"/>
    <w:rsid w:val="004355C4"/>
    <w:rsid w:val="00435825"/>
    <w:rsid w:val="00435FAB"/>
    <w:rsid w:val="00436089"/>
    <w:rsid w:val="00436383"/>
    <w:rsid w:val="00436432"/>
    <w:rsid w:val="00436524"/>
    <w:rsid w:val="00436717"/>
    <w:rsid w:val="00436D3C"/>
    <w:rsid w:val="00437251"/>
    <w:rsid w:val="004375DC"/>
    <w:rsid w:val="004379DE"/>
    <w:rsid w:val="00437A93"/>
    <w:rsid w:val="00437F83"/>
    <w:rsid w:val="00440A1C"/>
    <w:rsid w:val="00440A50"/>
    <w:rsid w:val="00440B46"/>
    <w:rsid w:val="00440C73"/>
    <w:rsid w:val="00440C95"/>
    <w:rsid w:val="00440EF8"/>
    <w:rsid w:val="004412A2"/>
    <w:rsid w:val="00441353"/>
    <w:rsid w:val="004413F1"/>
    <w:rsid w:val="0044144C"/>
    <w:rsid w:val="00441709"/>
    <w:rsid w:val="004417C5"/>
    <w:rsid w:val="004417DD"/>
    <w:rsid w:val="004418E5"/>
    <w:rsid w:val="004418ED"/>
    <w:rsid w:val="00441928"/>
    <w:rsid w:val="00441BDC"/>
    <w:rsid w:val="00441EDB"/>
    <w:rsid w:val="004420AD"/>
    <w:rsid w:val="00442159"/>
    <w:rsid w:val="00442A4C"/>
    <w:rsid w:val="00443768"/>
    <w:rsid w:val="004438F4"/>
    <w:rsid w:val="00443F06"/>
    <w:rsid w:val="004448F7"/>
    <w:rsid w:val="00444924"/>
    <w:rsid w:val="00445018"/>
    <w:rsid w:val="004453F1"/>
    <w:rsid w:val="00446432"/>
    <w:rsid w:val="0044664A"/>
    <w:rsid w:val="004468D4"/>
    <w:rsid w:val="00446AA4"/>
    <w:rsid w:val="00446B64"/>
    <w:rsid w:val="00446D38"/>
    <w:rsid w:val="00446FA2"/>
    <w:rsid w:val="004478C1"/>
    <w:rsid w:val="00447DBF"/>
    <w:rsid w:val="00447EB8"/>
    <w:rsid w:val="0045002B"/>
    <w:rsid w:val="00450E6E"/>
    <w:rsid w:val="004510B9"/>
    <w:rsid w:val="004512DA"/>
    <w:rsid w:val="004515D5"/>
    <w:rsid w:val="0045239E"/>
    <w:rsid w:val="004524B7"/>
    <w:rsid w:val="004526E0"/>
    <w:rsid w:val="00452B4B"/>
    <w:rsid w:val="00452B9B"/>
    <w:rsid w:val="00452BD5"/>
    <w:rsid w:val="00452BF4"/>
    <w:rsid w:val="004530C6"/>
    <w:rsid w:val="00453A03"/>
    <w:rsid w:val="00453BCD"/>
    <w:rsid w:val="00453DCD"/>
    <w:rsid w:val="00453FD2"/>
    <w:rsid w:val="0045498A"/>
    <w:rsid w:val="00454AD0"/>
    <w:rsid w:val="00454B8F"/>
    <w:rsid w:val="0045535E"/>
    <w:rsid w:val="004554EC"/>
    <w:rsid w:val="0045553D"/>
    <w:rsid w:val="00455EAB"/>
    <w:rsid w:val="004564EF"/>
    <w:rsid w:val="00456783"/>
    <w:rsid w:val="004569F9"/>
    <w:rsid w:val="004572F2"/>
    <w:rsid w:val="004573B2"/>
    <w:rsid w:val="004578CE"/>
    <w:rsid w:val="004578FC"/>
    <w:rsid w:val="00457EEE"/>
    <w:rsid w:val="00460065"/>
    <w:rsid w:val="004600EB"/>
    <w:rsid w:val="00460500"/>
    <w:rsid w:val="004608F8"/>
    <w:rsid w:val="00460C4A"/>
    <w:rsid w:val="00461191"/>
    <w:rsid w:val="0046160E"/>
    <w:rsid w:val="00461717"/>
    <w:rsid w:val="0046193E"/>
    <w:rsid w:val="00461977"/>
    <w:rsid w:val="00461BA3"/>
    <w:rsid w:val="00461BB9"/>
    <w:rsid w:val="00461D35"/>
    <w:rsid w:val="00461E58"/>
    <w:rsid w:val="00461E8B"/>
    <w:rsid w:val="0046218E"/>
    <w:rsid w:val="00462566"/>
    <w:rsid w:val="004625BA"/>
    <w:rsid w:val="0046270D"/>
    <w:rsid w:val="0046289D"/>
    <w:rsid w:val="0046302B"/>
    <w:rsid w:val="00463241"/>
    <w:rsid w:val="00463546"/>
    <w:rsid w:val="004635E8"/>
    <w:rsid w:val="00463738"/>
    <w:rsid w:val="00463C9D"/>
    <w:rsid w:val="00464095"/>
    <w:rsid w:val="00464179"/>
    <w:rsid w:val="0046456B"/>
    <w:rsid w:val="0046459D"/>
    <w:rsid w:val="00464D9F"/>
    <w:rsid w:val="0046511D"/>
    <w:rsid w:val="004651E6"/>
    <w:rsid w:val="004653EE"/>
    <w:rsid w:val="00465461"/>
    <w:rsid w:val="00465760"/>
    <w:rsid w:val="004657CE"/>
    <w:rsid w:val="004658EF"/>
    <w:rsid w:val="0046626B"/>
    <w:rsid w:val="0046661F"/>
    <w:rsid w:val="004666EE"/>
    <w:rsid w:val="004669F1"/>
    <w:rsid w:val="00466B0E"/>
    <w:rsid w:val="00466D13"/>
    <w:rsid w:val="00466F2E"/>
    <w:rsid w:val="0046708B"/>
    <w:rsid w:val="00467C67"/>
    <w:rsid w:val="004701CC"/>
    <w:rsid w:val="004706DE"/>
    <w:rsid w:val="004706EC"/>
    <w:rsid w:val="00470807"/>
    <w:rsid w:val="00470DC6"/>
    <w:rsid w:val="004710B4"/>
    <w:rsid w:val="00471A4D"/>
    <w:rsid w:val="00471B00"/>
    <w:rsid w:val="00471E75"/>
    <w:rsid w:val="00471EAA"/>
    <w:rsid w:val="00471FAE"/>
    <w:rsid w:val="00472856"/>
    <w:rsid w:val="00472A23"/>
    <w:rsid w:val="00472C4E"/>
    <w:rsid w:val="00472CE2"/>
    <w:rsid w:val="00472D1F"/>
    <w:rsid w:val="00472FDE"/>
    <w:rsid w:val="004731B6"/>
    <w:rsid w:val="004734F9"/>
    <w:rsid w:val="004737AC"/>
    <w:rsid w:val="004739BC"/>
    <w:rsid w:val="00473EDB"/>
    <w:rsid w:val="00473F22"/>
    <w:rsid w:val="0047445D"/>
    <w:rsid w:val="0047466B"/>
    <w:rsid w:val="00474C33"/>
    <w:rsid w:val="00474F40"/>
    <w:rsid w:val="00475C89"/>
    <w:rsid w:val="00475DF6"/>
    <w:rsid w:val="00475F36"/>
    <w:rsid w:val="00475FE2"/>
    <w:rsid w:val="00476995"/>
    <w:rsid w:val="00476F58"/>
    <w:rsid w:val="00477049"/>
    <w:rsid w:val="0047754F"/>
    <w:rsid w:val="004776CD"/>
    <w:rsid w:val="0047778D"/>
    <w:rsid w:val="00477B3E"/>
    <w:rsid w:val="00477B4A"/>
    <w:rsid w:val="00477E74"/>
    <w:rsid w:val="00480114"/>
    <w:rsid w:val="00480959"/>
    <w:rsid w:val="00480A50"/>
    <w:rsid w:val="004810D8"/>
    <w:rsid w:val="00481625"/>
    <w:rsid w:val="004818AF"/>
    <w:rsid w:val="0048190C"/>
    <w:rsid w:val="00481ECF"/>
    <w:rsid w:val="004820F7"/>
    <w:rsid w:val="00482143"/>
    <w:rsid w:val="00482802"/>
    <w:rsid w:val="004828C9"/>
    <w:rsid w:val="00482993"/>
    <w:rsid w:val="004830AB"/>
    <w:rsid w:val="0048331D"/>
    <w:rsid w:val="0048371C"/>
    <w:rsid w:val="00483BB8"/>
    <w:rsid w:val="00483F6A"/>
    <w:rsid w:val="004844F2"/>
    <w:rsid w:val="00484D45"/>
    <w:rsid w:val="00485061"/>
    <w:rsid w:val="0048546E"/>
    <w:rsid w:val="00485CD7"/>
    <w:rsid w:val="00485F68"/>
    <w:rsid w:val="0048630C"/>
    <w:rsid w:val="0048634E"/>
    <w:rsid w:val="0048648B"/>
    <w:rsid w:val="00486725"/>
    <w:rsid w:val="00486780"/>
    <w:rsid w:val="004867DB"/>
    <w:rsid w:val="00486B54"/>
    <w:rsid w:val="00486D1E"/>
    <w:rsid w:val="004870C2"/>
    <w:rsid w:val="00487A1E"/>
    <w:rsid w:val="00487BC3"/>
    <w:rsid w:val="00487CF2"/>
    <w:rsid w:val="00490255"/>
    <w:rsid w:val="0049054F"/>
    <w:rsid w:val="004906C8"/>
    <w:rsid w:val="00490AC6"/>
    <w:rsid w:val="00490BD0"/>
    <w:rsid w:val="00491246"/>
    <w:rsid w:val="00491412"/>
    <w:rsid w:val="0049198F"/>
    <w:rsid w:val="00491ABE"/>
    <w:rsid w:val="00491B73"/>
    <w:rsid w:val="00491C3B"/>
    <w:rsid w:val="00491F5B"/>
    <w:rsid w:val="0049203E"/>
    <w:rsid w:val="004920A0"/>
    <w:rsid w:val="00492135"/>
    <w:rsid w:val="00492210"/>
    <w:rsid w:val="004927EF"/>
    <w:rsid w:val="004927FF"/>
    <w:rsid w:val="00492BED"/>
    <w:rsid w:val="004930BC"/>
    <w:rsid w:val="0049311F"/>
    <w:rsid w:val="00493CD8"/>
    <w:rsid w:val="0049433E"/>
    <w:rsid w:val="0049438F"/>
    <w:rsid w:val="0049450B"/>
    <w:rsid w:val="00494736"/>
    <w:rsid w:val="004948D0"/>
    <w:rsid w:val="00494A28"/>
    <w:rsid w:val="00494C33"/>
    <w:rsid w:val="00494C4A"/>
    <w:rsid w:val="0049524E"/>
    <w:rsid w:val="004952B2"/>
    <w:rsid w:val="0049549C"/>
    <w:rsid w:val="004956CC"/>
    <w:rsid w:val="00495A48"/>
    <w:rsid w:val="00495BFC"/>
    <w:rsid w:val="00495C16"/>
    <w:rsid w:val="0049607B"/>
    <w:rsid w:val="004963AD"/>
    <w:rsid w:val="004964D0"/>
    <w:rsid w:val="00496CD7"/>
    <w:rsid w:val="004970B1"/>
    <w:rsid w:val="004970E0"/>
    <w:rsid w:val="00497B4F"/>
    <w:rsid w:val="00497B51"/>
    <w:rsid w:val="004A037D"/>
    <w:rsid w:val="004A03E0"/>
    <w:rsid w:val="004A0AE4"/>
    <w:rsid w:val="004A1751"/>
    <w:rsid w:val="004A2248"/>
    <w:rsid w:val="004A2340"/>
    <w:rsid w:val="004A23B9"/>
    <w:rsid w:val="004A254C"/>
    <w:rsid w:val="004A3520"/>
    <w:rsid w:val="004A35CD"/>
    <w:rsid w:val="004A46A2"/>
    <w:rsid w:val="004A4AB9"/>
    <w:rsid w:val="004A4B89"/>
    <w:rsid w:val="004A56D0"/>
    <w:rsid w:val="004A5817"/>
    <w:rsid w:val="004A5D83"/>
    <w:rsid w:val="004A6364"/>
    <w:rsid w:val="004A6452"/>
    <w:rsid w:val="004A6A62"/>
    <w:rsid w:val="004A6AE7"/>
    <w:rsid w:val="004A6B98"/>
    <w:rsid w:val="004A6CDF"/>
    <w:rsid w:val="004A7714"/>
    <w:rsid w:val="004A7938"/>
    <w:rsid w:val="004A7B34"/>
    <w:rsid w:val="004A7D11"/>
    <w:rsid w:val="004B00A1"/>
    <w:rsid w:val="004B06B2"/>
    <w:rsid w:val="004B0858"/>
    <w:rsid w:val="004B0A98"/>
    <w:rsid w:val="004B0E1C"/>
    <w:rsid w:val="004B0E82"/>
    <w:rsid w:val="004B0EFF"/>
    <w:rsid w:val="004B0FD5"/>
    <w:rsid w:val="004B11A4"/>
    <w:rsid w:val="004B1293"/>
    <w:rsid w:val="004B1294"/>
    <w:rsid w:val="004B1F24"/>
    <w:rsid w:val="004B2859"/>
    <w:rsid w:val="004B2F4A"/>
    <w:rsid w:val="004B312A"/>
    <w:rsid w:val="004B322D"/>
    <w:rsid w:val="004B3415"/>
    <w:rsid w:val="004B34FC"/>
    <w:rsid w:val="004B38E5"/>
    <w:rsid w:val="004B3DB0"/>
    <w:rsid w:val="004B4D61"/>
    <w:rsid w:val="004B4F56"/>
    <w:rsid w:val="004B4FF2"/>
    <w:rsid w:val="004B51D0"/>
    <w:rsid w:val="004B536A"/>
    <w:rsid w:val="004B55A0"/>
    <w:rsid w:val="004B5712"/>
    <w:rsid w:val="004B586D"/>
    <w:rsid w:val="004B58A8"/>
    <w:rsid w:val="004B624C"/>
    <w:rsid w:val="004B630D"/>
    <w:rsid w:val="004B6822"/>
    <w:rsid w:val="004B6877"/>
    <w:rsid w:val="004B6D61"/>
    <w:rsid w:val="004B7113"/>
    <w:rsid w:val="004B797E"/>
    <w:rsid w:val="004B7C03"/>
    <w:rsid w:val="004B7D60"/>
    <w:rsid w:val="004B7DAF"/>
    <w:rsid w:val="004C070C"/>
    <w:rsid w:val="004C0774"/>
    <w:rsid w:val="004C08BC"/>
    <w:rsid w:val="004C1522"/>
    <w:rsid w:val="004C1790"/>
    <w:rsid w:val="004C19C3"/>
    <w:rsid w:val="004C1ACF"/>
    <w:rsid w:val="004C1BE7"/>
    <w:rsid w:val="004C1E32"/>
    <w:rsid w:val="004C211C"/>
    <w:rsid w:val="004C233A"/>
    <w:rsid w:val="004C3131"/>
    <w:rsid w:val="004C341D"/>
    <w:rsid w:val="004C35B1"/>
    <w:rsid w:val="004C3673"/>
    <w:rsid w:val="004C38BB"/>
    <w:rsid w:val="004C39D7"/>
    <w:rsid w:val="004C3AB0"/>
    <w:rsid w:val="004C3D5C"/>
    <w:rsid w:val="004C3D6D"/>
    <w:rsid w:val="004C4029"/>
    <w:rsid w:val="004C43B9"/>
    <w:rsid w:val="004C46C5"/>
    <w:rsid w:val="004C4792"/>
    <w:rsid w:val="004C4994"/>
    <w:rsid w:val="004C4C09"/>
    <w:rsid w:val="004C6002"/>
    <w:rsid w:val="004C6164"/>
    <w:rsid w:val="004C6437"/>
    <w:rsid w:val="004C6BE7"/>
    <w:rsid w:val="004C6D0D"/>
    <w:rsid w:val="004C70EB"/>
    <w:rsid w:val="004C7176"/>
    <w:rsid w:val="004C7A7E"/>
    <w:rsid w:val="004C7BBA"/>
    <w:rsid w:val="004C7E7E"/>
    <w:rsid w:val="004D0771"/>
    <w:rsid w:val="004D1156"/>
    <w:rsid w:val="004D137F"/>
    <w:rsid w:val="004D168B"/>
    <w:rsid w:val="004D1C95"/>
    <w:rsid w:val="004D21C1"/>
    <w:rsid w:val="004D2335"/>
    <w:rsid w:val="004D25B0"/>
    <w:rsid w:val="004D2910"/>
    <w:rsid w:val="004D29AD"/>
    <w:rsid w:val="004D3589"/>
    <w:rsid w:val="004D378F"/>
    <w:rsid w:val="004D3946"/>
    <w:rsid w:val="004D4243"/>
    <w:rsid w:val="004D4402"/>
    <w:rsid w:val="004D46D5"/>
    <w:rsid w:val="004D4926"/>
    <w:rsid w:val="004D4AB7"/>
    <w:rsid w:val="004D535C"/>
    <w:rsid w:val="004D5416"/>
    <w:rsid w:val="004D6109"/>
    <w:rsid w:val="004D61FB"/>
    <w:rsid w:val="004D6387"/>
    <w:rsid w:val="004D6442"/>
    <w:rsid w:val="004D6741"/>
    <w:rsid w:val="004D67E9"/>
    <w:rsid w:val="004D70D4"/>
    <w:rsid w:val="004D71A5"/>
    <w:rsid w:val="004D767A"/>
    <w:rsid w:val="004D7EE9"/>
    <w:rsid w:val="004D7FD2"/>
    <w:rsid w:val="004E00F7"/>
    <w:rsid w:val="004E0B80"/>
    <w:rsid w:val="004E0CDF"/>
    <w:rsid w:val="004E0DC2"/>
    <w:rsid w:val="004E192D"/>
    <w:rsid w:val="004E193C"/>
    <w:rsid w:val="004E1B5F"/>
    <w:rsid w:val="004E1EDE"/>
    <w:rsid w:val="004E24DE"/>
    <w:rsid w:val="004E335F"/>
    <w:rsid w:val="004E3409"/>
    <w:rsid w:val="004E38B3"/>
    <w:rsid w:val="004E3D3B"/>
    <w:rsid w:val="004E3DEB"/>
    <w:rsid w:val="004E3E39"/>
    <w:rsid w:val="004E3ED4"/>
    <w:rsid w:val="004E428D"/>
    <w:rsid w:val="004E44EB"/>
    <w:rsid w:val="004E47F1"/>
    <w:rsid w:val="004E502C"/>
    <w:rsid w:val="004E5227"/>
    <w:rsid w:val="004E562E"/>
    <w:rsid w:val="004E58C6"/>
    <w:rsid w:val="004E5943"/>
    <w:rsid w:val="004E5E18"/>
    <w:rsid w:val="004E5E8D"/>
    <w:rsid w:val="004E5FAF"/>
    <w:rsid w:val="004E6350"/>
    <w:rsid w:val="004E69B5"/>
    <w:rsid w:val="004E7699"/>
    <w:rsid w:val="004E7A29"/>
    <w:rsid w:val="004E7B30"/>
    <w:rsid w:val="004F0214"/>
    <w:rsid w:val="004F024B"/>
    <w:rsid w:val="004F0289"/>
    <w:rsid w:val="004F0566"/>
    <w:rsid w:val="004F0E2F"/>
    <w:rsid w:val="004F0F2F"/>
    <w:rsid w:val="004F1A26"/>
    <w:rsid w:val="004F1C38"/>
    <w:rsid w:val="004F1FCB"/>
    <w:rsid w:val="004F21BD"/>
    <w:rsid w:val="004F229B"/>
    <w:rsid w:val="004F231E"/>
    <w:rsid w:val="004F236B"/>
    <w:rsid w:val="004F2668"/>
    <w:rsid w:val="004F2720"/>
    <w:rsid w:val="004F327A"/>
    <w:rsid w:val="004F38B8"/>
    <w:rsid w:val="004F3A7C"/>
    <w:rsid w:val="004F4547"/>
    <w:rsid w:val="004F47BB"/>
    <w:rsid w:val="004F4D35"/>
    <w:rsid w:val="004F4DA7"/>
    <w:rsid w:val="004F4EC7"/>
    <w:rsid w:val="004F50D6"/>
    <w:rsid w:val="004F50E1"/>
    <w:rsid w:val="004F537A"/>
    <w:rsid w:val="004F5B2B"/>
    <w:rsid w:val="004F5C06"/>
    <w:rsid w:val="004F5D2D"/>
    <w:rsid w:val="004F5D54"/>
    <w:rsid w:val="004F6AFC"/>
    <w:rsid w:val="004F6B2D"/>
    <w:rsid w:val="004F6BAF"/>
    <w:rsid w:val="004F6F53"/>
    <w:rsid w:val="004F74DF"/>
    <w:rsid w:val="004F75ED"/>
    <w:rsid w:val="004F7778"/>
    <w:rsid w:val="004F7A9C"/>
    <w:rsid w:val="004F7DA3"/>
    <w:rsid w:val="00500735"/>
    <w:rsid w:val="0050140B"/>
    <w:rsid w:val="005014BB"/>
    <w:rsid w:val="00501AC2"/>
    <w:rsid w:val="00501EDB"/>
    <w:rsid w:val="00502108"/>
    <w:rsid w:val="0050211C"/>
    <w:rsid w:val="0050248B"/>
    <w:rsid w:val="0050259C"/>
    <w:rsid w:val="00502872"/>
    <w:rsid w:val="00502AD2"/>
    <w:rsid w:val="00503356"/>
    <w:rsid w:val="00503ADD"/>
    <w:rsid w:val="00503FA7"/>
    <w:rsid w:val="00504035"/>
    <w:rsid w:val="00504477"/>
    <w:rsid w:val="00504CC7"/>
    <w:rsid w:val="00504EC3"/>
    <w:rsid w:val="00504F01"/>
    <w:rsid w:val="00504FB3"/>
    <w:rsid w:val="005051E9"/>
    <w:rsid w:val="0050544B"/>
    <w:rsid w:val="005054DA"/>
    <w:rsid w:val="00505ACF"/>
    <w:rsid w:val="00505C6E"/>
    <w:rsid w:val="00505D73"/>
    <w:rsid w:val="00505DA5"/>
    <w:rsid w:val="00506216"/>
    <w:rsid w:val="00506495"/>
    <w:rsid w:val="005065BA"/>
    <w:rsid w:val="005066D2"/>
    <w:rsid w:val="00507C88"/>
    <w:rsid w:val="00507D67"/>
    <w:rsid w:val="00507DC3"/>
    <w:rsid w:val="00510463"/>
    <w:rsid w:val="005108DB"/>
    <w:rsid w:val="005108EA"/>
    <w:rsid w:val="005108FC"/>
    <w:rsid w:val="00510B69"/>
    <w:rsid w:val="00510D77"/>
    <w:rsid w:val="00511599"/>
    <w:rsid w:val="005116C5"/>
    <w:rsid w:val="005122B7"/>
    <w:rsid w:val="00512812"/>
    <w:rsid w:val="0051295A"/>
    <w:rsid w:val="00512C4C"/>
    <w:rsid w:val="00512C64"/>
    <w:rsid w:val="00513262"/>
    <w:rsid w:val="0051596D"/>
    <w:rsid w:val="00515EC8"/>
    <w:rsid w:val="00515FC3"/>
    <w:rsid w:val="0051617F"/>
    <w:rsid w:val="005165A8"/>
    <w:rsid w:val="00516E25"/>
    <w:rsid w:val="0051749C"/>
    <w:rsid w:val="00517A3D"/>
    <w:rsid w:val="00517A67"/>
    <w:rsid w:val="00517ED6"/>
    <w:rsid w:val="00520310"/>
    <w:rsid w:val="005205DF"/>
    <w:rsid w:val="005205F8"/>
    <w:rsid w:val="005206A6"/>
    <w:rsid w:val="00520758"/>
    <w:rsid w:val="00520E68"/>
    <w:rsid w:val="0052180D"/>
    <w:rsid w:val="00521BAB"/>
    <w:rsid w:val="00521E57"/>
    <w:rsid w:val="00521EA9"/>
    <w:rsid w:val="00521FA5"/>
    <w:rsid w:val="0052332F"/>
    <w:rsid w:val="0052339C"/>
    <w:rsid w:val="00523AA6"/>
    <w:rsid w:val="00523D12"/>
    <w:rsid w:val="0052446A"/>
    <w:rsid w:val="00524494"/>
    <w:rsid w:val="00524549"/>
    <w:rsid w:val="005247D7"/>
    <w:rsid w:val="005250B6"/>
    <w:rsid w:val="005253C9"/>
    <w:rsid w:val="00525547"/>
    <w:rsid w:val="00526173"/>
    <w:rsid w:val="00526619"/>
    <w:rsid w:val="00526725"/>
    <w:rsid w:val="00526AD6"/>
    <w:rsid w:val="00526D45"/>
    <w:rsid w:val="00526E54"/>
    <w:rsid w:val="00526E9A"/>
    <w:rsid w:val="00526FD7"/>
    <w:rsid w:val="0052700A"/>
    <w:rsid w:val="005271F5"/>
    <w:rsid w:val="005273AE"/>
    <w:rsid w:val="0052761D"/>
    <w:rsid w:val="00527D9A"/>
    <w:rsid w:val="00530283"/>
    <w:rsid w:val="0053038C"/>
    <w:rsid w:val="00530408"/>
    <w:rsid w:val="0053061E"/>
    <w:rsid w:val="00530EC1"/>
    <w:rsid w:val="00530F74"/>
    <w:rsid w:val="00531469"/>
    <w:rsid w:val="00531B1F"/>
    <w:rsid w:val="00531BCE"/>
    <w:rsid w:val="00531C12"/>
    <w:rsid w:val="00531CEC"/>
    <w:rsid w:val="005328E7"/>
    <w:rsid w:val="0053295D"/>
    <w:rsid w:val="00532962"/>
    <w:rsid w:val="00532EAC"/>
    <w:rsid w:val="00532FF8"/>
    <w:rsid w:val="005332AA"/>
    <w:rsid w:val="005333F5"/>
    <w:rsid w:val="0053348B"/>
    <w:rsid w:val="00533662"/>
    <w:rsid w:val="0053367C"/>
    <w:rsid w:val="00533872"/>
    <w:rsid w:val="005339D8"/>
    <w:rsid w:val="00533AB0"/>
    <w:rsid w:val="00533EF1"/>
    <w:rsid w:val="00534127"/>
    <w:rsid w:val="005347CE"/>
    <w:rsid w:val="005349ED"/>
    <w:rsid w:val="00534ABF"/>
    <w:rsid w:val="00534C14"/>
    <w:rsid w:val="00534CF7"/>
    <w:rsid w:val="00534EA1"/>
    <w:rsid w:val="00535265"/>
    <w:rsid w:val="005357E8"/>
    <w:rsid w:val="00535EAB"/>
    <w:rsid w:val="00535F99"/>
    <w:rsid w:val="005370D1"/>
    <w:rsid w:val="005372B1"/>
    <w:rsid w:val="00537CCE"/>
    <w:rsid w:val="005404BD"/>
    <w:rsid w:val="005405E6"/>
    <w:rsid w:val="00540651"/>
    <w:rsid w:val="005407C0"/>
    <w:rsid w:val="005408ED"/>
    <w:rsid w:val="0054170A"/>
    <w:rsid w:val="00541D68"/>
    <w:rsid w:val="00542472"/>
    <w:rsid w:val="00542733"/>
    <w:rsid w:val="00542BAF"/>
    <w:rsid w:val="0054310A"/>
    <w:rsid w:val="00543484"/>
    <w:rsid w:val="005436E1"/>
    <w:rsid w:val="005437F6"/>
    <w:rsid w:val="00543B3B"/>
    <w:rsid w:val="00543F13"/>
    <w:rsid w:val="00543F3F"/>
    <w:rsid w:val="00544A19"/>
    <w:rsid w:val="00544C33"/>
    <w:rsid w:val="0054508A"/>
    <w:rsid w:val="00545331"/>
    <w:rsid w:val="005456F4"/>
    <w:rsid w:val="00545710"/>
    <w:rsid w:val="0054593A"/>
    <w:rsid w:val="00545C45"/>
    <w:rsid w:val="005460DA"/>
    <w:rsid w:val="0054621E"/>
    <w:rsid w:val="00546621"/>
    <w:rsid w:val="005472C2"/>
    <w:rsid w:val="0054767E"/>
    <w:rsid w:val="00550002"/>
    <w:rsid w:val="00550342"/>
    <w:rsid w:val="005506D1"/>
    <w:rsid w:val="00550A0B"/>
    <w:rsid w:val="00550BE7"/>
    <w:rsid w:val="00551086"/>
    <w:rsid w:val="005510A1"/>
    <w:rsid w:val="00551954"/>
    <w:rsid w:val="00551CC7"/>
    <w:rsid w:val="00551F82"/>
    <w:rsid w:val="0055233C"/>
    <w:rsid w:val="005527EC"/>
    <w:rsid w:val="00552AD9"/>
    <w:rsid w:val="005535E5"/>
    <w:rsid w:val="00553956"/>
    <w:rsid w:val="005539CC"/>
    <w:rsid w:val="00553BC0"/>
    <w:rsid w:val="00553C70"/>
    <w:rsid w:val="00553CAB"/>
    <w:rsid w:val="0055435F"/>
    <w:rsid w:val="00554897"/>
    <w:rsid w:val="00554EFC"/>
    <w:rsid w:val="005554E6"/>
    <w:rsid w:val="00555B3E"/>
    <w:rsid w:val="00555CBD"/>
    <w:rsid w:val="00555D59"/>
    <w:rsid w:val="00555FBF"/>
    <w:rsid w:val="005560A2"/>
    <w:rsid w:val="005562C3"/>
    <w:rsid w:val="00556433"/>
    <w:rsid w:val="0055673F"/>
    <w:rsid w:val="00556946"/>
    <w:rsid w:val="00556CFE"/>
    <w:rsid w:val="0055706E"/>
    <w:rsid w:val="00557824"/>
    <w:rsid w:val="00557942"/>
    <w:rsid w:val="00557AE8"/>
    <w:rsid w:val="0056002E"/>
    <w:rsid w:val="0056021F"/>
    <w:rsid w:val="00560509"/>
    <w:rsid w:val="005609B6"/>
    <w:rsid w:val="0056113C"/>
    <w:rsid w:val="005615ED"/>
    <w:rsid w:val="0056178A"/>
    <w:rsid w:val="00561C47"/>
    <w:rsid w:val="005625E6"/>
    <w:rsid w:val="005629BC"/>
    <w:rsid w:val="005629CD"/>
    <w:rsid w:val="00562BA2"/>
    <w:rsid w:val="005634DC"/>
    <w:rsid w:val="00564533"/>
    <w:rsid w:val="005646FA"/>
    <w:rsid w:val="005647F8"/>
    <w:rsid w:val="00564D06"/>
    <w:rsid w:val="0056549F"/>
    <w:rsid w:val="00565540"/>
    <w:rsid w:val="0056608C"/>
    <w:rsid w:val="00566167"/>
    <w:rsid w:val="0056624E"/>
    <w:rsid w:val="0056669A"/>
    <w:rsid w:val="005667A8"/>
    <w:rsid w:val="00566BA3"/>
    <w:rsid w:val="00566D8D"/>
    <w:rsid w:val="00566DF1"/>
    <w:rsid w:val="00566EDE"/>
    <w:rsid w:val="005672D2"/>
    <w:rsid w:val="0056749E"/>
    <w:rsid w:val="00567524"/>
    <w:rsid w:val="005676BF"/>
    <w:rsid w:val="00567B18"/>
    <w:rsid w:val="00567CD8"/>
    <w:rsid w:val="00567FFA"/>
    <w:rsid w:val="005703D6"/>
    <w:rsid w:val="005707D9"/>
    <w:rsid w:val="00571110"/>
    <w:rsid w:val="00571B23"/>
    <w:rsid w:val="0057396B"/>
    <w:rsid w:val="00573BB0"/>
    <w:rsid w:val="005743DD"/>
    <w:rsid w:val="0057520A"/>
    <w:rsid w:val="005752B8"/>
    <w:rsid w:val="00575601"/>
    <w:rsid w:val="00576412"/>
    <w:rsid w:val="005773ED"/>
    <w:rsid w:val="00577965"/>
    <w:rsid w:val="00577B4B"/>
    <w:rsid w:val="005806A6"/>
    <w:rsid w:val="00580940"/>
    <w:rsid w:val="00580F15"/>
    <w:rsid w:val="00580F24"/>
    <w:rsid w:val="00581394"/>
    <w:rsid w:val="00581749"/>
    <w:rsid w:val="00582418"/>
    <w:rsid w:val="0058254D"/>
    <w:rsid w:val="005825F9"/>
    <w:rsid w:val="0058264B"/>
    <w:rsid w:val="00582B6E"/>
    <w:rsid w:val="00582C2B"/>
    <w:rsid w:val="00583367"/>
    <w:rsid w:val="005834E1"/>
    <w:rsid w:val="00583EBD"/>
    <w:rsid w:val="0058422E"/>
    <w:rsid w:val="00584F1B"/>
    <w:rsid w:val="0058511D"/>
    <w:rsid w:val="0058559D"/>
    <w:rsid w:val="00585957"/>
    <w:rsid w:val="00585B2B"/>
    <w:rsid w:val="00585E82"/>
    <w:rsid w:val="00585E94"/>
    <w:rsid w:val="00586060"/>
    <w:rsid w:val="00586969"/>
    <w:rsid w:val="00586BC0"/>
    <w:rsid w:val="00586E80"/>
    <w:rsid w:val="0058707F"/>
    <w:rsid w:val="00587237"/>
    <w:rsid w:val="005877CD"/>
    <w:rsid w:val="00587EC4"/>
    <w:rsid w:val="005900CE"/>
    <w:rsid w:val="00591EF0"/>
    <w:rsid w:val="005922AE"/>
    <w:rsid w:val="005923FF"/>
    <w:rsid w:val="00592693"/>
    <w:rsid w:val="00592736"/>
    <w:rsid w:val="00592750"/>
    <w:rsid w:val="00592835"/>
    <w:rsid w:val="00592863"/>
    <w:rsid w:val="00592937"/>
    <w:rsid w:val="005929F9"/>
    <w:rsid w:val="00592AF8"/>
    <w:rsid w:val="00593DA2"/>
    <w:rsid w:val="005943B7"/>
    <w:rsid w:val="00594408"/>
    <w:rsid w:val="00594537"/>
    <w:rsid w:val="00594774"/>
    <w:rsid w:val="0059497A"/>
    <w:rsid w:val="005949D0"/>
    <w:rsid w:val="00594C4F"/>
    <w:rsid w:val="00594D6A"/>
    <w:rsid w:val="005950CC"/>
    <w:rsid w:val="00595251"/>
    <w:rsid w:val="00595320"/>
    <w:rsid w:val="00596AA8"/>
    <w:rsid w:val="00596B32"/>
    <w:rsid w:val="00596FA2"/>
    <w:rsid w:val="0059709F"/>
    <w:rsid w:val="0059727E"/>
    <w:rsid w:val="005976A4"/>
    <w:rsid w:val="00597A0F"/>
    <w:rsid w:val="005A023B"/>
    <w:rsid w:val="005A0AC3"/>
    <w:rsid w:val="005A0B03"/>
    <w:rsid w:val="005A0C67"/>
    <w:rsid w:val="005A0FA7"/>
    <w:rsid w:val="005A1855"/>
    <w:rsid w:val="005A1E77"/>
    <w:rsid w:val="005A1F5A"/>
    <w:rsid w:val="005A2172"/>
    <w:rsid w:val="005A2520"/>
    <w:rsid w:val="005A341A"/>
    <w:rsid w:val="005A3442"/>
    <w:rsid w:val="005A35BE"/>
    <w:rsid w:val="005A3671"/>
    <w:rsid w:val="005A3764"/>
    <w:rsid w:val="005A3767"/>
    <w:rsid w:val="005A3CB8"/>
    <w:rsid w:val="005A3D8F"/>
    <w:rsid w:val="005A3F09"/>
    <w:rsid w:val="005A426E"/>
    <w:rsid w:val="005A4847"/>
    <w:rsid w:val="005A51D3"/>
    <w:rsid w:val="005A5569"/>
    <w:rsid w:val="005A56EF"/>
    <w:rsid w:val="005A5FEE"/>
    <w:rsid w:val="005A60BC"/>
    <w:rsid w:val="005A6375"/>
    <w:rsid w:val="005A64F8"/>
    <w:rsid w:val="005A6764"/>
    <w:rsid w:val="005A6766"/>
    <w:rsid w:val="005A6863"/>
    <w:rsid w:val="005A6B73"/>
    <w:rsid w:val="005A6C4E"/>
    <w:rsid w:val="005A6EAB"/>
    <w:rsid w:val="005A72C1"/>
    <w:rsid w:val="005A758D"/>
    <w:rsid w:val="005A78C8"/>
    <w:rsid w:val="005A7D41"/>
    <w:rsid w:val="005A7E1B"/>
    <w:rsid w:val="005B0058"/>
    <w:rsid w:val="005B0632"/>
    <w:rsid w:val="005B06B3"/>
    <w:rsid w:val="005B0921"/>
    <w:rsid w:val="005B0B0B"/>
    <w:rsid w:val="005B0DFA"/>
    <w:rsid w:val="005B0EB4"/>
    <w:rsid w:val="005B1623"/>
    <w:rsid w:val="005B1D69"/>
    <w:rsid w:val="005B1EBE"/>
    <w:rsid w:val="005B237B"/>
    <w:rsid w:val="005B261C"/>
    <w:rsid w:val="005B27C6"/>
    <w:rsid w:val="005B293B"/>
    <w:rsid w:val="005B2A64"/>
    <w:rsid w:val="005B2FC2"/>
    <w:rsid w:val="005B328C"/>
    <w:rsid w:val="005B382C"/>
    <w:rsid w:val="005B43E3"/>
    <w:rsid w:val="005B4620"/>
    <w:rsid w:val="005B4922"/>
    <w:rsid w:val="005B4CC1"/>
    <w:rsid w:val="005B5898"/>
    <w:rsid w:val="005B58FF"/>
    <w:rsid w:val="005B5A9C"/>
    <w:rsid w:val="005B5CC7"/>
    <w:rsid w:val="005B62C3"/>
    <w:rsid w:val="005B641C"/>
    <w:rsid w:val="005B6B37"/>
    <w:rsid w:val="005B6CE8"/>
    <w:rsid w:val="005B6DAB"/>
    <w:rsid w:val="005B6F94"/>
    <w:rsid w:val="005B714D"/>
    <w:rsid w:val="005B7546"/>
    <w:rsid w:val="005B7958"/>
    <w:rsid w:val="005B7E57"/>
    <w:rsid w:val="005C0A4B"/>
    <w:rsid w:val="005C0D46"/>
    <w:rsid w:val="005C0F26"/>
    <w:rsid w:val="005C0F81"/>
    <w:rsid w:val="005C14C9"/>
    <w:rsid w:val="005C16B5"/>
    <w:rsid w:val="005C16EF"/>
    <w:rsid w:val="005C1895"/>
    <w:rsid w:val="005C1C9E"/>
    <w:rsid w:val="005C1E58"/>
    <w:rsid w:val="005C26F1"/>
    <w:rsid w:val="005C29CD"/>
    <w:rsid w:val="005C3133"/>
    <w:rsid w:val="005C3782"/>
    <w:rsid w:val="005C395F"/>
    <w:rsid w:val="005C3A99"/>
    <w:rsid w:val="005C3B28"/>
    <w:rsid w:val="005C3FBA"/>
    <w:rsid w:val="005C4127"/>
    <w:rsid w:val="005C447B"/>
    <w:rsid w:val="005C4725"/>
    <w:rsid w:val="005C4803"/>
    <w:rsid w:val="005C4805"/>
    <w:rsid w:val="005C4855"/>
    <w:rsid w:val="005C4E09"/>
    <w:rsid w:val="005C4F59"/>
    <w:rsid w:val="005C569D"/>
    <w:rsid w:val="005C581F"/>
    <w:rsid w:val="005C6286"/>
    <w:rsid w:val="005C64AA"/>
    <w:rsid w:val="005C64B2"/>
    <w:rsid w:val="005C658C"/>
    <w:rsid w:val="005C6A43"/>
    <w:rsid w:val="005C6BC4"/>
    <w:rsid w:val="005C6C9F"/>
    <w:rsid w:val="005C707C"/>
    <w:rsid w:val="005C7215"/>
    <w:rsid w:val="005C75C7"/>
    <w:rsid w:val="005C7C33"/>
    <w:rsid w:val="005C7F1A"/>
    <w:rsid w:val="005D01B6"/>
    <w:rsid w:val="005D0577"/>
    <w:rsid w:val="005D0D89"/>
    <w:rsid w:val="005D0E98"/>
    <w:rsid w:val="005D11A6"/>
    <w:rsid w:val="005D1477"/>
    <w:rsid w:val="005D1892"/>
    <w:rsid w:val="005D20B9"/>
    <w:rsid w:val="005D214F"/>
    <w:rsid w:val="005D23D6"/>
    <w:rsid w:val="005D295F"/>
    <w:rsid w:val="005D2F42"/>
    <w:rsid w:val="005D2FB3"/>
    <w:rsid w:val="005D383F"/>
    <w:rsid w:val="005D38B0"/>
    <w:rsid w:val="005D4E08"/>
    <w:rsid w:val="005D522E"/>
    <w:rsid w:val="005D568D"/>
    <w:rsid w:val="005D5ADB"/>
    <w:rsid w:val="005D5BC4"/>
    <w:rsid w:val="005D6033"/>
    <w:rsid w:val="005D7695"/>
    <w:rsid w:val="005E0230"/>
    <w:rsid w:val="005E0378"/>
    <w:rsid w:val="005E04C0"/>
    <w:rsid w:val="005E06C2"/>
    <w:rsid w:val="005E0802"/>
    <w:rsid w:val="005E09ED"/>
    <w:rsid w:val="005E0B2F"/>
    <w:rsid w:val="005E0C70"/>
    <w:rsid w:val="005E0E77"/>
    <w:rsid w:val="005E0EFD"/>
    <w:rsid w:val="005E135D"/>
    <w:rsid w:val="005E149D"/>
    <w:rsid w:val="005E1E7F"/>
    <w:rsid w:val="005E1EFC"/>
    <w:rsid w:val="005E251E"/>
    <w:rsid w:val="005E26AA"/>
    <w:rsid w:val="005E28D1"/>
    <w:rsid w:val="005E292C"/>
    <w:rsid w:val="005E2A0D"/>
    <w:rsid w:val="005E3384"/>
    <w:rsid w:val="005E36F4"/>
    <w:rsid w:val="005E398C"/>
    <w:rsid w:val="005E3A2B"/>
    <w:rsid w:val="005E4064"/>
    <w:rsid w:val="005E421C"/>
    <w:rsid w:val="005E46A6"/>
    <w:rsid w:val="005E46AD"/>
    <w:rsid w:val="005E4FE0"/>
    <w:rsid w:val="005E5061"/>
    <w:rsid w:val="005E548E"/>
    <w:rsid w:val="005E56DC"/>
    <w:rsid w:val="005E57FF"/>
    <w:rsid w:val="005E5CF1"/>
    <w:rsid w:val="005E63AB"/>
    <w:rsid w:val="005E64D4"/>
    <w:rsid w:val="005E663A"/>
    <w:rsid w:val="005E6BB4"/>
    <w:rsid w:val="005E735E"/>
    <w:rsid w:val="005E73A4"/>
    <w:rsid w:val="005E78C7"/>
    <w:rsid w:val="005E7D2B"/>
    <w:rsid w:val="005E7EF1"/>
    <w:rsid w:val="005F094E"/>
    <w:rsid w:val="005F0CC6"/>
    <w:rsid w:val="005F0E34"/>
    <w:rsid w:val="005F0E3C"/>
    <w:rsid w:val="005F12FB"/>
    <w:rsid w:val="005F175C"/>
    <w:rsid w:val="005F1783"/>
    <w:rsid w:val="005F1B6C"/>
    <w:rsid w:val="005F2CEF"/>
    <w:rsid w:val="005F2D94"/>
    <w:rsid w:val="005F31A2"/>
    <w:rsid w:val="005F3B48"/>
    <w:rsid w:val="005F3BE4"/>
    <w:rsid w:val="005F3D0A"/>
    <w:rsid w:val="005F3ED2"/>
    <w:rsid w:val="005F421C"/>
    <w:rsid w:val="005F4400"/>
    <w:rsid w:val="005F49B6"/>
    <w:rsid w:val="005F4EBE"/>
    <w:rsid w:val="005F4EDB"/>
    <w:rsid w:val="005F5225"/>
    <w:rsid w:val="005F52EA"/>
    <w:rsid w:val="005F58FC"/>
    <w:rsid w:val="005F66F1"/>
    <w:rsid w:val="005F6AEE"/>
    <w:rsid w:val="005F6AF5"/>
    <w:rsid w:val="005F6E46"/>
    <w:rsid w:val="005F7238"/>
    <w:rsid w:val="005F7533"/>
    <w:rsid w:val="005F787E"/>
    <w:rsid w:val="005F7A8F"/>
    <w:rsid w:val="00600445"/>
    <w:rsid w:val="00600750"/>
    <w:rsid w:val="00601159"/>
    <w:rsid w:val="00601184"/>
    <w:rsid w:val="006015AB"/>
    <w:rsid w:val="00601C54"/>
    <w:rsid w:val="00601F24"/>
    <w:rsid w:val="00602E99"/>
    <w:rsid w:val="00602ECF"/>
    <w:rsid w:val="00602FEA"/>
    <w:rsid w:val="00603BDB"/>
    <w:rsid w:val="0060454C"/>
    <w:rsid w:val="00604602"/>
    <w:rsid w:val="00604FF3"/>
    <w:rsid w:val="006053B1"/>
    <w:rsid w:val="00605571"/>
    <w:rsid w:val="006059B3"/>
    <w:rsid w:val="00605E16"/>
    <w:rsid w:val="00605F42"/>
    <w:rsid w:val="00606115"/>
    <w:rsid w:val="006069CA"/>
    <w:rsid w:val="00606CBF"/>
    <w:rsid w:val="00606DA4"/>
    <w:rsid w:val="006073DB"/>
    <w:rsid w:val="0060745F"/>
    <w:rsid w:val="00607517"/>
    <w:rsid w:val="006079E7"/>
    <w:rsid w:val="00607C58"/>
    <w:rsid w:val="006101DD"/>
    <w:rsid w:val="006102E8"/>
    <w:rsid w:val="00610F0D"/>
    <w:rsid w:val="0061102E"/>
    <w:rsid w:val="00611056"/>
    <w:rsid w:val="00611276"/>
    <w:rsid w:val="00611993"/>
    <w:rsid w:val="006119B3"/>
    <w:rsid w:val="00611D35"/>
    <w:rsid w:val="006122E8"/>
    <w:rsid w:val="00612565"/>
    <w:rsid w:val="006125EE"/>
    <w:rsid w:val="006129AA"/>
    <w:rsid w:val="006129BD"/>
    <w:rsid w:val="00612ACB"/>
    <w:rsid w:val="00612DBE"/>
    <w:rsid w:val="00612EE5"/>
    <w:rsid w:val="00613144"/>
    <w:rsid w:val="00613258"/>
    <w:rsid w:val="006136B4"/>
    <w:rsid w:val="006138FA"/>
    <w:rsid w:val="00613C6D"/>
    <w:rsid w:val="00613D86"/>
    <w:rsid w:val="00613F9E"/>
    <w:rsid w:val="006142C9"/>
    <w:rsid w:val="006142CC"/>
    <w:rsid w:val="0061477B"/>
    <w:rsid w:val="00614B52"/>
    <w:rsid w:val="00614B87"/>
    <w:rsid w:val="0061519A"/>
    <w:rsid w:val="006153B4"/>
    <w:rsid w:val="00615552"/>
    <w:rsid w:val="006155F9"/>
    <w:rsid w:val="00615EC4"/>
    <w:rsid w:val="006168A9"/>
    <w:rsid w:val="00616BA1"/>
    <w:rsid w:val="00616D9E"/>
    <w:rsid w:val="006170F3"/>
    <w:rsid w:val="006173CD"/>
    <w:rsid w:val="006177CA"/>
    <w:rsid w:val="00617F66"/>
    <w:rsid w:val="006206FD"/>
    <w:rsid w:val="00620744"/>
    <w:rsid w:val="006208FA"/>
    <w:rsid w:val="00620A0D"/>
    <w:rsid w:val="00620CF3"/>
    <w:rsid w:val="006212E8"/>
    <w:rsid w:val="00622017"/>
    <w:rsid w:val="006229D4"/>
    <w:rsid w:val="006229F1"/>
    <w:rsid w:val="00622CF7"/>
    <w:rsid w:val="00622E18"/>
    <w:rsid w:val="00623132"/>
    <w:rsid w:val="0062332A"/>
    <w:rsid w:val="00623452"/>
    <w:rsid w:val="006238DE"/>
    <w:rsid w:val="006240B7"/>
    <w:rsid w:val="006240FA"/>
    <w:rsid w:val="00624188"/>
    <w:rsid w:val="00624240"/>
    <w:rsid w:val="00624554"/>
    <w:rsid w:val="00624609"/>
    <w:rsid w:val="00624701"/>
    <w:rsid w:val="00624818"/>
    <w:rsid w:val="00624885"/>
    <w:rsid w:val="006248D1"/>
    <w:rsid w:val="00624FF2"/>
    <w:rsid w:val="00625D06"/>
    <w:rsid w:val="00625D52"/>
    <w:rsid w:val="00625E5D"/>
    <w:rsid w:val="00626ED1"/>
    <w:rsid w:val="00626F40"/>
    <w:rsid w:val="00627115"/>
    <w:rsid w:val="006271E6"/>
    <w:rsid w:val="00627352"/>
    <w:rsid w:val="006274A5"/>
    <w:rsid w:val="006275AF"/>
    <w:rsid w:val="0062799C"/>
    <w:rsid w:val="00630055"/>
    <w:rsid w:val="00630064"/>
    <w:rsid w:val="00630229"/>
    <w:rsid w:val="00630321"/>
    <w:rsid w:val="00630347"/>
    <w:rsid w:val="006304F0"/>
    <w:rsid w:val="00630A41"/>
    <w:rsid w:val="00630B34"/>
    <w:rsid w:val="00630C1B"/>
    <w:rsid w:val="00630CBC"/>
    <w:rsid w:val="00630D60"/>
    <w:rsid w:val="00631058"/>
    <w:rsid w:val="006313DE"/>
    <w:rsid w:val="006320E0"/>
    <w:rsid w:val="00632464"/>
    <w:rsid w:val="00632488"/>
    <w:rsid w:val="00632A37"/>
    <w:rsid w:val="006330B9"/>
    <w:rsid w:val="00633495"/>
    <w:rsid w:val="0063354D"/>
    <w:rsid w:val="00633677"/>
    <w:rsid w:val="006339AB"/>
    <w:rsid w:val="00633AAF"/>
    <w:rsid w:val="00633B04"/>
    <w:rsid w:val="00633CCF"/>
    <w:rsid w:val="00633ECF"/>
    <w:rsid w:val="00634566"/>
    <w:rsid w:val="00634CF4"/>
    <w:rsid w:val="00634FED"/>
    <w:rsid w:val="00635235"/>
    <w:rsid w:val="0063541C"/>
    <w:rsid w:val="00635AD3"/>
    <w:rsid w:val="00635CA0"/>
    <w:rsid w:val="006360EF"/>
    <w:rsid w:val="00636177"/>
    <w:rsid w:val="00636428"/>
    <w:rsid w:val="0063644F"/>
    <w:rsid w:val="00636C01"/>
    <w:rsid w:val="00636EBA"/>
    <w:rsid w:val="0063706A"/>
    <w:rsid w:val="0063763C"/>
    <w:rsid w:val="0063774B"/>
    <w:rsid w:val="006378D0"/>
    <w:rsid w:val="00637DF7"/>
    <w:rsid w:val="00637EA6"/>
    <w:rsid w:val="00640A11"/>
    <w:rsid w:val="00640F18"/>
    <w:rsid w:val="0064129F"/>
    <w:rsid w:val="006414D1"/>
    <w:rsid w:val="006414F2"/>
    <w:rsid w:val="006416E9"/>
    <w:rsid w:val="00641C4E"/>
    <w:rsid w:val="00642334"/>
    <w:rsid w:val="00642337"/>
    <w:rsid w:val="00642659"/>
    <w:rsid w:val="0064293B"/>
    <w:rsid w:val="00642E6D"/>
    <w:rsid w:val="00643431"/>
    <w:rsid w:val="006437F3"/>
    <w:rsid w:val="00643DF5"/>
    <w:rsid w:val="0064479D"/>
    <w:rsid w:val="006447AD"/>
    <w:rsid w:val="00644A0D"/>
    <w:rsid w:val="00645365"/>
    <w:rsid w:val="006454B7"/>
    <w:rsid w:val="00645700"/>
    <w:rsid w:val="00645A82"/>
    <w:rsid w:val="00645B5C"/>
    <w:rsid w:val="00645CF2"/>
    <w:rsid w:val="00645F8C"/>
    <w:rsid w:val="006474C2"/>
    <w:rsid w:val="00647726"/>
    <w:rsid w:val="006478B0"/>
    <w:rsid w:val="0065004F"/>
    <w:rsid w:val="0065008B"/>
    <w:rsid w:val="006503CE"/>
    <w:rsid w:val="006507B6"/>
    <w:rsid w:val="0065083B"/>
    <w:rsid w:val="00650C4F"/>
    <w:rsid w:val="00650EFD"/>
    <w:rsid w:val="00650F8E"/>
    <w:rsid w:val="00650FC4"/>
    <w:rsid w:val="00650FF2"/>
    <w:rsid w:val="00651043"/>
    <w:rsid w:val="00651062"/>
    <w:rsid w:val="006511B0"/>
    <w:rsid w:val="00651311"/>
    <w:rsid w:val="00651371"/>
    <w:rsid w:val="00651535"/>
    <w:rsid w:val="006515B4"/>
    <w:rsid w:val="00651B5C"/>
    <w:rsid w:val="00651B64"/>
    <w:rsid w:val="00651DD4"/>
    <w:rsid w:val="0065233E"/>
    <w:rsid w:val="006526D3"/>
    <w:rsid w:val="00652AF2"/>
    <w:rsid w:val="00652B24"/>
    <w:rsid w:val="006530DF"/>
    <w:rsid w:val="00653167"/>
    <w:rsid w:val="006535D6"/>
    <w:rsid w:val="00653711"/>
    <w:rsid w:val="00653848"/>
    <w:rsid w:val="00653A54"/>
    <w:rsid w:val="00653D1C"/>
    <w:rsid w:val="006541B8"/>
    <w:rsid w:val="00654359"/>
    <w:rsid w:val="00654443"/>
    <w:rsid w:val="00654B35"/>
    <w:rsid w:val="00654FB0"/>
    <w:rsid w:val="00655066"/>
    <w:rsid w:val="006550FE"/>
    <w:rsid w:val="00655B05"/>
    <w:rsid w:val="00655BEF"/>
    <w:rsid w:val="00655C92"/>
    <w:rsid w:val="00656292"/>
    <w:rsid w:val="0065662B"/>
    <w:rsid w:val="00657324"/>
    <w:rsid w:val="00657584"/>
    <w:rsid w:val="00657D75"/>
    <w:rsid w:val="00657FF2"/>
    <w:rsid w:val="00660E18"/>
    <w:rsid w:val="00660EA5"/>
    <w:rsid w:val="00661309"/>
    <w:rsid w:val="006616ED"/>
    <w:rsid w:val="00661841"/>
    <w:rsid w:val="00661E77"/>
    <w:rsid w:val="0066205E"/>
    <w:rsid w:val="006621AF"/>
    <w:rsid w:val="0066242B"/>
    <w:rsid w:val="006626BA"/>
    <w:rsid w:val="00662B5C"/>
    <w:rsid w:val="00662FD9"/>
    <w:rsid w:val="00663189"/>
    <w:rsid w:val="00663731"/>
    <w:rsid w:val="00663C0D"/>
    <w:rsid w:val="00664A9C"/>
    <w:rsid w:val="00664C0E"/>
    <w:rsid w:val="0066505A"/>
    <w:rsid w:val="00665321"/>
    <w:rsid w:val="006656F7"/>
    <w:rsid w:val="006658EE"/>
    <w:rsid w:val="00666545"/>
    <w:rsid w:val="00666C4E"/>
    <w:rsid w:val="00666D05"/>
    <w:rsid w:val="00667054"/>
    <w:rsid w:val="0066736D"/>
    <w:rsid w:val="00667684"/>
    <w:rsid w:val="00667A5A"/>
    <w:rsid w:val="00667F9A"/>
    <w:rsid w:val="006701CD"/>
    <w:rsid w:val="006706CA"/>
    <w:rsid w:val="00670A8D"/>
    <w:rsid w:val="00671050"/>
    <w:rsid w:val="00671108"/>
    <w:rsid w:val="00671156"/>
    <w:rsid w:val="0067119D"/>
    <w:rsid w:val="006711A8"/>
    <w:rsid w:val="006712EA"/>
    <w:rsid w:val="00671D07"/>
    <w:rsid w:val="00671F44"/>
    <w:rsid w:val="006721F0"/>
    <w:rsid w:val="00672558"/>
    <w:rsid w:val="0067291F"/>
    <w:rsid w:val="00672B7D"/>
    <w:rsid w:val="00672BD3"/>
    <w:rsid w:val="00673584"/>
    <w:rsid w:val="006737B7"/>
    <w:rsid w:val="00673907"/>
    <w:rsid w:val="00673C31"/>
    <w:rsid w:val="00674459"/>
    <w:rsid w:val="00674654"/>
    <w:rsid w:val="00674680"/>
    <w:rsid w:val="00674775"/>
    <w:rsid w:val="00674F08"/>
    <w:rsid w:val="0067523C"/>
    <w:rsid w:val="006752A2"/>
    <w:rsid w:val="006752D0"/>
    <w:rsid w:val="006758C8"/>
    <w:rsid w:val="006759A0"/>
    <w:rsid w:val="00675F8A"/>
    <w:rsid w:val="00676134"/>
    <w:rsid w:val="006763F4"/>
    <w:rsid w:val="006766F1"/>
    <w:rsid w:val="00676CA9"/>
    <w:rsid w:val="00676CD6"/>
    <w:rsid w:val="006770E3"/>
    <w:rsid w:val="00677543"/>
    <w:rsid w:val="00677E61"/>
    <w:rsid w:val="0068060E"/>
    <w:rsid w:val="0068123D"/>
    <w:rsid w:val="0068141C"/>
    <w:rsid w:val="0068213C"/>
    <w:rsid w:val="006823F2"/>
    <w:rsid w:val="006824DE"/>
    <w:rsid w:val="0068285F"/>
    <w:rsid w:val="00682A29"/>
    <w:rsid w:val="00682A5F"/>
    <w:rsid w:val="0068354B"/>
    <w:rsid w:val="0068356C"/>
    <w:rsid w:val="00683D3F"/>
    <w:rsid w:val="00684134"/>
    <w:rsid w:val="00684AFD"/>
    <w:rsid w:val="006854EC"/>
    <w:rsid w:val="00685640"/>
    <w:rsid w:val="00685999"/>
    <w:rsid w:val="00685DC7"/>
    <w:rsid w:val="00685FAE"/>
    <w:rsid w:val="00686005"/>
    <w:rsid w:val="0068625D"/>
    <w:rsid w:val="00686B2E"/>
    <w:rsid w:val="00686F16"/>
    <w:rsid w:val="00687CF7"/>
    <w:rsid w:val="0069014F"/>
    <w:rsid w:val="0069046F"/>
    <w:rsid w:val="006907DA"/>
    <w:rsid w:val="00690A6D"/>
    <w:rsid w:val="00690EC5"/>
    <w:rsid w:val="006911E4"/>
    <w:rsid w:val="0069174E"/>
    <w:rsid w:val="00691F0D"/>
    <w:rsid w:val="00692110"/>
    <w:rsid w:val="0069256E"/>
    <w:rsid w:val="006926E5"/>
    <w:rsid w:val="00692DDA"/>
    <w:rsid w:val="00692E40"/>
    <w:rsid w:val="00692F5C"/>
    <w:rsid w:val="00692F94"/>
    <w:rsid w:val="0069325B"/>
    <w:rsid w:val="0069337F"/>
    <w:rsid w:val="006937C8"/>
    <w:rsid w:val="00693EBD"/>
    <w:rsid w:val="0069434B"/>
    <w:rsid w:val="00694716"/>
    <w:rsid w:val="0069476E"/>
    <w:rsid w:val="006949CF"/>
    <w:rsid w:val="00694AAB"/>
    <w:rsid w:val="00694D84"/>
    <w:rsid w:val="00695174"/>
    <w:rsid w:val="00695799"/>
    <w:rsid w:val="00695AA3"/>
    <w:rsid w:val="00696175"/>
    <w:rsid w:val="006963BA"/>
    <w:rsid w:val="00696C7E"/>
    <w:rsid w:val="00696CD8"/>
    <w:rsid w:val="00697A6E"/>
    <w:rsid w:val="00697B29"/>
    <w:rsid w:val="00697F74"/>
    <w:rsid w:val="006A00D3"/>
    <w:rsid w:val="006A0385"/>
    <w:rsid w:val="006A0447"/>
    <w:rsid w:val="006A06C9"/>
    <w:rsid w:val="006A0B96"/>
    <w:rsid w:val="006A10D3"/>
    <w:rsid w:val="006A1118"/>
    <w:rsid w:val="006A12EF"/>
    <w:rsid w:val="006A16B7"/>
    <w:rsid w:val="006A1826"/>
    <w:rsid w:val="006A1918"/>
    <w:rsid w:val="006A1999"/>
    <w:rsid w:val="006A1BF4"/>
    <w:rsid w:val="006A2517"/>
    <w:rsid w:val="006A29A3"/>
    <w:rsid w:val="006A3090"/>
    <w:rsid w:val="006A3329"/>
    <w:rsid w:val="006A36EB"/>
    <w:rsid w:val="006A378F"/>
    <w:rsid w:val="006A3914"/>
    <w:rsid w:val="006A39F9"/>
    <w:rsid w:val="006A3D5C"/>
    <w:rsid w:val="006A4732"/>
    <w:rsid w:val="006A4974"/>
    <w:rsid w:val="006A5312"/>
    <w:rsid w:val="006A59FA"/>
    <w:rsid w:val="006A5A34"/>
    <w:rsid w:val="006A6265"/>
    <w:rsid w:val="006A6A33"/>
    <w:rsid w:val="006A6B9B"/>
    <w:rsid w:val="006A6BA5"/>
    <w:rsid w:val="006A6BE2"/>
    <w:rsid w:val="006A6E1C"/>
    <w:rsid w:val="006A6EBE"/>
    <w:rsid w:val="006A6F88"/>
    <w:rsid w:val="006A71AD"/>
    <w:rsid w:val="006A7291"/>
    <w:rsid w:val="006A72A4"/>
    <w:rsid w:val="006B0570"/>
    <w:rsid w:val="006B06DA"/>
    <w:rsid w:val="006B09DC"/>
    <w:rsid w:val="006B0FCD"/>
    <w:rsid w:val="006B10E4"/>
    <w:rsid w:val="006B1211"/>
    <w:rsid w:val="006B1761"/>
    <w:rsid w:val="006B19A3"/>
    <w:rsid w:val="006B1C9D"/>
    <w:rsid w:val="006B21B7"/>
    <w:rsid w:val="006B2287"/>
    <w:rsid w:val="006B247D"/>
    <w:rsid w:val="006B295F"/>
    <w:rsid w:val="006B29B1"/>
    <w:rsid w:val="006B2CB6"/>
    <w:rsid w:val="006B2E1E"/>
    <w:rsid w:val="006B2E94"/>
    <w:rsid w:val="006B2FB2"/>
    <w:rsid w:val="006B308E"/>
    <w:rsid w:val="006B30B7"/>
    <w:rsid w:val="006B3975"/>
    <w:rsid w:val="006B3BD6"/>
    <w:rsid w:val="006B4194"/>
    <w:rsid w:val="006B4727"/>
    <w:rsid w:val="006B4733"/>
    <w:rsid w:val="006B4A1B"/>
    <w:rsid w:val="006B4A8E"/>
    <w:rsid w:val="006B51AE"/>
    <w:rsid w:val="006B53AC"/>
    <w:rsid w:val="006B53DE"/>
    <w:rsid w:val="006B56F4"/>
    <w:rsid w:val="006B593C"/>
    <w:rsid w:val="006B5F22"/>
    <w:rsid w:val="006B6060"/>
    <w:rsid w:val="006B66B8"/>
    <w:rsid w:val="006B6EFA"/>
    <w:rsid w:val="006B7069"/>
    <w:rsid w:val="006B75D7"/>
    <w:rsid w:val="006B7995"/>
    <w:rsid w:val="006B7B29"/>
    <w:rsid w:val="006B7C6A"/>
    <w:rsid w:val="006B7FB3"/>
    <w:rsid w:val="006C0381"/>
    <w:rsid w:val="006C112F"/>
    <w:rsid w:val="006C1673"/>
    <w:rsid w:val="006C216E"/>
    <w:rsid w:val="006C25A5"/>
    <w:rsid w:val="006C35E8"/>
    <w:rsid w:val="006C4333"/>
    <w:rsid w:val="006C4758"/>
    <w:rsid w:val="006C5479"/>
    <w:rsid w:val="006C5895"/>
    <w:rsid w:val="006C5AD5"/>
    <w:rsid w:val="006C5D6B"/>
    <w:rsid w:val="006C6530"/>
    <w:rsid w:val="006C66D5"/>
    <w:rsid w:val="006C6745"/>
    <w:rsid w:val="006C698E"/>
    <w:rsid w:val="006C6E20"/>
    <w:rsid w:val="006C715D"/>
    <w:rsid w:val="006C75E4"/>
    <w:rsid w:val="006C775A"/>
    <w:rsid w:val="006C784A"/>
    <w:rsid w:val="006C7F61"/>
    <w:rsid w:val="006D016E"/>
    <w:rsid w:val="006D038A"/>
    <w:rsid w:val="006D049F"/>
    <w:rsid w:val="006D0776"/>
    <w:rsid w:val="006D0A97"/>
    <w:rsid w:val="006D14E2"/>
    <w:rsid w:val="006D1655"/>
    <w:rsid w:val="006D1E7C"/>
    <w:rsid w:val="006D1F2D"/>
    <w:rsid w:val="006D2483"/>
    <w:rsid w:val="006D2901"/>
    <w:rsid w:val="006D2B51"/>
    <w:rsid w:val="006D3CEF"/>
    <w:rsid w:val="006D3D1A"/>
    <w:rsid w:val="006D40CD"/>
    <w:rsid w:val="006D439F"/>
    <w:rsid w:val="006D4CD6"/>
    <w:rsid w:val="006D4D97"/>
    <w:rsid w:val="006D501D"/>
    <w:rsid w:val="006D5185"/>
    <w:rsid w:val="006D547B"/>
    <w:rsid w:val="006D57AD"/>
    <w:rsid w:val="006D5E01"/>
    <w:rsid w:val="006D5F02"/>
    <w:rsid w:val="006D5F60"/>
    <w:rsid w:val="006D5FC6"/>
    <w:rsid w:val="006D604F"/>
    <w:rsid w:val="006D61B7"/>
    <w:rsid w:val="006D6FC4"/>
    <w:rsid w:val="006D73FD"/>
    <w:rsid w:val="006D79DC"/>
    <w:rsid w:val="006D7AE3"/>
    <w:rsid w:val="006D7E30"/>
    <w:rsid w:val="006D7F08"/>
    <w:rsid w:val="006E0859"/>
    <w:rsid w:val="006E0B40"/>
    <w:rsid w:val="006E11E8"/>
    <w:rsid w:val="006E15F6"/>
    <w:rsid w:val="006E1830"/>
    <w:rsid w:val="006E1B4B"/>
    <w:rsid w:val="006E2831"/>
    <w:rsid w:val="006E28A8"/>
    <w:rsid w:val="006E2A32"/>
    <w:rsid w:val="006E2A8E"/>
    <w:rsid w:val="006E32C5"/>
    <w:rsid w:val="006E3405"/>
    <w:rsid w:val="006E3877"/>
    <w:rsid w:val="006E3FE7"/>
    <w:rsid w:val="006E444A"/>
    <w:rsid w:val="006E4A78"/>
    <w:rsid w:val="006E4D2B"/>
    <w:rsid w:val="006E4F71"/>
    <w:rsid w:val="006E57EB"/>
    <w:rsid w:val="006E5943"/>
    <w:rsid w:val="006E5DCC"/>
    <w:rsid w:val="006E5F9F"/>
    <w:rsid w:val="006E6625"/>
    <w:rsid w:val="006E6812"/>
    <w:rsid w:val="006E6A60"/>
    <w:rsid w:val="006E6E17"/>
    <w:rsid w:val="006E71A2"/>
    <w:rsid w:val="006E733C"/>
    <w:rsid w:val="006E749B"/>
    <w:rsid w:val="006E752D"/>
    <w:rsid w:val="006E75F0"/>
    <w:rsid w:val="006E7837"/>
    <w:rsid w:val="006E7F4D"/>
    <w:rsid w:val="006E7FF6"/>
    <w:rsid w:val="006F091D"/>
    <w:rsid w:val="006F0C21"/>
    <w:rsid w:val="006F0F5C"/>
    <w:rsid w:val="006F1533"/>
    <w:rsid w:val="006F1738"/>
    <w:rsid w:val="006F1B0F"/>
    <w:rsid w:val="006F1B76"/>
    <w:rsid w:val="006F1D60"/>
    <w:rsid w:val="006F1E8B"/>
    <w:rsid w:val="006F211F"/>
    <w:rsid w:val="006F2130"/>
    <w:rsid w:val="006F23B6"/>
    <w:rsid w:val="006F2880"/>
    <w:rsid w:val="006F29BC"/>
    <w:rsid w:val="006F2A1D"/>
    <w:rsid w:val="006F2EEF"/>
    <w:rsid w:val="006F3269"/>
    <w:rsid w:val="006F3A32"/>
    <w:rsid w:val="006F3A51"/>
    <w:rsid w:val="006F3AFD"/>
    <w:rsid w:val="006F3F7D"/>
    <w:rsid w:val="006F3F84"/>
    <w:rsid w:val="006F3FDD"/>
    <w:rsid w:val="006F4023"/>
    <w:rsid w:val="006F4943"/>
    <w:rsid w:val="006F546F"/>
    <w:rsid w:val="006F5505"/>
    <w:rsid w:val="006F55FD"/>
    <w:rsid w:val="006F5CBD"/>
    <w:rsid w:val="006F5FBC"/>
    <w:rsid w:val="006F6083"/>
    <w:rsid w:val="006F64CF"/>
    <w:rsid w:val="006F687F"/>
    <w:rsid w:val="006F6F97"/>
    <w:rsid w:val="006F71C3"/>
    <w:rsid w:val="006F729E"/>
    <w:rsid w:val="006F7325"/>
    <w:rsid w:val="006F73BF"/>
    <w:rsid w:val="006F74B0"/>
    <w:rsid w:val="006F7A26"/>
    <w:rsid w:val="00700849"/>
    <w:rsid w:val="00700A2A"/>
    <w:rsid w:val="00700B64"/>
    <w:rsid w:val="00700F19"/>
    <w:rsid w:val="00700F1E"/>
    <w:rsid w:val="00701AF8"/>
    <w:rsid w:val="00701C98"/>
    <w:rsid w:val="00701D84"/>
    <w:rsid w:val="00701E55"/>
    <w:rsid w:val="0070205E"/>
    <w:rsid w:val="00702465"/>
    <w:rsid w:val="0070252A"/>
    <w:rsid w:val="00702676"/>
    <w:rsid w:val="00702774"/>
    <w:rsid w:val="00703859"/>
    <w:rsid w:val="00703E60"/>
    <w:rsid w:val="00703F5C"/>
    <w:rsid w:val="00704639"/>
    <w:rsid w:val="0070473D"/>
    <w:rsid w:val="007048A9"/>
    <w:rsid w:val="00704C4D"/>
    <w:rsid w:val="00704EF7"/>
    <w:rsid w:val="007053D3"/>
    <w:rsid w:val="007062F7"/>
    <w:rsid w:val="00707217"/>
    <w:rsid w:val="007072A8"/>
    <w:rsid w:val="007076AB"/>
    <w:rsid w:val="0070780D"/>
    <w:rsid w:val="00707B41"/>
    <w:rsid w:val="00707BAF"/>
    <w:rsid w:val="0071016F"/>
    <w:rsid w:val="007102DF"/>
    <w:rsid w:val="00710CA9"/>
    <w:rsid w:val="007118D0"/>
    <w:rsid w:val="007118F2"/>
    <w:rsid w:val="00711A09"/>
    <w:rsid w:val="00711A7B"/>
    <w:rsid w:val="00711D98"/>
    <w:rsid w:val="00711E8D"/>
    <w:rsid w:val="00711FE4"/>
    <w:rsid w:val="007120E4"/>
    <w:rsid w:val="007124BC"/>
    <w:rsid w:val="0071259F"/>
    <w:rsid w:val="007127B4"/>
    <w:rsid w:val="00712B4C"/>
    <w:rsid w:val="00712CE6"/>
    <w:rsid w:val="00712CF3"/>
    <w:rsid w:val="00713BDF"/>
    <w:rsid w:val="00713DAE"/>
    <w:rsid w:val="007140C9"/>
    <w:rsid w:val="00714160"/>
    <w:rsid w:val="00714265"/>
    <w:rsid w:val="007142B6"/>
    <w:rsid w:val="0071436D"/>
    <w:rsid w:val="0071481F"/>
    <w:rsid w:val="00714E34"/>
    <w:rsid w:val="007155BB"/>
    <w:rsid w:val="007156C7"/>
    <w:rsid w:val="00715B07"/>
    <w:rsid w:val="00715BA3"/>
    <w:rsid w:val="007160C6"/>
    <w:rsid w:val="007161DB"/>
    <w:rsid w:val="0071677E"/>
    <w:rsid w:val="007169CD"/>
    <w:rsid w:val="00716C96"/>
    <w:rsid w:val="00717000"/>
    <w:rsid w:val="00717560"/>
    <w:rsid w:val="00717897"/>
    <w:rsid w:val="00717979"/>
    <w:rsid w:val="00717CA1"/>
    <w:rsid w:val="00721167"/>
    <w:rsid w:val="00721223"/>
    <w:rsid w:val="007213CA"/>
    <w:rsid w:val="00721F93"/>
    <w:rsid w:val="007224DF"/>
    <w:rsid w:val="007227DB"/>
    <w:rsid w:val="007229DF"/>
    <w:rsid w:val="00723234"/>
    <w:rsid w:val="00723F4C"/>
    <w:rsid w:val="0072404D"/>
    <w:rsid w:val="00724074"/>
    <w:rsid w:val="0072499B"/>
    <w:rsid w:val="00724B1F"/>
    <w:rsid w:val="0072516D"/>
    <w:rsid w:val="00726374"/>
    <w:rsid w:val="007263E7"/>
    <w:rsid w:val="007265E6"/>
    <w:rsid w:val="00726CF8"/>
    <w:rsid w:val="00727053"/>
    <w:rsid w:val="007274B1"/>
    <w:rsid w:val="0072790E"/>
    <w:rsid w:val="00727ACC"/>
    <w:rsid w:val="00727E38"/>
    <w:rsid w:val="00727FD8"/>
    <w:rsid w:val="007304D4"/>
    <w:rsid w:val="0073074B"/>
    <w:rsid w:val="007308A8"/>
    <w:rsid w:val="0073098F"/>
    <w:rsid w:val="00730B24"/>
    <w:rsid w:val="00730B27"/>
    <w:rsid w:val="00730EDF"/>
    <w:rsid w:val="007310E4"/>
    <w:rsid w:val="00731374"/>
    <w:rsid w:val="0073164C"/>
    <w:rsid w:val="00731C11"/>
    <w:rsid w:val="00731DCF"/>
    <w:rsid w:val="00731EEF"/>
    <w:rsid w:val="00731F1F"/>
    <w:rsid w:val="00731FB0"/>
    <w:rsid w:val="007320B1"/>
    <w:rsid w:val="007328C6"/>
    <w:rsid w:val="00733428"/>
    <w:rsid w:val="0073342A"/>
    <w:rsid w:val="00733435"/>
    <w:rsid w:val="007338E0"/>
    <w:rsid w:val="00733C45"/>
    <w:rsid w:val="00733CB4"/>
    <w:rsid w:val="00733F8C"/>
    <w:rsid w:val="00734468"/>
    <w:rsid w:val="00734DC5"/>
    <w:rsid w:val="007351B5"/>
    <w:rsid w:val="00735728"/>
    <w:rsid w:val="007368EA"/>
    <w:rsid w:val="00736A2E"/>
    <w:rsid w:val="00736B7D"/>
    <w:rsid w:val="00736E16"/>
    <w:rsid w:val="00736E95"/>
    <w:rsid w:val="007370D5"/>
    <w:rsid w:val="007370FA"/>
    <w:rsid w:val="00737131"/>
    <w:rsid w:val="00737834"/>
    <w:rsid w:val="00737E57"/>
    <w:rsid w:val="00740685"/>
    <w:rsid w:val="0074125F"/>
    <w:rsid w:val="007412A6"/>
    <w:rsid w:val="007413A1"/>
    <w:rsid w:val="00741422"/>
    <w:rsid w:val="00741484"/>
    <w:rsid w:val="00741614"/>
    <w:rsid w:val="0074175A"/>
    <w:rsid w:val="00741E3D"/>
    <w:rsid w:val="007426FD"/>
    <w:rsid w:val="00742780"/>
    <w:rsid w:val="00742A6F"/>
    <w:rsid w:val="00743320"/>
    <w:rsid w:val="0074349E"/>
    <w:rsid w:val="00743D41"/>
    <w:rsid w:val="00743D5B"/>
    <w:rsid w:val="00744117"/>
    <w:rsid w:val="00744975"/>
    <w:rsid w:val="00744A21"/>
    <w:rsid w:val="00744A39"/>
    <w:rsid w:val="00744E85"/>
    <w:rsid w:val="00744FD6"/>
    <w:rsid w:val="00745516"/>
    <w:rsid w:val="00745524"/>
    <w:rsid w:val="00745B3D"/>
    <w:rsid w:val="00745D4D"/>
    <w:rsid w:val="00746DB2"/>
    <w:rsid w:val="0074715E"/>
    <w:rsid w:val="00747256"/>
    <w:rsid w:val="00747783"/>
    <w:rsid w:val="00747976"/>
    <w:rsid w:val="00750231"/>
    <w:rsid w:val="0075073E"/>
    <w:rsid w:val="0075080A"/>
    <w:rsid w:val="00750CA7"/>
    <w:rsid w:val="00750F78"/>
    <w:rsid w:val="00750F7F"/>
    <w:rsid w:val="00751AD9"/>
    <w:rsid w:val="00751CC2"/>
    <w:rsid w:val="00751E5C"/>
    <w:rsid w:val="00752043"/>
    <w:rsid w:val="007520D7"/>
    <w:rsid w:val="007524D4"/>
    <w:rsid w:val="007525BF"/>
    <w:rsid w:val="00752891"/>
    <w:rsid w:val="00752D95"/>
    <w:rsid w:val="00752EA5"/>
    <w:rsid w:val="007530D9"/>
    <w:rsid w:val="00754060"/>
    <w:rsid w:val="007540A1"/>
    <w:rsid w:val="007541D3"/>
    <w:rsid w:val="0075457E"/>
    <w:rsid w:val="0075459F"/>
    <w:rsid w:val="0075476E"/>
    <w:rsid w:val="00754845"/>
    <w:rsid w:val="00754955"/>
    <w:rsid w:val="00754CDF"/>
    <w:rsid w:val="00754CE5"/>
    <w:rsid w:val="00754D6C"/>
    <w:rsid w:val="00754F2A"/>
    <w:rsid w:val="00754FD9"/>
    <w:rsid w:val="007556D8"/>
    <w:rsid w:val="0075601B"/>
    <w:rsid w:val="007566E8"/>
    <w:rsid w:val="00756B20"/>
    <w:rsid w:val="00756BF2"/>
    <w:rsid w:val="00756DE3"/>
    <w:rsid w:val="00757ADF"/>
    <w:rsid w:val="00757B5D"/>
    <w:rsid w:val="00760098"/>
    <w:rsid w:val="00760373"/>
    <w:rsid w:val="00760423"/>
    <w:rsid w:val="007605F1"/>
    <w:rsid w:val="00760600"/>
    <w:rsid w:val="00760635"/>
    <w:rsid w:val="00760882"/>
    <w:rsid w:val="00760CBA"/>
    <w:rsid w:val="00760E75"/>
    <w:rsid w:val="007610DE"/>
    <w:rsid w:val="007617AF"/>
    <w:rsid w:val="00761DD8"/>
    <w:rsid w:val="00761EBC"/>
    <w:rsid w:val="00762707"/>
    <w:rsid w:val="00762C2C"/>
    <w:rsid w:val="00762EA6"/>
    <w:rsid w:val="00763644"/>
    <w:rsid w:val="00763777"/>
    <w:rsid w:val="0076392B"/>
    <w:rsid w:val="00763B36"/>
    <w:rsid w:val="00763B4D"/>
    <w:rsid w:val="00763CE8"/>
    <w:rsid w:val="00763EEF"/>
    <w:rsid w:val="007647D6"/>
    <w:rsid w:val="0076491C"/>
    <w:rsid w:val="00764F84"/>
    <w:rsid w:val="00764F9F"/>
    <w:rsid w:val="00765CA9"/>
    <w:rsid w:val="00766729"/>
    <w:rsid w:val="00766B99"/>
    <w:rsid w:val="00766F89"/>
    <w:rsid w:val="00767414"/>
    <w:rsid w:val="0076771E"/>
    <w:rsid w:val="00767F80"/>
    <w:rsid w:val="007702CE"/>
    <w:rsid w:val="00770350"/>
    <w:rsid w:val="007705B5"/>
    <w:rsid w:val="00770785"/>
    <w:rsid w:val="00770897"/>
    <w:rsid w:val="00770D62"/>
    <w:rsid w:val="00771031"/>
    <w:rsid w:val="007713FD"/>
    <w:rsid w:val="0077141E"/>
    <w:rsid w:val="00771973"/>
    <w:rsid w:val="00771C01"/>
    <w:rsid w:val="00772B25"/>
    <w:rsid w:val="00772C5C"/>
    <w:rsid w:val="00772DB5"/>
    <w:rsid w:val="007732B8"/>
    <w:rsid w:val="0077344A"/>
    <w:rsid w:val="00773572"/>
    <w:rsid w:val="007735E5"/>
    <w:rsid w:val="007737A3"/>
    <w:rsid w:val="007738D0"/>
    <w:rsid w:val="00773A02"/>
    <w:rsid w:val="00773E3D"/>
    <w:rsid w:val="00773F26"/>
    <w:rsid w:val="00773F8A"/>
    <w:rsid w:val="00774015"/>
    <w:rsid w:val="0077403D"/>
    <w:rsid w:val="00774146"/>
    <w:rsid w:val="007743CC"/>
    <w:rsid w:val="00774922"/>
    <w:rsid w:val="00774973"/>
    <w:rsid w:val="0077508D"/>
    <w:rsid w:val="007750FD"/>
    <w:rsid w:val="007753CD"/>
    <w:rsid w:val="0077547B"/>
    <w:rsid w:val="00775AD4"/>
    <w:rsid w:val="00775BC8"/>
    <w:rsid w:val="00775CCB"/>
    <w:rsid w:val="00776415"/>
    <w:rsid w:val="00777185"/>
    <w:rsid w:val="00777286"/>
    <w:rsid w:val="00777400"/>
    <w:rsid w:val="007776F3"/>
    <w:rsid w:val="00777BD4"/>
    <w:rsid w:val="00777CF2"/>
    <w:rsid w:val="00780FA1"/>
    <w:rsid w:val="00781A39"/>
    <w:rsid w:val="00781F10"/>
    <w:rsid w:val="00781F5E"/>
    <w:rsid w:val="00782726"/>
    <w:rsid w:val="0078287F"/>
    <w:rsid w:val="00782DDE"/>
    <w:rsid w:val="00783067"/>
    <w:rsid w:val="00783988"/>
    <w:rsid w:val="00783B59"/>
    <w:rsid w:val="00783F14"/>
    <w:rsid w:val="00783FC7"/>
    <w:rsid w:val="0078409F"/>
    <w:rsid w:val="007844EB"/>
    <w:rsid w:val="007847DF"/>
    <w:rsid w:val="00784832"/>
    <w:rsid w:val="00784ACD"/>
    <w:rsid w:val="00784D80"/>
    <w:rsid w:val="00785C13"/>
    <w:rsid w:val="00785C32"/>
    <w:rsid w:val="00786C66"/>
    <w:rsid w:val="00786CA0"/>
    <w:rsid w:val="00787134"/>
    <w:rsid w:val="007871FA"/>
    <w:rsid w:val="007905E8"/>
    <w:rsid w:val="00791564"/>
    <w:rsid w:val="00791A53"/>
    <w:rsid w:val="00791C0B"/>
    <w:rsid w:val="00791C93"/>
    <w:rsid w:val="00792779"/>
    <w:rsid w:val="00792C7C"/>
    <w:rsid w:val="00793078"/>
    <w:rsid w:val="007931EC"/>
    <w:rsid w:val="007935FA"/>
    <w:rsid w:val="00793625"/>
    <w:rsid w:val="00793751"/>
    <w:rsid w:val="0079387F"/>
    <w:rsid w:val="0079394C"/>
    <w:rsid w:val="00793C30"/>
    <w:rsid w:val="00793D00"/>
    <w:rsid w:val="00794903"/>
    <w:rsid w:val="00794DD7"/>
    <w:rsid w:val="00794E2E"/>
    <w:rsid w:val="00795005"/>
    <w:rsid w:val="007952A3"/>
    <w:rsid w:val="00795BFF"/>
    <w:rsid w:val="00795D0F"/>
    <w:rsid w:val="00795FD7"/>
    <w:rsid w:val="00796019"/>
    <w:rsid w:val="00796090"/>
    <w:rsid w:val="00796AE8"/>
    <w:rsid w:val="007972DA"/>
    <w:rsid w:val="00797308"/>
    <w:rsid w:val="00797B83"/>
    <w:rsid w:val="00797BB3"/>
    <w:rsid w:val="007A062C"/>
    <w:rsid w:val="007A0952"/>
    <w:rsid w:val="007A0A1B"/>
    <w:rsid w:val="007A102E"/>
    <w:rsid w:val="007A1966"/>
    <w:rsid w:val="007A20DA"/>
    <w:rsid w:val="007A24A2"/>
    <w:rsid w:val="007A2DFB"/>
    <w:rsid w:val="007A33DC"/>
    <w:rsid w:val="007A369A"/>
    <w:rsid w:val="007A37C9"/>
    <w:rsid w:val="007A3A3F"/>
    <w:rsid w:val="007A43E6"/>
    <w:rsid w:val="007A49F2"/>
    <w:rsid w:val="007A4F8D"/>
    <w:rsid w:val="007A52E6"/>
    <w:rsid w:val="007A5375"/>
    <w:rsid w:val="007A53F1"/>
    <w:rsid w:val="007A5426"/>
    <w:rsid w:val="007A5560"/>
    <w:rsid w:val="007A56D1"/>
    <w:rsid w:val="007A56E3"/>
    <w:rsid w:val="007A586B"/>
    <w:rsid w:val="007A5B03"/>
    <w:rsid w:val="007A5D1F"/>
    <w:rsid w:val="007A5EA0"/>
    <w:rsid w:val="007A60F8"/>
    <w:rsid w:val="007A6877"/>
    <w:rsid w:val="007A72D9"/>
    <w:rsid w:val="007A75AA"/>
    <w:rsid w:val="007A7888"/>
    <w:rsid w:val="007A78A3"/>
    <w:rsid w:val="007A7A3B"/>
    <w:rsid w:val="007A7C35"/>
    <w:rsid w:val="007B0028"/>
    <w:rsid w:val="007B03C3"/>
    <w:rsid w:val="007B0626"/>
    <w:rsid w:val="007B0639"/>
    <w:rsid w:val="007B0905"/>
    <w:rsid w:val="007B0C1A"/>
    <w:rsid w:val="007B0C2C"/>
    <w:rsid w:val="007B16B1"/>
    <w:rsid w:val="007B1DA1"/>
    <w:rsid w:val="007B2100"/>
    <w:rsid w:val="007B2646"/>
    <w:rsid w:val="007B26B2"/>
    <w:rsid w:val="007B2EA9"/>
    <w:rsid w:val="007B2EB7"/>
    <w:rsid w:val="007B2FC7"/>
    <w:rsid w:val="007B329D"/>
    <w:rsid w:val="007B378C"/>
    <w:rsid w:val="007B3C87"/>
    <w:rsid w:val="007B444E"/>
    <w:rsid w:val="007B4B61"/>
    <w:rsid w:val="007B4C90"/>
    <w:rsid w:val="007B4E14"/>
    <w:rsid w:val="007B5978"/>
    <w:rsid w:val="007B5B61"/>
    <w:rsid w:val="007B5CAC"/>
    <w:rsid w:val="007B6408"/>
    <w:rsid w:val="007B6757"/>
    <w:rsid w:val="007B6A9D"/>
    <w:rsid w:val="007B6B87"/>
    <w:rsid w:val="007B6DE8"/>
    <w:rsid w:val="007B73C3"/>
    <w:rsid w:val="007B74E2"/>
    <w:rsid w:val="007B7703"/>
    <w:rsid w:val="007B79F7"/>
    <w:rsid w:val="007B7C7B"/>
    <w:rsid w:val="007B7D3A"/>
    <w:rsid w:val="007B7E13"/>
    <w:rsid w:val="007C02A5"/>
    <w:rsid w:val="007C0A9D"/>
    <w:rsid w:val="007C0F5A"/>
    <w:rsid w:val="007C1BBD"/>
    <w:rsid w:val="007C1D11"/>
    <w:rsid w:val="007C1E4B"/>
    <w:rsid w:val="007C1EF2"/>
    <w:rsid w:val="007C20D5"/>
    <w:rsid w:val="007C2612"/>
    <w:rsid w:val="007C30E8"/>
    <w:rsid w:val="007C33F7"/>
    <w:rsid w:val="007C3921"/>
    <w:rsid w:val="007C4007"/>
    <w:rsid w:val="007C420E"/>
    <w:rsid w:val="007C4D65"/>
    <w:rsid w:val="007C52D9"/>
    <w:rsid w:val="007C55C0"/>
    <w:rsid w:val="007C5635"/>
    <w:rsid w:val="007C5770"/>
    <w:rsid w:val="007C5A57"/>
    <w:rsid w:val="007C600B"/>
    <w:rsid w:val="007C6461"/>
    <w:rsid w:val="007C6809"/>
    <w:rsid w:val="007C69F3"/>
    <w:rsid w:val="007C6B82"/>
    <w:rsid w:val="007C6BC8"/>
    <w:rsid w:val="007C6BE9"/>
    <w:rsid w:val="007C7103"/>
    <w:rsid w:val="007C72D5"/>
    <w:rsid w:val="007C7852"/>
    <w:rsid w:val="007C7F60"/>
    <w:rsid w:val="007D0CC9"/>
    <w:rsid w:val="007D0E26"/>
    <w:rsid w:val="007D115E"/>
    <w:rsid w:val="007D132E"/>
    <w:rsid w:val="007D135A"/>
    <w:rsid w:val="007D1471"/>
    <w:rsid w:val="007D14B5"/>
    <w:rsid w:val="007D17C6"/>
    <w:rsid w:val="007D1A62"/>
    <w:rsid w:val="007D1D02"/>
    <w:rsid w:val="007D1D4C"/>
    <w:rsid w:val="007D2B51"/>
    <w:rsid w:val="007D2B54"/>
    <w:rsid w:val="007D35E2"/>
    <w:rsid w:val="007D385F"/>
    <w:rsid w:val="007D38CD"/>
    <w:rsid w:val="007D423A"/>
    <w:rsid w:val="007D4520"/>
    <w:rsid w:val="007D48AC"/>
    <w:rsid w:val="007D4EAB"/>
    <w:rsid w:val="007D4EB9"/>
    <w:rsid w:val="007D5762"/>
    <w:rsid w:val="007D584D"/>
    <w:rsid w:val="007D5D0F"/>
    <w:rsid w:val="007D61A5"/>
    <w:rsid w:val="007D697F"/>
    <w:rsid w:val="007D6A01"/>
    <w:rsid w:val="007D6A11"/>
    <w:rsid w:val="007D6B1A"/>
    <w:rsid w:val="007D6C7B"/>
    <w:rsid w:val="007D72F2"/>
    <w:rsid w:val="007D75CA"/>
    <w:rsid w:val="007D775A"/>
    <w:rsid w:val="007D789A"/>
    <w:rsid w:val="007D7D39"/>
    <w:rsid w:val="007D7E09"/>
    <w:rsid w:val="007E018D"/>
    <w:rsid w:val="007E028B"/>
    <w:rsid w:val="007E04B5"/>
    <w:rsid w:val="007E0999"/>
    <w:rsid w:val="007E1E1C"/>
    <w:rsid w:val="007E226A"/>
    <w:rsid w:val="007E22D5"/>
    <w:rsid w:val="007E2600"/>
    <w:rsid w:val="007E3280"/>
    <w:rsid w:val="007E34FD"/>
    <w:rsid w:val="007E3533"/>
    <w:rsid w:val="007E419E"/>
    <w:rsid w:val="007E48A7"/>
    <w:rsid w:val="007E4D2B"/>
    <w:rsid w:val="007E5DDF"/>
    <w:rsid w:val="007E6209"/>
    <w:rsid w:val="007E620D"/>
    <w:rsid w:val="007E6319"/>
    <w:rsid w:val="007E6427"/>
    <w:rsid w:val="007E6F4E"/>
    <w:rsid w:val="007E75C0"/>
    <w:rsid w:val="007E7658"/>
    <w:rsid w:val="007E7918"/>
    <w:rsid w:val="007E7B14"/>
    <w:rsid w:val="007E7DCE"/>
    <w:rsid w:val="007E7E07"/>
    <w:rsid w:val="007F00D4"/>
    <w:rsid w:val="007F0241"/>
    <w:rsid w:val="007F046F"/>
    <w:rsid w:val="007F0613"/>
    <w:rsid w:val="007F0DF3"/>
    <w:rsid w:val="007F12F3"/>
    <w:rsid w:val="007F183E"/>
    <w:rsid w:val="007F1E36"/>
    <w:rsid w:val="007F1E60"/>
    <w:rsid w:val="007F2115"/>
    <w:rsid w:val="007F2250"/>
    <w:rsid w:val="007F3017"/>
    <w:rsid w:val="007F304B"/>
    <w:rsid w:val="007F3655"/>
    <w:rsid w:val="007F3AE3"/>
    <w:rsid w:val="007F3DEB"/>
    <w:rsid w:val="007F3E05"/>
    <w:rsid w:val="007F45BD"/>
    <w:rsid w:val="007F45E6"/>
    <w:rsid w:val="007F4815"/>
    <w:rsid w:val="007F497A"/>
    <w:rsid w:val="007F51DC"/>
    <w:rsid w:val="007F5311"/>
    <w:rsid w:val="007F5970"/>
    <w:rsid w:val="007F5C90"/>
    <w:rsid w:val="007F64A3"/>
    <w:rsid w:val="007F66B8"/>
    <w:rsid w:val="007F6E5A"/>
    <w:rsid w:val="007F70D3"/>
    <w:rsid w:val="007F71D7"/>
    <w:rsid w:val="007F73A3"/>
    <w:rsid w:val="007F799B"/>
    <w:rsid w:val="007F7C4D"/>
    <w:rsid w:val="0080004E"/>
    <w:rsid w:val="008001DC"/>
    <w:rsid w:val="00800E28"/>
    <w:rsid w:val="00801192"/>
    <w:rsid w:val="008013D9"/>
    <w:rsid w:val="00801403"/>
    <w:rsid w:val="008017EB"/>
    <w:rsid w:val="00801D83"/>
    <w:rsid w:val="0080203C"/>
    <w:rsid w:val="00802090"/>
    <w:rsid w:val="0080219B"/>
    <w:rsid w:val="00802475"/>
    <w:rsid w:val="008026FF"/>
    <w:rsid w:val="00802B7F"/>
    <w:rsid w:val="00802BAF"/>
    <w:rsid w:val="00802D79"/>
    <w:rsid w:val="00803655"/>
    <w:rsid w:val="00803ABD"/>
    <w:rsid w:val="00803CD1"/>
    <w:rsid w:val="00803D7F"/>
    <w:rsid w:val="008040EE"/>
    <w:rsid w:val="008041BF"/>
    <w:rsid w:val="008044F9"/>
    <w:rsid w:val="008045A8"/>
    <w:rsid w:val="00804B3E"/>
    <w:rsid w:val="00804F96"/>
    <w:rsid w:val="0080504B"/>
    <w:rsid w:val="008050A3"/>
    <w:rsid w:val="008052AC"/>
    <w:rsid w:val="008057C3"/>
    <w:rsid w:val="00805C51"/>
    <w:rsid w:val="0080607A"/>
    <w:rsid w:val="008065C6"/>
    <w:rsid w:val="0080668E"/>
    <w:rsid w:val="00806C2A"/>
    <w:rsid w:val="00810555"/>
    <w:rsid w:val="008109A5"/>
    <w:rsid w:val="008109B8"/>
    <w:rsid w:val="00811611"/>
    <w:rsid w:val="00811BDB"/>
    <w:rsid w:val="00811D6A"/>
    <w:rsid w:val="00811FB9"/>
    <w:rsid w:val="00812127"/>
    <w:rsid w:val="00812178"/>
    <w:rsid w:val="0081252A"/>
    <w:rsid w:val="00812E64"/>
    <w:rsid w:val="008131E4"/>
    <w:rsid w:val="008137B1"/>
    <w:rsid w:val="008139E4"/>
    <w:rsid w:val="00813C5B"/>
    <w:rsid w:val="00813DAD"/>
    <w:rsid w:val="00813E13"/>
    <w:rsid w:val="00813E25"/>
    <w:rsid w:val="008140A7"/>
    <w:rsid w:val="008146FF"/>
    <w:rsid w:val="0081523B"/>
    <w:rsid w:val="008158BD"/>
    <w:rsid w:val="00815B5D"/>
    <w:rsid w:val="00816E5E"/>
    <w:rsid w:val="00816E62"/>
    <w:rsid w:val="00817277"/>
    <w:rsid w:val="0081733B"/>
    <w:rsid w:val="00817A7C"/>
    <w:rsid w:val="00817B89"/>
    <w:rsid w:val="00817D06"/>
    <w:rsid w:val="00820014"/>
    <w:rsid w:val="008200E8"/>
    <w:rsid w:val="008201E4"/>
    <w:rsid w:val="0082073E"/>
    <w:rsid w:val="00821387"/>
    <w:rsid w:val="008215B6"/>
    <w:rsid w:val="00821653"/>
    <w:rsid w:val="00821972"/>
    <w:rsid w:val="00822131"/>
    <w:rsid w:val="008224D2"/>
    <w:rsid w:val="008229B0"/>
    <w:rsid w:val="00822B13"/>
    <w:rsid w:val="00822C7A"/>
    <w:rsid w:val="0082418F"/>
    <w:rsid w:val="0082435B"/>
    <w:rsid w:val="008246B3"/>
    <w:rsid w:val="00824A47"/>
    <w:rsid w:val="008251C3"/>
    <w:rsid w:val="00825409"/>
    <w:rsid w:val="008254AE"/>
    <w:rsid w:val="00825908"/>
    <w:rsid w:val="00825BD0"/>
    <w:rsid w:val="00825D1D"/>
    <w:rsid w:val="00825D56"/>
    <w:rsid w:val="00825E76"/>
    <w:rsid w:val="0082629C"/>
    <w:rsid w:val="008265F3"/>
    <w:rsid w:val="00826666"/>
    <w:rsid w:val="00826CEB"/>
    <w:rsid w:val="00827052"/>
    <w:rsid w:val="0082705F"/>
    <w:rsid w:val="008271AF"/>
    <w:rsid w:val="0082746C"/>
    <w:rsid w:val="00827550"/>
    <w:rsid w:val="008275AE"/>
    <w:rsid w:val="008275E2"/>
    <w:rsid w:val="008278DE"/>
    <w:rsid w:val="00827923"/>
    <w:rsid w:val="00827D70"/>
    <w:rsid w:val="00827E4B"/>
    <w:rsid w:val="00830839"/>
    <w:rsid w:val="008320F7"/>
    <w:rsid w:val="0083218C"/>
    <w:rsid w:val="00832197"/>
    <w:rsid w:val="008321B5"/>
    <w:rsid w:val="008322BD"/>
    <w:rsid w:val="0083242D"/>
    <w:rsid w:val="00832502"/>
    <w:rsid w:val="00832911"/>
    <w:rsid w:val="00832A64"/>
    <w:rsid w:val="00832B37"/>
    <w:rsid w:val="00832B42"/>
    <w:rsid w:val="0083321E"/>
    <w:rsid w:val="008336A1"/>
    <w:rsid w:val="008342BD"/>
    <w:rsid w:val="008343A1"/>
    <w:rsid w:val="00834F82"/>
    <w:rsid w:val="008350A5"/>
    <w:rsid w:val="00835277"/>
    <w:rsid w:val="008352F4"/>
    <w:rsid w:val="0083530D"/>
    <w:rsid w:val="0083556C"/>
    <w:rsid w:val="00835A7E"/>
    <w:rsid w:val="00835CF7"/>
    <w:rsid w:val="00835E90"/>
    <w:rsid w:val="008367AB"/>
    <w:rsid w:val="00836A49"/>
    <w:rsid w:val="00836BAB"/>
    <w:rsid w:val="00836D8C"/>
    <w:rsid w:val="00837633"/>
    <w:rsid w:val="00837811"/>
    <w:rsid w:val="008407A5"/>
    <w:rsid w:val="00840A61"/>
    <w:rsid w:val="00840B98"/>
    <w:rsid w:val="00840E71"/>
    <w:rsid w:val="00841022"/>
    <w:rsid w:val="008410CF"/>
    <w:rsid w:val="0084136F"/>
    <w:rsid w:val="00841832"/>
    <w:rsid w:val="0084189A"/>
    <w:rsid w:val="0084189D"/>
    <w:rsid w:val="00841BA3"/>
    <w:rsid w:val="00842C5F"/>
    <w:rsid w:val="00842CC0"/>
    <w:rsid w:val="0084321C"/>
    <w:rsid w:val="00843355"/>
    <w:rsid w:val="008435C5"/>
    <w:rsid w:val="00843A3B"/>
    <w:rsid w:val="00843C5A"/>
    <w:rsid w:val="00844310"/>
    <w:rsid w:val="00844762"/>
    <w:rsid w:val="0084487A"/>
    <w:rsid w:val="00845655"/>
    <w:rsid w:val="0084593C"/>
    <w:rsid w:val="00845C82"/>
    <w:rsid w:val="00846183"/>
    <w:rsid w:val="008462B1"/>
    <w:rsid w:val="008462B4"/>
    <w:rsid w:val="00846AB0"/>
    <w:rsid w:val="00846C79"/>
    <w:rsid w:val="00846D7F"/>
    <w:rsid w:val="00846E6D"/>
    <w:rsid w:val="00847D1E"/>
    <w:rsid w:val="00850359"/>
    <w:rsid w:val="008504DC"/>
    <w:rsid w:val="0085069D"/>
    <w:rsid w:val="00850DC6"/>
    <w:rsid w:val="00850F20"/>
    <w:rsid w:val="00850FB7"/>
    <w:rsid w:val="00851031"/>
    <w:rsid w:val="00851210"/>
    <w:rsid w:val="00851998"/>
    <w:rsid w:val="00851BC1"/>
    <w:rsid w:val="00851CA4"/>
    <w:rsid w:val="008520C8"/>
    <w:rsid w:val="00852518"/>
    <w:rsid w:val="00853443"/>
    <w:rsid w:val="00853585"/>
    <w:rsid w:val="008535DD"/>
    <w:rsid w:val="008537B6"/>
    <w:rsid w:val="00853BBE"/>
    <w:rsid w:val="00854948"/>
    <w:rsid w:val="00855689"/>
    <w:rsid w:val="00855945"/>
    <w:rsid w:val="00855A17"/>
    <w:rsid w:val="00855EF9"/>
    <w:rsid w:val="00855F5E"/>
    <w:rsid w:val="008566D5"/>
    <w:rsid w:val="00856769"/>
    <w:rsid w:val="008568E1"/>
    <w:rsid w:val="008600EE"/>
    <w:rsid w:val="00860277"/>
    <w:rsid w:val="008607FE"/>
    <w:rsid w:val="00860AE9"/>
    <w:rsid w:val="00860BA1"/>
    <w:rsid w:val="00861274"/>
    <w:rsid w:val="00861650"/>
    <w:rsid w:val="008616AD"/>
    <w:rsid w:val="0086183A"/>
    <w:rsid w:val="008618BD"/>
    <w:rsid w:val="00861FB1"/>
    <w:rsid w:val="00862453"/>
    <w:rsid w:val="008625B3"/>
    <w:rsid w:val="0086288A"/>
    <w:rsid w:val="00862A5A"/>
    <w:rsid w:val="00863E45"/>
    <w:rsid w:val="00863FCC"/>
    <w:rsid w:val="00864067"/>
    <w:rsid w:val="00864334"/>
    <w:rsid w:val="008647DF"/>
    <w:rsid w:val="00864F3D"/>
    <w:rsid w:val="008652B8"/>
    <w:rsid w:val="008659EB"/>
    <w:rsid w:val="00865AFD"/>
    <w:rsid w:val="008664F1"/>
    <w:rsid w:val="008669EC"/>
    <w:rsid w:val="00866BFA"/>
    <w:rsid w:val="00866C59"/>
    <w:rsid w:val="008673F0"/>
    <w:rsid w:val="008676F4"/>
    <w:rsid w:val="008677CC"/>
    <w:rsid w:val="00867DAC"/>
    <w:rsid w:val="0087014E"/>
    <w:rsid w:val="008701D8"/>
    <w:rsid w:val="00870489"/>
    <w:rsid w:val="008707F1"/>
    <w:rsid w:val="00870A3F"/>
    <w:rsid w:val="00870E57"/>
    <w:rsid w:val="00871148"/>
    <w:rsid w:val="00871263"/>
    <w:rsid w:val="008714FD"/>
    <w:rsid w:val="008716D8"/>
    <w:rsid w:val="008718C2"/>
    <w:rsid w:val="00871A36"/>
    <w:rsid w:val="00871CD5"/>
    <w:rsid w:val="008720C3"/>
    <w:rsid w:val="008723A6"/>
    <w:rsid w:val="0087258C"/>
    <w:rsid w:val="00872B09"/>
    <w:rsid w:val="00872B38"/>
    <w:rsid w:val="00872C2F"/>
    <w:rsid w:val="00872F36"/>
    <w:rsid w:val="008732D9"/>
    <w:rsid w:val="00873DF1"/>
    <w:rsid w:val="008740F6"/>
    <w:rsid w:val="00874645"/>
    <w:rsid w:val="00874722"/>
    <w:rsid w:val="00874D6E"/>
    <w:rsid w:val="00875065"/>
    <w:rsid w:val="00875144"/>
    <w:rsid w:val="00875574"/>
    <w:rsid w:val="008758F9"/>
    <w:rsid w:val="00875A17"/>
    <w:rsid w:val="00875EF3"/>
    <w:rsid w:val="0087607B"/>
    <w:rsid w:val="00876C86"/>
    <w:rsid w:val="0087706F"/>
    <w:rsid w:val="008770BE"/>
    <w:rsid w:val="008777D5"/>
    <w:rsid w:val="008778AB"/>
    <w:rsid w:val="00880008"/>
    <w:rsid w:val="008807DA"/>
    <w:rsid w:val="00881880"/>
    <w:rsid w:val="00881B41"/>
    <w:rsid w:val="00881E93"/>
    <w:rsid w:val="00881EEE"/>
    <w:rsid w:val="008825B7"/>
    <w:rsid w:val="008830AF"/>
    <w:rsid w:val="00883127"/>
    <w:rsid w:val="008834C7"/>
    <w:rsid w:val="00883694"/>
    <w:rsid w:val="0088390D"/>
    <w:rsid w:val="00883A67"/>
    <w:rsid w:val="00883E38"/>
    <w:rsid w:val="008841AA"/>
    <w:rsid w:val="008841F0"/>
    <w:rsid w:val="00884471"/>
    <w:rsid w:val="00884840"/>
    <w:rsid w:val="00884B0F"/>
    <w:rsid w:val="0088628C"/>
    <w:rsid w:val="00886525"/>
    <w:rsid w:val="008877FB"/>
    <w:rsid w:val="00887E21"/>
    <w:rsid w:val="00890902"/>
    <w:rsid w:val="00890A24"/>
    <w:rsid w:val="00890BA3"/>
    <w:rsid w:val="00890C3D"/>
    <w:rsid w:val="00890D4C"/>
    <w:rsid w:val="00890E6D"/>
    <w:rsid w:val="008910E9"/>
    <w:rsid w:val="00891469"/>
    <w:rsid w:val="008916DD"/>
    <w:rsid w:val="00891DF4"/>
    <w:rsid w:val="00893112"/>
    <w:rsid w:val="00893924"/>
    <w:rsid w:val="00893930"/>
    <w:rsid w:val="00893D8E"/>
    <w:rsid w:val="00895489"/>
    <w:rsid w:val="0089559D"/>
    <w:rsid w:val="008955E9"/>
    <w:rsid w:val="0089586F"/>
    <w:rsid w:val="00895F5C"/>
    <w:rsid w:val="00896507"/>
    <w:rsid w:val="008968FE"/>
    <w:rsid w:val="00896915"/>
    <w:rsid w:val="00896CDE"/>
    <w:rsid w:val="00896D3F"/>
    <w:rsid w:val="00897370"/>
    <w:rsid w:val="008977B8"/>
    <w:rsid w:val="008978E3"/>
    <w:rsid w:val="008A01E1"/>
    <w:rsid w:val="008A06C2"/>
    <w:rsid w:val="008A0EC2"/>
    <w:rsid w:val="008A1067"/>
    <w:rsid w:val="008A10AE"/>
    <w:rsid w:val="008A14FA"/>
    <w:rsid w:val="008A199E"/>
    <w:rsid w:val="008A1FB9"/>
    <w:rsid w:val="008A20D1"/>
    <w:rsid w:val="008A2527"/>
    <w:rsid w:val="008A26AC"/>
    <w:rsid w:val="008A26F9"/>
    <w:rsid w:val="008A296B"/>
    <w:rsid w:val="008A2AC8"/>
    <w:rsid w:val="008A2D10"/>
    <w:rsid w:val="008A2F13"/>
    <w:rsid w:val="008A3699"/>
    <w:rsid w:val="008A4249"/>
    <w:rsid w:val="008A446C"/>
    <w:rsid w:val="008A5E88"/>
    <w:rsid w:val="008A61FC"/>
    <w:rsid w:val="008A6330"/>
    <w:rsid w:val="008A6764"/>
    <w:rsid w:val="008A6EED"/>
    <w:rsid w:val="008A7324"/>
    <w:rsid w:val="008A7438"/>
    <w:rsid w:val="008A7531"/>
    <w:rsid w:val="008A76AE"/>
    <w:rsid w:val="008A7978"/>
    <w:rsid w:val="008A798C"/>
    <w:rsid w:val="008A7A76"/>
    <w:rsid w:val="008A7F16"/>
    <w:rsid w:val="008B003E"/>
    <w:rsid w:val="008B0181"/>
    <w:rsid w:val="008B03B3"/>
    <w:rsid w:val="008B0462"/>
    <w:rsid w:val="008B0602"/>
    <w:rsid w:val="008B076E"/>
    <w:rsid w:val="008B080F"/>
    <w:rsid w:val="008B0AF5"/>
    <w:rsid w:val="008B11CC"/>
    <w:rsid w:val="008B1203"/>
    <w:rsid w:val="008B121D"/>
    <w:rsid w:val="008B13B3"/>
    <w:rsid w:val="008B249A"/>
    <w:rsid w:val="008B2693"/>
    <w:rsid w:val="008B289B"/>
    <w:rsid w:val="008B2A20"/>
    <w:rsid w:val="008B2A94"/>
    <w:rsid w:val="008B2BA3"/>
    <w:rsid w:val="008B2EFB"/>
    <w:rsid w:val="008B2F6A"/>
    <w:rsid w:val="008B30D4"/>
    <w:rsid w:val="008B3793"/>
    <w:rsid w:val="008B4134"/>
    <w:rsid w:val="008B4678"/>
    <w:rsid w:val="008B4DA5"/>
    <w:rsid w:val="008B5155"/>
    <w:rsid w:val="008B5196"/>
    <w:rsid w:val="008B531A"/>
    <w:rsid w:val="008B544A"/>
    <w:rsid w:val="008B5D55"/>
    <w:rsid w:val="008B5F19"/>
    <w:rsid w:val="008B5F33"/>
    <w:rsid w:val="008B5F3F"/>
    <w:rsid w:val="008B5F41"/>
    <w:rsid w:val="008B6286"/>
    <w:rsid w:val="008B631D"/>
    <w:rsid w:val="008B63FA"/>
    <w:rsid w:val="008B6473"/>
    <w:rsid w:val="008B6D60"/>
    <w:rsid w:val="008B6E26"/>
    <w:rsid w:val="008B7013"/>
    <w:rsid w:val="008B72FF"/>
    <w:rsid w:val="008B797F"/>
    <w:rsid w:val="008B7D3B"/>
    <w:rsid w:val="008C0272"/>
    <w:rsid w:val="008C09A2"/>
    <w:rsid w:val="008C0A5C"/>
    <w:rsid w:val="008C0B72"/>
    <w:rsid w:val="008C0C1D"/>
    <w:rsid w:val="008C21CA"/>
    <w:rsid w:val="008C2767"/>
    <w:rsid w:val="008C2E7C"/>
    <w:rsid w:val="008C30CB"/>
    <w:rsid w:val="008C30FD"/>
    <w:rsid w:val="008C31BC"/>
    <w:rsid w:val="008C344E"/>
    <w:rsid w:val="008C38DE"/>
    <w:rsid w:val="008C3A3A"/>
    <w:rsid w:val="008C44BE"/>
    <w:rsid w:val="008C4860"/>
    <w:rsid w:val="008C4B9A"/>
    <w:rsid w:val="008C5196"/>
    <w:rsid w:val="008C536B"/>
    <w:rsid w:val="008C53A5"/>
    <w:rsid w:val="008C55C8"/>
    <w:rsid w:val="008C5690"/>
    <w:rsid w:val="008C56EF"/>
    <w:rsid w:val="008C5E64"/>
    <w:rsid w:val="008C5F7F"/>
    <w:rsid w:val="008C60D1"/>
    <w:rsid w:val="008C65FE"/>
    <w:rsid w:val="008C66F3"/>
    <w:rsid w:val="008C68C8"/>
    <w:rsid w:val="008C6CF9"/>
    <w:rsid w:val="008C7667"/>
    <w:rsid w:val="008C784D"/>
    <w:rsid w:val="008C7975"/>
    <w:rsid w:val="008C7C63"/>
    <w:rsid w:val="008D01D0"/>
    <w:rsid w:val="008D01EE"/>
    <w:rsid w:val="008D02AD"/>
    <w:rsid w:val="008D0338"/>
    <w:rsid w:val="008D0371"/>
    <w:rsid w:val="008D088E"/>
    <w:rsid w:val="008D0AF6"/>
    <w:rsid w:val="008D0C8B"/>
    <w:rsid w:val="008D0F36"/>
    <w:rsid w:val="008D10C0"/>
    <w:rsid w:val="008D12F1"/>
    <w:rsid w:val="008D16D1"/>
    <w:rsid w:val="008D19EB"/>
    <w:rsid w:val="008D1D75"/>
    <w:rsid w:val="008D2056"/>
    <w:rsid w:val="008D2590"/>
    <w:rsid w:val="008D297E"/>
    <w:rsid w:val="008D2A2F"/>
    <w:rsid w:val="008D2C7D"/>
    <w:rsid w:val="008D2CE0"/>
    <w:rsid w:val="008D325B"/>
    <w:rsid w:val="008D34ED"/>
    <w:rsid w:val="008D3522"/>
    <w:rsid w:val="008D3F95"/>
    <w:rsid w:val="008D415C"/>
    <w:rsid w:val="008D43BE"/>
    <w:rsid w:val="008D483E"/>
    <w:rsid w:val="008D4840"/>
    <w:rsid w:val="008D50FF"/>
    <w:rsid w:val="008D552E"/>
    <w:rsid w:val="008D57EC"/>
    <w:rsid w:val="008D59B0"/>
    <w:rsid w:val="008D5A2C"/>
    <w:rsid w:val="008D5AC7"/>
    <w:rsid w:val="008D5F1E"/>
    <w:rsid w:val="008D6055"/>
    <w:rsid w:val="008D6474"/>
    <w:rsid w:val="008D649E"/>
    <w:rsid w:val="008D6670"/>
    <w:rsid w:val="008D6819"/>
    <w:rsid w:val="008D6921"/>
    <w:rsid w:val="008D6A0D"/>
    <w:rsid w:val="008D6B8D"/>
    <w:rsid w:val="008D6C37"/>
    <w:rsid w:val="008D6F1F"/>
    <w:rsid w:val="008D71BD"/>
    <w:rsid w:val="008D7A5B"/>
    <w:rsid w:val="008D7AFA"/>
    <w:rsid w:val="008E07F1"/>
    <w:rsid w:val="008E0A01"/>
    <w:rsid w:val="008E16FF"/>
    <w:rsid w:val="008E1C45"/>
    <w:rsid w:val="008E24D3"/>
    <w:rsid w:val="008E299A"/>
    <w:rsid w:val="008E2C77"/>
    <w:rsid w:val="008E2E31"/>
    <w:rsid w:val="008E2F55"/>
    <w:rsid w:val="008E3A9B"/>
    <w:rsid w:val="008E3C2C"/>
    <w:rsid w:val="008E3E36"/>
    <w:rsid w:val="008E3FEE"/>
    <w:rsid w:val="008E41AE"/>
    <w:rsid w:val="008E461D"/>
    <w:rsid w:val="008E4AD4"/>
    <w:rsid w:val="008E4BA3"/>
    <w:rsid w:val="008E5083"/>
    <w:rsid w:val="008E5401"/>
    <w:rsid w:val="008E5CED"/>
    <w:rsid w:val="008E649B"/>
    <w:rsid w:val="008E64C4"/>
    <w:rsid w:val="008E686E"/>
    <w:rsid w:val="008E688D"/>
    <w:rsid w:val="008E6BE2"/>
    <w:rsid w:val="008E6F3A"/>
    <w:rsid w:val="008E742A"/>
    <w:rsid w:val="008E766D"/>
    <w:rsid w:val="008E7D93"/>
    <w:rsid w:val="008F0846"/>
    <w:rsid w:val="008F0A07"/>
    <w:rsid w:val="008F0A0C"/>
    <w:rsid w:val="008F0EFF"/>
    <w:rsid w:val="008F1487"/>
    <w:rsid w:val="008F16B8"/>
    <w:rsid w:val="008F282C"/>
    <w:rsid w:val="008F295D"/>
    <w:rsid w:val="008F2EE9"/>
    <w:rsid w:val="008F3204"/>
    <w:rsid w:val="008F3209"/>
    <w:rsid w:val="008F32BB"/>
    <w:rsid w:val="008F3599"/>
    <w:rsid w:val="008F3B9F"/>
    <w:rsid w:val="008F40DB"/>
    <w:rsid w:val="008F4914"/>
    <w:rsid w:val="008F517F"/>
    <w:rsid w:val="008F524C"/>
    <w:rsid w:val="008F5485"/>
    <w:rsid w:val="008F554E"/>
    <w:rsid w:val="008F5ABC"/>
    <w:rsid w:val="008F5CFB"/>
    <w:rsid w:val="008F61E2"/>
    <w:rsid w:val="008F6233"/>
    <w:rsid w:val="008F6636"/>
    <w:rsid w:val="008F6664"/>
    <w:rsid w:val="008F6ACF"/>
    <w:rsid w:val="008F70D1"/>
    <w:rsid w:val="008F7C81"/>
    <w:rsid w:val="009001CC"/>
    <w:rsid w:val="0090028B"/>
    <w:rsid w:val="00900617"/>
    <w:rsid w:val="0090063C"/>
    <w:rsid w:val="00900EF8"/>
    <w:rsid w:val="009013C3"/>
    <w:rsid w:val="00901ACD"/>
    <w:rsid w:val="00901D42"/>
    <w:rsid w:val="00902199"/>
    <w:rsid w:val="00902B02"/>
    <w:rsid w:val="00902FA4"/>
    <w:rsid w:val="00902FF6"/>
    <w:rsid w:val="0090301B"/>
    <w:rsid w:val="0090306C"/>
    <w:rsid w:val="00903395"/>
    <w:rsid w:val="0090359B"/>
    <w:rsid w:val="009035F6"/>
    <w:rsid w:val="00903B64"/>
    <w:rsid w:val="00903CB0"/>
    <w:rsid w:val="00903E7E"/>
    <w:rsid w:val="009043EF"/>
    <w:rsid w:val="00904E61"/>
    <w:rsid w:val="00905533"/>
    <w:rsid w:val="0090562F"/>
    <w:rsid w:val="00905A7D"/>
    <w:rsid w:val="00905ABE"/>
    <w:rsid w:val="00905B57"/>
    <w:rsid w:val="00905D3C"/>
    <w:rsid w:val="009064F4"/>
    <w:rsid w:val="0090655C"/>
    <w:rsid w:val="00906AF4"/>
    <w:rsid w:val="00906DC0"/>
    <w:rsid w:val="009071F7"/>
    <w:rsid w:val="0090751D"/>
    <w:rsid w:val="0090755C"/>
    <w:rsid w:val="009079DC"/>
    <w:rsid w:val="00907CC6"/>
    <w:rsid w:val="0091002A"/>
    <w:rsid w:val="00910088"/>
    <w:rsid w:val="0091022B"/>
    <w:rsid w:val="009102CB"/>
    <w:rsid w:val="0091031D"/>
    <w:rsid w:val="00910351"/>
    <w:rsid w:val="009103D4"/>
    <w:rsid w:val="00910579"/>
    <w:rsid w:val="00910753"/>
    <w:rsid w:val="00910A7D"/>
    <w:rsid w:val="00910AD0"/>
    <w:rsid w:val="00911A0F"/>
    <w:rsid w:val="00911B16"/>
    <w:rsid w:val="00911C5A"/>
    <w:rsid w:val="00911F14"/>
    <w:rsid w:val="00912118"/>
    <w:rsid w:val="009125E8"/>
    <w:rsid w:val="00912A85"/>
    <w:rsid w:val="0091374D"/>
    <w:rsid w:val="009138F2"/>
    <w:rsid w:val="00913BC8"/>
    <w:rsid w:val="0091418F"/>
    <w:rsid w:val="009145CA"/>
    <w:rsid w:val="00914656"/>
    <w:rsid w:val="009147FF"/>
    <w:rsid w:val="00914ABB"/>
    <w:rsid w:val="00914CEE"/>
    <w:rsid w:val="009152D1"/>
    <w:rsid w:val="00915488"/>
    <w:rsid w:val="00916391"/>
    <w:rsid w:val="009164EF"/>
    <w:rsid w:val="009165C2"/>
    <w:rsid w:val="00916685"/>
    <w:rsid w:val="0091684B"/>
    <w:rsid w:val="00916854"/>
    <w:rsid w:val="009170A7"/>
    <w:rsid w:val="00917453"/>
    <w:rsid w:val="0091774A"/>
    <w:rsid w:val="00920753"/>
    <w:rsid w:val="00920C66"/>
    <w:rsid w:val="00920D03"/>
    <w:rsid w:val="0092132A"/>
    <w:rsid w:val="00921B55"/>
    <w:rsid w:val="00921B9B"/>
    <w:rsid w:val="00921C16"/>
    <w:rsid w:val="0092240B"/>
    <w:rsid w:val="009225FC"/>
    <w:rsid w:val="00922D68"/>
    <w:rsid w:val="00922D91"/>
    <w:rsid w:val="00923349"/>
    <w:rsid w:val="0092336B"/>
    <w:rsid w:val="00923A95"/>
    <w:rsid w:val="00923FCB"/>
    <w:rsid w:val="009243BB"/>
    <w:rsid w:val="009244D8"/>
    <w:rsid w:val="00924A5E"/>
    <w:rsid w:val="00924FDA"/>
    <w:rsid w:val="00925286"/>
    <w:rsid w:val="00925357"/>
    <w:rsid w:val="00925561"/>
    <w:rsid w:val="00925A3D"/>
    <w:rsid w:val="00926361"/>
    <w:rsid w:val="0092645A"/>
    <w:rsid w:val="00926497"/>
    <w:rsid w:val="00926572"/>
    <w:rsid w:val="00926690"/>
    <w:rsid w:val="00927403"/>
    <w:rsid w:val="00927482"/>
    <w:rsid w:val="00927A1D"/>
    <w:rsid w:val="00927AFE"/>
    <w:rsid w:val="00927B2E"/>
    <w:rsid w:val="00927E0F"/>
    <w:rsid w:val="00930518"/>
    <w:rsid w:val="009310C2"/>
    <w:rsid w:val="00932183"/>
    <w:rsid w:val="0093265A"/>
    <w:rsid w:val="00932E2B"/>
    <w:rsid w:val="00933255"/>
    <w:rsid w:val="0093433A"/>
    <w:rsid w:val="0093454F"/>
    <w:rsid w:val="00935855"/>
    <w:rsid w:val="00935A92"/>
    <w:rsid w:val="00935E11"/>
    <w:rsid w:val="00936A10"/>
    <w:rsid w:val="00936E43"/>
    <w:rsid w:val="00936F72"/>
    <w:rsid w:val="00937603"/>
    <w:rsid w:val="00937908"/>
    <w:rsid w:val="00937F47"/>
    <w:rsid w:val="00940375"/>
    <w:rsid w:val="00940477"/>
    <w:rsid w:val="00940703"/>
    <w:rsid w:val="00940CE9"/>
    <w:rsid w:val="009410B0"/>
    <w:rsid w:val="00941193"/>
    <w:rsid w:val="009417E1"/>
    <w:rsid w:val="009418CF"/>
    <w:rsid w:val="00941AC6"/>
    <w:rsid w:val="00941B6B"/>
    <w:rsid w:val="009420EE"/>
    <w:rsid w:val="009428B8"/>
    <w:rsid w:val="00942EFC"/>
    <w:rsid w:val="0094315D"/>
    <w:rsid w:val="009431E2"/>
    <w:rsid w:val="0094321B"/>
    <w:rsid w:val="00943657"/>
    <w:rsid w:val="009436DF"/>
    <w:rsid w:val="00943771"/>
    <w:rsid w:val="00943AD3"/>
    <w:rsid w:val="00944303"/>
    <w:rsid w:val="00944556"/>
    <w:rsid w:val="00944B59"/>
    <w:rsid w:val="00944EDB"/>
    <w:rsid w:val="0094535F"/>
    <w:rsid w:val="00945587"/>
    <w:rsid w:val="009456D5"/>
    <w:rsid w:val="00945916"/>
    <w:rsid w:val="0094595E"/>
    <w:rsid w:val="009466D9"/>
    <w:rsid w:val="009466F4"/>
    <w:rsid w:val="00947036"/>
    <w:rsid w:val="0094741D"/>
    <w:rsid w:val="0094752A"/>
    <w:rsid w:val="00947631"/>
    <w:rsid w:val="00947755"/>
    <w:rsid w:val="00947C29"/>
    <w:rsid w:val="00947C5A"/>
    <w:rsid w:val="00947FE9"/>
    <w:rsid w:val="00950047"/>
    <w:rsid w:val="0095011D"/>
    <w:rsid w:val="00950296"/>
    <w:rsid w:val="009502AB"/>
    <w:rsid w:val="0095033C"/>
    <w:rsid w:val="0095061B"/>
    <w:rsid w:val="00951188"/>
    <w:rsid w:val="0095131D"/>
    <w:rsid w:val="00951B82"/>
    <w:rsid w:val="00951C8B"/>
    <w:rsid w:val="00951F43"/>
    <w:rsid w:val="00951FD9"/>
    <w:rsid w:val="00952F63"/>
    <w:rsid w:val="0095310D"/>
    <w:rsid w:val="00953D1C"/>
    <w:rsid w:val="00953D4F"/>
    <w:rsid w:val="009544EB"/>
    <w:rsid w:val="00954607"/>
    <w:rsid w:val="00954978"/>
    <w:rsid w:val="00954EAE"/>
    <w:rsid w:val="009556E1"/>
    <w:rsid w:val="00955888"/>
    <w:rsid w:val="00955EE3"/>
    <w:rsid w:val="009561A4"/>
    <w:rsid w:val="009562A9"/>
    <w:rsid w:val="00956AAC"/>
    <w:rsid w:val="00956AFA"/>
    <w:rsid w:val="00957587"/>
    <w:rsid w:val="00957622"/>
    <w:rsid w:val="00957649"/>
    <w:rsid w:val="00960767"/>
    <w:rsid w:val="00960879"/>
    <w:rsid w:val="00960A99"/>
    <w:rsid w:val="009615E5"/>
    <w:rsid w:val="00961945"/>
    <w:rsid w:val="00961B39"/>
    <w:rsid w:val="00961C4B"/>
    <w:rsid w:val="009624AA"/>
    <w:rsid w:val="00962A22"/>
    <w:rsid w:val="00963658"/>
    <w:rsid w:val="00963BA0"/>
    <w:rsid w:val="00963C95"/>
    <w:rsid w:val="009641B0"/>
    <w:rsid w:val="00964209"/>
    <w:rsid w:val="00964339"/>
    <w:rsid w:val="0096497A"/>
    <w:rsid w:val="00964C6B"/>
    <w:rsid w:val="00965003"/>
    <w:rsid w:val="00965466"/>
    <w:rsid w:val="00965697"/>
    <w:rsid w:val="00966145"/>
    <w:rsid w:val="009666EE"/>
    <w:rsid w:val="0096678D"/>
    <w:rsid w:val="00966A00"/>
    <w:rsid w:val="00966C5B"/>
    <w:rsid w:val="00967069"/>
    <w:rsid w:val="00967222"/>
    <w:rsid w:val="009701D4"/>
    <w:rsid w:val="009703F9"/>
    <w:rsid w:val="0097073D"/>
    <w:rsid w:val="00970A9E"/>
    <w:rsid w:val="009713D2"/>
    <w:rsid w:val="0097268E"/>
    <w:rsid w:val="00972DE6"/>
    <w:rsid w:val="00973460"/>
    <w:rsid w:val="00973656"/>
    <w:rsid w:val="00973957"/>
    <w:rsid w:val="00973A68"/>
    <w:rsid w:val="00973CB4"/>
    <w:rsid w:val="00973DB5"/>
    <w:rsid w:val="00973E54"/>
    <w:rsid w:val="00974007"/>
    <w:rsid w:val="00974044"/>
    <w:rsid w:val="00974173"/>
    <w:rsid w:val="0097472F"/>
    <w:rsid w:val="00974E4D"/>
    <w:rsid w:val="0097542B"/>
    <w:rsid w:val="00975709"/>
    <w:rsid w:val="009757C5"/>
    <w:rsid w:val="00975C64"/>
    <w:rsid w:val="00976080"/>
    <w:rsid w:val="0097609D"/>
    <w:rsid w:val="00976229"/>
    <w:rsid w:val="00976432"/>
    <w:rsid w:val="009769FE"/>
    <w:rsid w:val="00976AA5"/>
    <w:rsid w:val="00977011"/>
    <w:rsid w:val="009771BF"/>
    <w:rsid w:val="0097741D"/>
    <w:rsid w:val="0097747E"/>
    <w:rsid w:val="0097761E"/>
    <w:rsid w:val="0097778F"/>
    <w:rsid w:val="009779FC"/>
    <w:rsid w:val="00977BB7"/>
    <w:rsid w:val="009802D4"/>
    <w:rsid w:val="009805A1"/>
    <w:rsid w:val="0098068A"/>
    <w:rsid w:val="009815F5"/>
    <w:rsid w:val="009817E0"/>
    <w:rsid w:val="00981A09"/>
    <w:rsid w:val="00981FB6"/>
    <w:rsid w:val="00982186"/>
    <w:rsid w:val="00982EE1"/>
    <w:rsid w:val="00982F98"/>
    <w:rsid w:val="00983061"/>
    <w:rsid w:val="009835E6"/>
    <w:rsid w:val="0098404E"/>
    <w:rsid w:val="009840A3"/>
    <w:rsid w:val="00984335"/>
    <w:rsid w:val="00984598"/>
    <w:rsid w:val="00984740"/>
    <w:rsid w:val="00984A5F"/>
    <w:rsid w:val="00984FFF"/>
    <w:rsid w:val="00985028"/>
    <w:rsid w:val="0098562C"/>
    <w:rsid w:val="009856E5"/>
    <w:rsid w:val="00985B1E"/>
    <w:rsid w:val="00985EBA"/>
    <w:rsid w:val="00985EF4"/>
    <w:rsid w:val="00986805"/>
    <w:rsid w:val="0098690F"/>
    <w:rsid w:val="009869E5"/>
    <w:rsid w:val="00986B98"/>
    <w:rsid w:val="0098742E"/>
    <w:rsid w:val="009874C8"/>
    <w:rsid w:val="00987C26"/>
    <w:rsid w:val="00987F7C"/>
    <w:rsid w:val="00990359"/>
    <w:rsid w:val="00991182"/>
    <w:rsid w:val="00991F3F"/>
    <w:rsid w:val="0099235A"/>
    <w:rsid w:val="00992583"/>
    <w:rsid w:val="009935D2"/>
    <w:rsid w:val="00993BE5"/>
    <w:rsid w:val="00994364"/>
    <w:rsid w:val="009944D3"/>
    <w:rsid w:val="00994C0B"/>
    <w:rsid w:val="00994CC4"/>
    <w:rsid w:val="00994DA4"/>
    <w:rsid w:val="00994ED9"/>
    <w:rsid w:val="00994F8D"/>
    <w:rsid w:val="009955CA"/>
    <w:rsid w:val="00995A11"/>
    <w:rsid w:val="00995CB9"/>
    <w:rsid w:val="00995D58"/>
    <w:rsid w:val="00995E0D"/>
    <w:rsid w:val="00995F00"/>
    <w:rsid w:val="00995F6F"/>
    <w:rsid w:val="00996440"/>
    <w:rsid w:val="009969A2"/>
    <w:rsid w:val="00996CFE"/>
    <w:rsid w:val="00997228"/>
    <w:rsid w:val="00997883"/>
    <w:rsid w:val="00997B5D"/>
    <w:rsid w:val="00997DBE"/>
    <w:rsid w:val="009A0123"/>
    <w:rsid w:val="009A0B73"/>
    <w:rsid w:val="009A0C95"/>
    <w:rsid w:val="009A0E2A"/>
    <w:rsid w:val="009A0EF2"/>
    <w:rsid w:val="009A0FF1"/>
    <w:rsid w:val="009A1823"/>
    <w:rsid w:val="009A1A6B"/>
    <w:rsid w:val="009A1FD2"/>
    <w:rsid w:val="009A2163"/>
    <w:rsid w:val="009A2D6A"/>
    <w:rsid w:val="009A2FCC"/>
    <w:rsid w:val="009A3213"/>
    <w:rsid w:val="009A3505"/>
    <w:rsid w:val="009A3510"/>
    <w:rsid w:val="009A36C3"/>
    <w:rsid w:val="009A39D0"/>
    <w:rsid w:val="009A4144"/>
    <w:rsid w:val="009A417E"/>
    <w:rsid w:val="009A45E1"/>
    <w:rsid w:val="009A49CE"/>
    <w:rsid w:val="009A4C6C"/>
    <w:rsid w:val="009A4C9B"/>
    <w:rsid w:val="009A50A9"/>
    <w:rsid w:val="009A5781"/>
    <w:rsid w:val="009A58A5"/>
    <w:rsid w:val="009A5F8D"/>
    <w:rsid w:val="009A6095"/>
    <w:rsid w:val="009A6501"/>
    <w:rsid w:val="009A6B13"/>
    <w:rsid w:val="009A6C96"/>
    <w:rsid w:val="009A6EF8"/>
    <w:rsid w:val="009A7075"/>
    <w:rsid w:val="009A7200"/>
    <w:rsid w:val="009A7A60"/>
    <w:rsid w:val="009A7AED"/>
    <w:rsid w:val="009A7F44"/>
    <w:rsid w:val="009B0317"/>
    <w:rsid w:val="009B04CE"/>
    <w:rsid w:val="009B0CA2"/>
    <w:rsid w:val="009B14F5"/>
    <w:rsid w:val="009B1EE6"/>
    <w:rsid w:val="009B1F52"/>
    <w:rsid w:val="009B238F"/>
    <w:rsid w:val="009B25A1"/>
    <w:rsid w:val="009B33E4"/>
    <w:rsid w:val="009B3463"/>
    <w:rsid w:val="009B35EA"/>
    <w:rsid w:val="009B38DC"/>
    <w:rsid w:val="009B42EF"/>
    <w:rsid w:val="009B4D8D"/>
    <w:rsid w:val="009B5203"/>
    <w:rsid w:val="009B55D6"/>
    <w:rsid w:val="009B5941"/>
    <w:rsid w:val="009B59CF"/>
    <w:rsid w:val="009B5B1B"/>
    <w:rsid w:val="009B5DB2"/>
    <w:rsid w:val="009B5DE0"/>
    <w:rsid w:val="009B67C2"/>
    <w:rsid w:val="009B69F4"/>
    <w:rsid w:val="009B6A10"/>
    <w:rsid w:val="009B6BB0"/>
    <w:rsid w:val="009B7684"/>
    <w:rsid w:val="009B76B9"/>
    <w:rsid w:val="009B76CD"/>
    <w:rsid w:val="009B782E"/>
    <w:rsid w:val="009B7B50"/>
    <w:rsid w:val="009B7D69"/>
    <w:rsid w:val="009B7D9A"/>
    <w:rsid w:val="009C0616"/>
    <w:rsid w:val="009C0BD5"/>
    <w:rsid w:val="009C0BE8"/>
    <w:rsid w:val="009C1066"/>
    <w:rsid w:val="009C11CD"/>
    <w:rsid w:val="009C1347"/>
    <w:rsid w:val="009C137F"/>
    <w:rsid w:val="009C1B6F"/>
    <w:rsid w:val="009C1CC1"/>
    <w:rsid w:val="009C200F"/>
    <w:rsid w:val="009C352F"/>
    <w:rsid w:val="009C374D"/>
    <w:rsid w:val="009C48BE"/>
    <w:rsid w:val="009C4A42"/>
    <w:rsid w:val="009C50E8"/>
    <w:rsid w:val="009C5BDC"/>
    <w:rsid w:val="009C61EA"/>
    <w:rsid w:val="009C643A"/>
    <w:rsid w:val="009C664A"/>
    <w:rsid w:val="009C6672"/>
    <w:rsid w:val="009C67FF"/>
    <w:rsid w:val="009C6A3B"/>
    <w:rsid w:val="009C6DF5"/>
    <w:rsid w:val="009C76A8"/>
    <w:rsid w:val="009C78DC"/>
    <w:rsid w:val="009C7927"/>
    <w:rsid w:val="009D016D"/>
    <w:rsid w:val="009D0293"/>
    <w:rsid w:val="009D0BEE"/>
    <w:rsid w:val="009D0F26"/>
    <w:rsid w:val="009D1541"/>
    <w:rsid w:val="009D1559"/>
    <w:rsid w:val="009D1DD7"/>
    <w:rsid w:val="009D20B8"/>
    <w:rsid w:val="009D210B"/>
    <w:rsid w:val="009D2581"/>
    <w:rsid w:val="009D2893"/>
    <w:rsid w:val="009D292B"/>
    <w:rsid w:val="009D2A04"/>
    <w:rsid w:val="009D2C6F"/>
    <w:rsid w:val="009D2E89"/>
    <w:rsid w:val="009D333D"/>
    <w:rsid w:val="009D3B4F"/>
    <w:rsid w:val="009D3F66"/>
    <w:rsid w:val="009D3F6C"/>
    <w:rsid w:val="009D428B"/>
    <w:rsid w:val="009D44AA"/>
    <w:rsid w:val="009D4806"/>
    <w:rsid w:val="009D4D38"/>
    <w:rsid w:val="009D4E77"/>
    <w:rsid w:val="009D5885"/>
    <w:rsid w:val="009D5CF0"/>
    <w:rsid w:val="009D5E8E"/>
    <w:rsid w:val="009D5F21"/>
    <w:rsid w:val="009D5F63"/>
    <w:rsid w:val="009D62D7"/>
    <w:rsid w:val="009D6434"/>
    <w:rsid w:val="009D6E6D"/>
    <w:rsid w:val="009D7090"/>
    <w:rsid w:val="009D71AF"/>
    <w:rsid w:val="009D74C0"/>
    <w:rsid w:val="009D7605"/>
    <w:rsid w:val="009D77E6"/>
    <w:rsid w:val="009D7C9D"/>
    <w:rsid w:val="009D7F5E"/>
    <w:rsid w:val="009E0228"/>
    <w:rsid w:val="009E038B"/>
    <w:rsid w:val="009E0A16"/>
    <w:rsid w:val="009E0DAF"/>
    <w:rsid w:val="009E1275"/>
    <w:rsid w:val="009E138B"/>
    <w:rsid w:val="009E1421"/>
    <w:rsid w:val="009E1A3C"/>
    <w:rsid w:val="009E1E57"/>
    <w:rsid w:val="009E1FF4"/>
    <w:rsid w:val="009E208F"/>
    <w:rsid w:val="009E21F8"/>
    <w:rsid w:val="009E2214"/>
    <w:rsid w:val="009E2291"/>
    <w:rsid w:val="009E2635"/>
    <w:rsid w:val="009E2942"/>
    <w:rsid w:val="009E3518"/>
    <w:rsid w:val="009E372F"/>
    <w:rsid w:val="009E4000"/>
    <w:rsid w:val="009E457B"/>
    <w:rsid w:val="009E457F"/>
    <w:rsid w:val="009E4BE4"/>
    <w:rsid w:val="009E4D74"/>
    <w:rsid w:val="009E51BB"/>
    <w:rsid w:val="009E551B"/>
    <w:rsid w:val="009E57D9"/>
    <w:rsid w:val="009E5ABC"/>
    <w:rsid w:val="009E5E25"/>
    <w:rsid w:val="009E5FF1"/>
    <w:rsid w:val="009E65C1"/>
    <w:rsid w:val="009E6653"/>
    <w:rsid w:val="009E6B21"/>
    <w:rsid w:val="009E7D8C"/>
    <w:rsid w:val="009E7DC0"/>
    <w:rsid w:val="009E7F80"/>
    <w:rsid w:val="009F060E"/>
    <w:rsid w:val="009F1227"/>
    <w:rsid w:val="009F183D"/>
    <w:rsid w:val="009F1975"/>
    <w:rsid w:val="009F2467"/>
    <w:rsid w:val="009F26D2"/>
    <w:rsid w:val="009F2A70"/>
    <w:rsid w:val="009F31A2"/>
    <w:rsid w:val="009F377B"/>
    <w:rsid w:val="009F47EB"/>
    <w:rsid w:val="009F482E"/>
    <w:rsid w:val="009F4ADE"/>
    <w:rsid w:val="009F4C1F"/>
    <w:rsid w:val="009F4EC6"/>
    <w:rsid w:val="009F4F6C"/>
    <w:rsid w:val="009F52E8"/>
    <w:rsid w:val="009F53EA"/>
    <w:rsid w:val="009F5D1A"/>
    <w:rsid w:val="009F63C5"/>
    <w:rsid w:val="009F7B94"/>
    <w:rsid w:val="009F7BA2"/>
    <w:rsid w:val="009F7DB8"/>
    <w:rsid w:val="009F7F0E"/>
    <w:rsid w:val="00A003E3"/>
    <w:rsid w:val="00A0051E"/>
    <w:rsid w:val="00A00E04"/>
    <w:rsid w:val="00A0114F"/>
    <w:rsid w:val="00A0146D"/>
    <w:rsid w:val="00A01918"/>
    <w:rsid w:val="00A01B38"/>
    <w:rsid w:val="00A0208E"/>
    <w:rsid w:val="00A0273A"/>
    <w:rsid w:val="00A028D1"/>
    <w:rsid w:val="00A03089"/>
    <w:rsid w:val="00A0376B"/>
    <w:rsid w:val="00A03890"/>
    <w:rsid w:val="00A038F7"/>
    <w:rsid w:val="00A04150"/>
    <w:rsid w:val="00A04C01"/>
    <w:rsid w:val="00A0539D"/>
    <w:rsid w:val="00A05405"/>
    <w:rsid w:val="00A05B47"/>
    <w:rsid w:val="00A05C54"/>
    <w:rsid w:val="00A061CA"/>
    <w:rsid w:val="00A06846"/>
    <w:rsid w:val="00A06914"/>
    <w:rsid w:val="00A06B42"/>
    <w:rsid w:val="00A06DF7"/>
    <w:rsid w:val="00A07089"/>
    <w:rsid w:val="00A07169"/>
    <w:rsid w:val="00A07280"/>
    <w:rsid w:val="00A07329"/>
    <w:rsid w:val="00A078BF"/>
    <w:rsid w:val="00A07ABE"/>
    <w:rsid w:val="00A07EAD"/>
    <w:rsid w:val="00A07EDD"/>
    <w:rsid w:val="00A101E9"/>
    <w:rsid w:val="00A10502"/>
    <w:rsid w:val="00A107C0"/>
    <w:rsid w:val="00A1091D"/>
    <w:rsid w:val="00A10BF9"/>
    <w:rsid w:val="00A10DB4"/>
    <w:rsid w:val="00A11664"/>
    <w:rsid w:val="00A11910"/>
    <w:rsid w:val="00A1192F"/>
    <w:rsid w:val="00A1193F"/>
    <w:rsid w:val="00A11EA0"/>
    <w:rsid w:val="00A123F7"/>
    <w:rsid w:val="00A12661"/>
    <w:rsid w:val="00A12A31"/>
    <w:rsid w:val="00A12B2C"/>
    <w:rsid w:val="00A12E12"/>
    <w:rsid w:val="00A13313"/>
    <w:rsid w:val="00A1333E"/>
    <w:rsid w:val="00A1363F"/>
    <w:rsid w:val="00A1365A"/>
    <w:rsid w:val="00A137D1"/>
    <w:rsid w:val="00A13AD7"/>
    <w:rsid w:val="00A13EE0"/>
    <w:rsid w:val="00A1487E"/>
    <w:rsid w:val="00A14A84"/>
    <w:rsid w:val="00A14A8B"/>
    <w:rsid w:val="00A14BD1"/>
    <w:rsid w:val="00A14C07"/>
    <w:rsid w:val="00A154EE"/>
    <w:rsid w:val="00A156B9"/>
    <w:rsid w:val="00A15840"/>
    <w:rsid w:val="00A16032"/>
    <w:rsid w:val="00A160B7"/>
    <w:rsid w:val="00A160C9"/>
    <w:rsid w:val="00A16333"/>
    <w:rsid w:val="00A164C2"/>
    <w:rsid w:val="00A17042"/>
    <w:rsid w:val="00A17353"/>
    <w:rsid w:val="00A178D4"/>
    <w:rsid w:val="00A17B57"/>
    <w:rsid w:val="00A17D86"/>
    <w:rsid w:val="00A17EA0"/>
    <w:rsid w:val="00A200EE"/>
    <w:rsid w:val="00A20758"/>
    <w:rsid w:val="00A207BE"/>
    <w:rsid w:val="00A20A76"/>
    <w:rsid w:val="00A20A91"/>
    <w:rsid w:val="00A20A9E"/>
    <w:rsid w:val="00A21130"/>
    <w:rsid w:val="00A2127A"/>
    <w:rsid w:val="00A212AE"/>
    <w:rsid w:val="00A214B9"/>
    <w:rsid w:val="00A21DD9"/>
    <w:rsid w:val="00A220BC"/>
    <w:rsid w:val="00A220DB"/>
    <w:rsid w:val="00A2241B"/>
    <w:rsid w:val="00A22C22"/>
    <w:rsid w:val="00A23334"/>
    <w:rsid w:val="00A23448"/>
    <w:rsid w:val="00A237C0"/>
    <w:rsid w:val="00A2387A"/>
    <w:rsid w:val="00A23E0E"/>
    <w:rsid w:val="00A23F54"/>
    <w:rsid w:val="00A23F9C"/>
    <w:rsid w:val="00A245C1"/>
    <w:rsid w:val="00A246B4"/>
    <w:rsid w:val="00A24A44"/>
    <w:rsid w:val="00A24C15"/>
    <w:rsid w:val="00A24DEA"/>
    <w:rsid w:val="00A25684"/>
    <w:rsid w:val="00A25704"/>
    <w:rsid w:val="00A261CB"/>
    <w:rsid w:val="00A26330"/>
    <w:rsid w:val="00A26485"/>
    <w:rsid w:val="00A26E38"/>
    <w:rsid w:val="00A26F6B"/>
    <w:rsid w:val="00A277A1"/>
    <w:rsid w:val="00A278D0"/>
    <w:rsid w:val="00A3128B"/>
    <w:rsid w:val="00A313E3"/>
    <w:rsid w:val="00A324D3"/>
    <w:rsid w:val="00A324FB"/>
    <w:rsid w:val="00A3266B"/>
    <w:rsid w:val="00A32A93"/>
    <w:rsid w:val="00A3407B"/>
    <w:rsid w:val="00A3465B"/>
    <w:rsid w:val="00A34ABA"/>
    <w:rsid w:val="00A35066"/>
    <w:rsid w:val="00A35301"/>
    <w:rsid w:val="00A355A9"/>
    <w:rsid w:val="00A35740"/>
    <w:rsid w:val="00A35AD6"/>
    <w:rsid w:val="00A362A8"/>
    <w:rsid w:val="00A365F0"/>
    <w:rsid w:val="00A36D65"/>
    <w:rsid w:val="00A36FB5"/>
    <w:rsid w:val="00A37097"/>
    <w:rsid w:val="00A3720B"/>
    <w:rsid w:val="00A37476"/>
    <w:rsid w:val="00A37784"/>
    <w:rsid w:val="00A37AFD"/>
    <w:rsid w:val="00A37E3E"/>
    <w:rsid w:val="00A40195"/>
    <w:rsid w:val="00A40830"/>
    <w:rsid w:val="00A409BB"/>
    <w:rsid w:val="00A40B1D"/>
    <w:rsid w:val="00A4145E"/>
    <w:rsid w:val="00A41CA2"/>
    <w:rsid w:val="00A420A4"/>
    <w:rsid w:val="00A421F2"/>
    <w:rsid w:val="00A4227E"/>
    <w:rsid w:val="00A428F1"/>
    <w:rsid w:val="00A436DE"/>
    <w:rsid w:val="00A4376E"/>
    <w:rsid w:val="00A43938"/>
    <w:rsid w:val="00A4397F"/>
    <w:rsid w:val="00A43CC3"/>
    <w:rsid w:val="00A44048"/>
    <w:rsid w:val="00A4429C"/>
    <w:rsid w:val="00A44463"/>
    <w:rsid w:val="00A44790"/>
    <w:rsid w:val="00A4487B"/>
    <w:rsid w:val="00A44E8B"/>
    <w:rsid w:val="00A45F05"/>
    <w:rsid w:val="00A46172"/>
    <w:rsid w:val="00A466B6"/>
    <w:rsid w:val="00A46B04"/>
    <w:rsid w:val="00A46CD4"/>
    <w:rsid w:val="00A46E35"/>
    <w:rsid w:val="00A46F30"/>
    <w:rsid w:val="00A47376"/>
    <w:rsid w:val="00A47A88"/>
    <w:rsid w:val="00A47AB1"/>
    <w:rsid w:val="00A47BE0"/>
    <w:rsid w:val="00A5028E"/>
    <w:rsid w:val="00A505AC"/>
    <w:rsid w:val="00A50603"/>
    <w:rsid w:val="00A506CC"/>
    <w:rsid w:val="00A50803"/>
    <w:rsid w:val="00A50905"/>
    <w:rsid w:val="00A50925"/>
    <w:rsid w:val="00A509C9"/>
    <w:rsid w:val="00A51088"/>
    <w:rsid w:val="00A5117F"/>
    <w:rsid w:val="00A511FD"/>
    <w:rsid w:val="00A512CB"/>
    <w:rsid w:val="00A51B19"/>
    <w:rsid w:val="00A51C31"/>
    <w:rsid w:val="00A51E5A"/>
    <w:rsid w:val="00A51FE1"/>
    <w:rsid w:val="00A524A7"/>
    <w:rsid w:val="00A52C5B"/>
    <w:rsid w:val="00A52CD6"/>
    <w:rsid w:val="00A52F3C"/>
    <w:rsid w:val="00A530ED"/>
    <w:rsid w:val="00A535D8"/>
    <w:rsid w:val="00A542B4"/>
    <w:rsid w:val="00A54ABD"/>
    <w:rsid w:val="00A54F0D"/>
    <w:rsid w:val="00A54F90"/>
    <w:rsid w:val="00A5582D"/>
    <w:rsid w:val="00A55893"/>
    <w:rsid w:val="00A55CF1"/>
    <w:rsid w:val="00A55E13"/>
    <w:rsid w:val="00A56075"/>
    <w:rsid w:val="00A560A4"/>
    <w:rsid w:val="00A56589"/>
    <w:rsid w:val="00A566D3"/>
    <w:rsid w:val="00A5670E"/>
    <w:rsid w:val="00A57050"/>
    <w:rsid w:val="00A57222"/>
    <w:rsid w:val="00A57444"/>
    <w:rsid w:val="00A57B44"/>
    <w:rsid w:val="00A60953"/>
    <w:rsid w:val="00A60961"/>
    <w:rsid w:val="00A60FC7"/>
    <w:rsid w:val="00A615F5"/>
    <w:rsid w:val="00A61E4C"/>
    <w:rsid w:val="00A61FBD"/>
    <w:rsid w:val="00A61FEC"/>
    <w:rsid w:val="00A623A6"/>
    <w:rsid w:val="00A62942"/>
    <w:rsid w:val="00A62E90"/>
    <w:rsid w:val="00A63318"/>
    <w:rsid w:val="00A633F3"/>
    <w:rsid w:val="00A63EBA"/>
    <w:rsid w:val="00A64011"/>
    <w:rsid w:val="00A6424B"/>
    <w:rsid w:val="00A648B9"/>
    <w:rsid w:val="00A64BE4"/>
    <w:rsid w:val="00A64EC1"/>
    <w:rsid w:val="00A64F69"/>
    <w:rsid w:val="00A654D4"/>
    <w:rsid w:val="00A655A1"/>
    <w:rsid w:val="00A659D0"/>
    <w:rsid w:val="00A65B57"/>
    <w:rsid w:val="00A65EB7"/>
    <w:rsid w:val="00A6627D"/>
    <w:rsid w:val="00A6651F"/>
    <w:rsid w:val="00A665C6"/>
    <w:rsid w:val="00A66B56"/>
    <w:rsid w:val="00A66C76"/>
    <w:rsid w:val="00A67511"/>
    <w:rsid w:val="00A679AB"/>
    <w:rsid w:val="00A67AA1"/>
    <w:rsid w:val="00A70318"/>
    <w:rsid w:val="00A706B9"/>
    <w:rsid w:val="00A70D6E"/>
    <w:rsid w:val="00A711BB"/>
    <w:rsid w:val="00A71A25"/>
    <w:rsid w:val="00A71A30"/>
    <w:rsid w:val="00A72513"/>
    <w:rsid w:val="00A72BE1"/>
    <w:rsid w:val="00A72CE0"/>
    <w:rsid w:val="00A7357D"/>
    <w:rsid w:val="00A735E3"/>
    <w:rsid w:val="00A73A31"/>
    <w:rsid w:val="00A73C8B"/>
    <w:rsid w:val="00A746A2"/>
    <w:rsid w:val="00A74767"/>
    <w:rsid w:val="00A749E1"/>
    <w:rsid w:val="00A74A5D"/>
    <w:rsid w:val="00A74C86"/>
    <w:rsid w:val="00A74DDB"/>
    <w:rsid w:val="00A74ED2"/>
    <w:rsid w:val="00A750F6"/>
    <w:rsid w:val="00A75141"/>
    <w:rsid w:val="00A7558D"/>
    <w:rsid w:val="00A7574E"/>
    <w:rsid w:val="00A75B4F"/>
    <w:rsid w:val="00A76332"/>
    <w:rsid w:val="00A7637C"/>
    <w:rsid w:val="00A76676"/>
    <w:rsid w:val="00A76AC8"/>
    <w:rsid w:val="00A77640"/>
    <w:rsid w:val="00A8015B"/>
    <w:rsid w:val="00A804B6"/>
    <w:rsid w:val="00A80A15"/>
    <w:rsid w:val="00A80FA5"/>
    <w:rsid w:val="00A818E1"/>
    <w:rsid w:val="00A81C86"/>
    <w:rsid w:val="00A81EFE"/>
    <w:rsid w:val="00A82791"/>
    <w:rsid w:val="00A833CA"/>
    <w:rsid w:val="00A8373E"/>
    <w:rsid w:val="00A83D8C"/>
    <w:rsid w:val="00A841B3"/>
    <w:rsid w:val="00A84350"/>
    <w:rsid w:val="00A84421"/>
    <w:rsid w:val="00A844C6"/>
    <w:rsid w:val="00A846A6"/>
    <w:rsid w:val="00A8480F"/>
    <w:rsid w:val="00A852F6"/>
    <w:rsid w:val="00A853B9"/>
    <w:rsid w:val="00A855FF"/>
    <w:rsid w:val="00A858EE"/>
    <w:rsid w:val="00A85D95"/>
    <w:rsid w:val="00A85DE7"/>
    <w:rsid w:val="00A8642C"/>
    <w:rsid w:val="00A86469"/>
    <w:rsid w:val="00A8667B"/>
    <w:rsid w:val="00A86F9A"/>
    <w:rsid w:val="00A87765"/>
    <w:rsid w:val="00A87B56"/>
    <w:rsid w:val="00A87E47"/>
    <w:rsid w:val="00A87FC4"/>
    <w:rsid w:val="00A90043"/>
    <w:rsid w:val="00A90285"/>
    <w:rsid w:val="00A90B37"/>
    <w:rsid w:val="00A90E2A"/>
    <w:rsid w:val="00A911B7"/>
    <w:rsid w:val="00A91302"/>
    <w:rsid w:val="00A916B8"/>
    <w:rsid w:val="00A917F1"/>
    <w:rsid w:val="00A92D8E"/>
    <w:rsid w:val="00A93383"/>
    <w:rsid w:val="00A93E78"/>
    <w:rsid w:val="00A940A9"/>
    <w:rsid w:val="00A944ED"/>
    <w:rsid w:val="00A94784"/>
    <w:rsid w:val="00A9499A"/>
    <w:rsid w:val="00A94C03"/>
    <w:rsid w:val="00A94D1F"/>
    <w:rsid w:val="00A951D7"/>
    <w:rsid w:val="00A95441"/>
    <w:rsid w:val="00A95576"/>
    <w:rsid w:val="00A95AC4"/>
    <w:rsid w:val="00A95FAE"/>
    <w:rsid w:val="00A96A60"/>
    <w:rsid w:val="00A96C93"/>
    <w:rsid w:val="00A972F5"/>
    <w:rsid w:val="00A97305"/>
    <w:rsid w:val="00A974FB"/>
    <w:rsid w:val="00A97EC5"/>
    <w:rsid w:val="00AA01F2"/>
    <w:rsid w:val="00AA02C5"/>
    <w:rsid w:val="00AA0A26"/>
    <w:rsid w:val="00AA0AC6"/>
    <w:rsid w:val="00AA0BA9"/>
    <w:rsid w:val="00AA0FB9"/>
    <w:rsid w:val="00AA1124"/>
    <w:rsid w:val="00AA11EA"/>
    <w:rsid w:val="00AA161E"/>
    <w:rsid w:val="00AA232D"/>
    <w:rsid w:val="00AA25BC"/>
    <w:rsid w:val="00AA261D"/>
    <w:rsid w:val="00AA2F67"/>
    <w:rsid w:val="00AA3037"/>
    <w:rsid w:val="00AA320E"/>
    <w:rsid w:val="00AA3430"/>
    <w:rsid w:val="00AA3587"/>
    <w:rsid w:val="00AA3807"/>
    <w:rsid w:val="00AA3836"/>
    <w:rsid w:val="00AA3A7A"/>
    <w:rsid w:val="00AA3D82"/>
    <w:rsid w:val="00AA4000"/>
    <w:rsid w:val="00AA43FF"/>
    <w:rsid w:val="00AA4456"/>
    <w:rsid w:val="00AA453D"/>
    <w:rsid w:val="00AA4FFE"/>
    <w:rsid w:val="00AA52F0"/>
    <w:rsid w:val="00AA5C0B"/>
    <w:rsid w:val="00AA5FEF"/>
    <w:rsid w:val="00AA734B"/>
    <w:rsid w:val="00AA7E65"/>
    <w:rsid w:val="00AA7FAE"/>
    <w:rsid w:val="00AB0283"/>
    <w:rsid w:val="00AB0597"/>
    <w:rsid w:val="00AB0658"/>
    <w:rsid w:val="00AB0868"/>
    <w:rsid w:val="00AB09C2"/>
    <w:rsid w:val="00AB0B7B"/>
    <w:rsid w:val="00AB0D07"/>
    <w:rsid w:val="00AB1B9D"/>
    <w:rsid w:val="00AB1CCC"/>
    <w:rsid w:val="00AB2307"/>
    <w:rsid w:val="00AB2771"/>
    <w:rsid w:val="00AB2CFE"/>
    <w:rsid w:val="00AB31A1"/>
    <w:rsid w:val="00AB3229"/>
    <w:rsid w:val="00AB3363"/>
    <w:rsid w:val="00AB35A2"/>
    <w:rsid w:val="00AB39F2"/>
    <w:rsid w:val="00AB3A92"/>
    <w:rsid w:val="00AB3B9B"/>
    <w:rsid w:val="00AB3EEB"/>
    <w:rsid w:val="00AB4087"/>
    <w:rsid w:val="00AB4132"/>
    <w:rsid w:val="00AB4342"/>
    <w:rsid w:val="00AB46CC"/>
    <w:rsid w:val="00AB489C"/>
    <w:rsid w:val="00AB499B"/>
    <w:rsid w:val="00AB5998"/>
    <w:rsid w:val="00AB643C"/>
    <w:rsid w:val="00AB6442"/>
    <w:rsid w:val="00AB65A8"/>
    <w:rsid w:val="00AB6B4A"/>
    <w:rsid w:val="00AB6F4D"/>
    <w:rsid w:val="00AB7608"/>
    <w:rsid w:val="00AB78EC"/>
    <w:rsid w:val="00AC0051"/>
    <w:rsid w:val="00AC039D"/>
    <w:rsid w:val="00AC09C5"/>
    <w:rsid w:val="00AC0A54"/>
    <w:rsid w:val="00AC0B0C"/>
    <w:rsid w:val="00AC0FC2"/>
    <w:rsid w:val="00AC102A"/>
    <w:rsid w:val="00AC1799"/>
    <w:rsid w:val="00AC1CC0"/>
    <w:rsid w:val="00AC25E2"/>
    <w:rsid w:val="00AC26A9"/>
    <w:rsid w:val="00AC2723"/>
    <w:rsid w:val="00AC3286"/>
    <w:rsid w:val="00AC330E"/>
    <w:rsid w:val="00AC3D3F"/>
    <w:rsid w:val="00AC3DC9"/>
    <w:rsid w:val="00AC4069"/>
    <w:rsid w:val="00AC407D"/>
    <w:rsid w:val="00AC42A8"/>
    <w:rsid w:val="00AC4BCF"/>
    <w:rsid w:val="00AC4CB6"/>
    <w:rsid w:val="00AC52E7"/>
    <w:rsid w:val="00AC57AA"/>
    <w:rsid w:val="00AC5F75"/>
    <w:rsid w:val="00AC64F9"/>
    <w:rsid w:val="00AC69E6"/>
    <w:rsid w:val="00AC6A53"/>
    <w:rsid w:val="00AC6AAA"/>
    <w:rsid w:val="00AC6C58"/>
    <w:rsid w:val="00AC6D2F"/>
    <w:rsid w:val="00AC78DA"/>
    <w:rsid w:val="00AC7B76"/>
    <w:rsid w:val="00AD0398"/>
    <w:rsid w:val="00AD0533"/>
    <w:rsid w:val="00AD0920"/>
    <w:rsid w:val="00AD0924"/>
    <w:rsid w:val="00AD0FF0"/>
    <w:rsid w:val="00AD1151"/>
    <w:rsid w:val="00AD1577"/>
    <w:rsid w:val="00AD15A3"/>
    <w:rsid w:val="00AD1BD0"/>
    <w:rsid w:val="00AD2205"/>
    <w:rsid w:val="00AD228A"/>
    <w:rsid w:val="00AD294B"/>
    <w:rsid w:val="00AD30B1"/>
    <w:rsid w:val="00AD3215"/>
    <w:rsid w:val="00AD33B5"/>
    <w:rsid w:val="00AD37E3"/>
    <w:rsid w:val="00AD4442"/>
    <w:rsid w:val="00AD46DE"/>
    <w:rsid w:val="00AD4880"/>
    <w:rsid w:val="00AD4ECB"/>
    <w:rsid w:val="00AD5322"/>
    <w:rsid w:val="00AD53D9"/>
    <w:rsid w:val="00AD5D50"/>
    <w:rsid w:val="00AD5FB2"/>
    <w:rsid w:val="00AD6972"/>
    <w:rsid w:val="00AD6AAD"/>
    <w:rsid w:val="00AD6D59"/>
    <w:rsid w:val="00AD6DBE"/>
    <w:rsid w:val="00AD6F3B"/>
    <w:rsid w:val="00AD739A"/>
    <w:rsid w:val="00AD77E2"/>
    <w:rsid w:val="00AD7ABE"/>
    <w:rsid w:val="00AD7F2F"/>
    <w:rsid w:val="00AD7F5D"/>
    <w:rsid w:val="00AE0311"/>
    <w:rsid w:val="00AE08A1"/>
    <w:rsid w:val="00AE0AD6"/>
    <w:rsid w:val="00AE1342"/>
    <w:rsid w:val="00AE15E1"/>
    <w:rsid w:val="00AE184A"/>
    <w:rsid w:val="00AE190C"/>
    <w:rsid w:val="00AE1A7C"/>
    <w:rsid w:val="00AE1BD4"/>
    <w:rsid w:val="00AE1EE7"/>
    <w:rsid w:val="00AE2704"/>
    <w:rsid w:val="00AE287F"/>
    <w:rsid w:val="00AE344B"/>
    <w:rsid w:val="00AE3464"/>
    <w:rsid w:val="00AE3551"/>
    <w:rsid w:val="00AE3554"/>
    <w:rsid w:val="00AE35D4"/>
    <w:rsid w:val="00AE36A4"/>
    <w:rsid w:val="00AE3B5B"/>
    <w:rsid w:val="00AE3DF8"/>
    <w:rsid w:val="00AE3E07"/>
    <w:rsid w:val="00AE4081"/>
    <w:rsid w:val="00AE436A"/>
    <w:rsid w:val="00AE449B"/>
    <w:rsid w:val="00AE4529"/>
    <w:rsid w:val="00AE4A58"/>
    <w:rsid w:val="00AE4AC7"/>
    <w:rsid w:val="00AE4C5E"/>
    <w:rsid w:val="00AE509C"/>
    <w:rsid w:val="00AE53BF"/>
    <w:rsid w:val="00AE5445"/>
    <w:rsid w:val="00AE5A56"/>
    <w:rsid w:val="00AE5CCB"/>
    <w:rsid w:val="00AE5FD5"/>
    <w:rsid w:val="00AE60E3"/>
    <w:rsid w:val="00AE7000"/>
    <w:rsid w:val="00AE74BA"/>
    <w:rsid w:val="00AF0226"/>
    <w:rsid w:val="00AF0916"/>
    <w:rsid w:val="00AF109C"/>
    <w:rsid w:val="00AF1196"/>
    <w:rsid w:val="00AF11B2"/>
    <w:rsid w:val="00AF11C2"/>
    <w:rsid w:val="00AF1519"/>
    <w:rsid w:val="00AF2346"/>
    <w:rsid w:val="00AF25D8"/>
    <w:rsid w:val="00AF29C5"/>
    <w:rsid w:val="00AF2BF4"/>
    <w:rsid w:val="00AF2C6A"/>
    <w:rsid w:val="00AF2CA5"/>
    <w:rsid w:val="00AF2F13"/>
    <w:rsid w:val="00AF42DF"/>
    <w:rsid w:val="00AF4579"/>
    <w:rsid w:val="00AF47A5"/>
    <w:rsid w:val="00AF4C2F"/>
    <w:rsid w:val="00AF4C4C"/>
    <w:rsid w:val="00AF583C"/>
    <w:rsid w:val="00AF5B51"/>
    <w:rsid w:val="00AF6092"/>
    <w:rsid w:val="00AF61D0"/>
    <w:rsid w:val="00AF6844"/>
    <w:rsid w:val="00AF6A5F"/>
    <w:rsid w:val="00AF6B40"/>
    <w:rsid w:val="00AF6E76"/>
    <w:rsid w:val="00AF6E79"/>
    <w:rsid w:val="00AF6EF2"/>
    <w:rsid w:val="00AF7284"/>
    <w:rsid w:val="00AF72AC"/>
    <w:rsid w:val="00AF72B0"/>
    <w:rsid w:val="00AF7412"/>
    <w:rsid w:val="00AF767D"/>
    <w:rsid w:val="00AF7801"/>
    <w:rsid w:val="00B002BC"/>
    <w:rsid w:val="00B0031C"/>
    <w:rsid w:val="00B0035F"/>
    <w:rsid w:val="00B0040A"/>
    <w:rsid w:val="00B0096D"/>
    <w:rsid w:val="00B00C49"/>
    <w:rsid w:val="00B00C61"/>
    <w:rsid w:val="00B00E3F"/>
    <w:rsid w:val="00B00F69"/>
    <w:rsid w:val="00B01023"/>
    <w:rsid w:val="00B01355"/>
    <w:rsid w:val="00B01601"/>
    <w:rsid w:val="00B0176F"/>
    <w:rsid w:val="00B017FA"/>
    <w:rsid w:val="00B019B3"/>
    <w:rsid w:val="00B01F12"/>
    <w:rsid w:val="00B02120"/>
    <w:rsid w:val="00B02440"/>
    <w:rsid w:val="00B0284D"/>
    <w:rsid w:val="00B02939"/>
    <w:rsid w:val="00B02D68"/>
    <w:rsid w:val="00B02FDF"/>
    <w:rsid w:val="00B03178"/>
    <w:rsid w:val="00B03741"/>
    <w:rsid w:val="00B041E5"/>
    <w:rsid w:val="00B052FD"/>
    <w:rsid w:val="00B05411"/>
    <w:rsid w:val="00B0562D"/>
    <w:rsid w:val="00B0574B"/>
    <w:rsid w:val="00B057B1"/>
    <w:rsid w:val="00B057B2"/>
    <w:rsid w:val="00B05F75"/>
    <w:rsid w:val="00B06124"/>
    <w:rsid w:val="00B06647"/>
    <w:rsid w:val="00B067A4"/>
    <w:rsid w:val="00B067AF"/>
    <w:rsid w:val="00B06AA8"/>
    <w:rsid w:val="00B06ADD"/>
    <w:rsid w:val="00B06C74"/>
    <w:rsid w:val="00B06E12"/>
    <w:rsid w:val="00B06E5E"/>
    <w:rsid w:val="00B0702F"/>
    <w:rsid w:val="00B07558"/>
    <w:rsid w:val="00B075B2"/>
    <w:rsid w:val="00B07926"/>
    <w:rsid w:val="00B07A83"/>
    <w:rsid w:val="00B07BE9"/>
    <w:rsid w:val="00B100C2"/>
    <w:rsid w:val="00B102C1"/>
    <w:rsid w:val="00B1042A"/>
    <w:rsid w:val="00B10590"/>
    <w:rsid w:val="00B105BC"/>
    <w:rsid w:val="00B10B6A"/>
    <w:rsid w:val="00B10C25"/>
    <w:rsid w:val="00B10E61"/>
    <w:rsid w:val="00B110A0"/>
    <w:rsid w:val="00B11A8E"/>
    <w:rsid w:val="00B127C0"/>
    <w:rsid w:val="00B12C02"/>
    <w:rsid w:val="00B1307C"/>
    <w:rsid w:val="00B13119"/>
    <w:rsid w:val="00B132C6"/>
    <w:rsid w:val="00B1341D"/>
    <w:rsid w:val="00B13422"/>
    <w:rsid w:val="00B135AD"/>
    <w:rsid w:val="00B1388A"/>
    <w:rsid w:val="00B13957"/>
    <w:rsid w:val="00B13EC8"/>
    <w:rsid w:val="00B13FDD"/>
    <w:rsid w:val="00B14BDA"/>
    <w:rsid w:val="00B14E30"/>
    <w:rsid w:val="00B15010"/>
    <w:rsid w:val="00B1522C"/>
    <w:rsid w:val="00B154AD"/>
    <w:rsid w:val="00B15866"/>
    <w:rsid w:val="00B15A73"/>
    <w:rsid w:val="00B15C37"/>
    <w:rsid w:val="00B16780"/>
    <w:rsid w:val="00B172BD"/>
    <w:rsid w:val="00B17AE1"/>
    <w:rsid w:val="00B17BDA"/>
    <w:rsid w:val="00B17D2C"/>
    <w:rsid w:val="00B17F5A"/>
    <w:rsid w:val="00B17F62"/>
    <w:rsid w:val="00B20013"/>
    <w:rsid w:val="00B20434"/>
    <w:rsid w:val="00B20E96"/>
    <w:rsid w:val="00B20FA6"/>
    <w:rsid w:val="00B21798"/>
    <w:rsid w:val="00B218B9"/>
    <w:rsid w:val="00B218F6"/>
    <w:rsid w:val="00B21A38"/>
    <w:rsid w:val="00B21C3E"/>
    <w:rsid w:val="00B2218D"/>
    <w:rsid w:val="00B2264D"/>
    <w:rsid w:val="00B22B7F"/>
    <w:rsid w:val="00B22F28"/>
    <w:rsid w:val="00B23379"/>
    <w:rsid w:val="00B23E1B"/>
    <w:rsid w:val="00B24176"/>
    <w:rsid w:val="00B24235"/>
    <w:rsid w:val="00B24A6D"/>
    <w:rsid w:val="00B24AF3"/>
    <w:rsid w:val="00B24F11"/>
    <w:rsid w:val="00B24F3D"/>
    <w:rsid w:val="00B257BD"/>
    <w:rsid w:val="00B2596C"/>
    <w:rsid w:val="00B259D4"/>
    <w:rsid w:val="00B25AEC"/>
    <w:rsid w:val="00B25DCE"/>
    <w:rsid w:val="00B25DD4"/>
    <w:rsid w:val="00B25E57"/>
    <w:rsid w:val="00B26062"/>
    <w:rsid w:val="00B26089"/>
    <w:rsid w:val="00B2643F"/>
    <w:rsid w:val="00B26B5A"/>
    <w:rsid w:val="00B273BE"/>
    <w:rsid w:val="00B2788E"/>
    <w:rsid w:val="00B27CC4"/>
    <w:rsid w:val="00B27E63"/>
    <w:rsid w:val="00B317B7"/>
    <w:rsid w:val="00B319A7"/>
    <w:rsid w:val="00B31AA4"/>
    <w:rsid w:val="00B31B36"/>
    <w:rsid w:val="00B31E34"/>
    <w:rsid w:val="00B31E6F"/>
    <w:rsid w:val="00B32018"/>
    <w:rsid w:val="00B32799"/>
    <w:rsid w:val="00B32863"/>
    <w:rsid w:val="00B32B00"/>
    <w:rsid w:val="00B32B01"/>
    <w:rsid w:val="00B32C57"/>
    <w:rsid w:val="00B32D87"/>
    <w:rsid w:val="00B32FC5"/>
    <w:rsid w:val="00B33074"/>
    <w:rsid w:val="00B33290"/>
    <w:rsid w:val="00B33712"/>
    <w:rsid w:val="00B339DB"/>
    <w:rsid w:val="00B34224"/>
    <w:rsid w:val="00B347F6"/>
    <w:rsid w:val="00B3489D"/>
    <w:rsid w:val="00B3501B"/>
    <w:rsid w:val="00B35196"/>
    <w:rsid w:val="00B362C9"/>
    <w:rsid w:val="00B36779"/>
    <w:rsid w:val="00B36931"/>
    <w:rsid w:val="00B37319"/>
    <w:rsid w:val="00B373BF"/>
    <w:rsid w:val="00B373D4"/>
    <w:rsid w:val="00B37D62"/>
    <w:rsid w:val="00B40C2F"/>
    <w:rsid w:val="00B40E7F"/>
    <w:rsid w:val="00B40FAA"/>
    <w:rsid w:val="00B412E9"/>
    <w:rsid w:val="00B41EAE"/>
    <w:rsid w:val="00B421FA"/>
    <w:rsid w:val="00B42801"/>
    <w:rsid w:val="00B4284B"/>
    <w:rsid w:val="00B42850"/>
    <w:rsid w:val="00B428CD"/>
    <w:rsid w:val="00B42F62"/>
    <w:rsid w:val="00B42FDB"/>
    <w:rsid w:val="00B43416"/>
    <w:rsid w:val="00B439AF"/>
    <w:rsid w:val="00B43A44"/>
    <w:rsid w:val="00B43E28"/>
    <w:rsid w:val="00B43E93"/>
    <w:rsid w:val="00B43EAD"/>
    <w:rsid w:val="00B442B2"/>
    <w:rsid w:val="00B442CD"/>
    <w:rsid w:val="00B444B1"/>
    <w:rsid w:val="00B4469D"/>
    <w:rsid w:val="00B44C1A"/>
    <w:rsid w:val="00B44D80"/>
    <w:rsid w:val="00B44DD8"/>
    <w:rsid w:val="00B45964"/>
    <w:rsid w:val="00B466A0"/>
    <w:rsid w:val="00B466DC"/>
    <w:rsid w:val="00B468D3"/>
    <w:rsid w:val="00B4691C"/>
    <w:rsid w:val="00B46C3B"/>
    <w:rsid w:val="00B46DC8"/>
    <w:rsid w:val="00B47261"/>
    <w:rsid w:val="00B47AB3"/>
    <w:rsid w:val="00B47C45"/>
    <w:rsid w:val="00B500A7"/>
    <w:rsid w:val="00B50132"/>
    <w:rsid w:val="00B50B4A"/>
    <w:rsid w:val="00B50E39"/>
    <w:rsid w:val="00B50E6C"/>
    <w:rsid w:val="00B50EB2"/>
    <w:rsid w:val="00B5112E"/>
    <w:rsid w:val="00B515A8"/>
    <w:rsid w:val="00B51661"/>
    <w:rsid w:val="00B51762"/>
    <w:rsid w:val="00B51B6E"/>
    <w:rsid w:val="00B51C2E"/>
    <w:rsid w:val="00B51C41"/>
    <w:rsid w:val="00B521A8"/>
    <w:rsid w:val="00B52440"/>
    <w:rsid w:val="00B527D2"/>
    <w:rsid w:val="00B52A90"/>
    <w:rsid w:val="00B52C7A"/>
    <w:rsid w:val="00B52FC8"/>
    <w:rsid w:val="00B530D8"/>
    <w:rsid w:val="00B53362"/>
    <w:rsid w:val="00B533A4"/>
    <w:rsid w:val="00B533A9"/>
    <w:rsid w:val="00B53913"/>
    <w:rsid w:val="00B53A36"/>
    <w:rsid w:val="00B54031"/>
    <w:rsid w:val="00B5415B"/>
    <w:rsid w:val="00B541F5"/>
    <w:rsid w:val="00B542FA"/>
    <w:rsid w:val="00B54388"/>
    <w:rsid w:val="00B5466C"/>
    <w:rsid w:val="00B5468A"/>
    <w:rsid w:val="00B5522E"/>
    <w:rsid w:val="00B55854"/>
    <w:rsid w:val="00B55C72"/>
    <w:rsid w:val="00B55C8A"/>
    <w:rsid w:val="00B5616B"/>
    <w:rsid w:val="00B564D3"/>
    <w:rsid w:val="00B56574"/>
    <w:rsid w:val="00B56833"/>
    <w:rsid w:val="00B570BC"/>
    <w:rsid w:val="00B574CE"/>
    <w:rsid w:val="00B57ABB"/>
    <w:rsid w:val="00B602D0"/>
    <w:rsid w:val="00B605A7"/>
    <w:rsid w:val="00B6064C"/>
    <w:rsid w:val="00B60716"/>
    <w:rsid w:val="00B60A40"/>
    <w:rsid w:val="00B61022"/>
    <w:rsid w:val="00B6150D"/>
    <w:rsid w:val="00B61F64"/>
    <w:rsid w:val="00B620C5"/>
    <w:rsid w:val="00B62206"/>
    <w:rsid w:val="00B62432"/>
    <w:rsid w:val="00B62644"/>
    <w:rsid w:val="00B62B13"/>
    <w:rsid w:val="00B62ECF"/>
    <w:rsid w:val="00B630D3"/>
    <w:rsid w:val="00B63287"/>
    <w:rsid w:val="00B6337E"/>
    <w:rsid w:val="00B633F5"/>
    <w:rsid w:val="00B63426"/>
    <w:rsid w:val="00B63684"/>
    <w:rsid w:val="00B636AD"/>
    <w:rsid w:val="00B638EE"/>
    <w:rsid w:val="00B6410A"/>
    <w:rsid w:val="00B64822"/>
    <w:rsid w:val="00B64E51"/>
    <w:rsid w:val="00B65019"/>
    <w:rsid w:val="00B65444"/>
    <w:rsid w:val="00B65644"/>
    <w:rsid w:val="00B6589E"/>
    <w:rsid w:val="00B659DF"/>
    <w:rsid w:val="00B65D6D"/>
    <w:rsid w:val="00B66467"/>
    <w:rsid w:val="00B66BA2"/>
    <w:rsid w:val="00B66E36"/>
    <w:rsid w:val="00B66E4C"/>
    <w:rsid w:val="00B66ED0"/>
    <w:rsid w:val="00B67211"/>
    <w:rsid w:val="00B6723D"/>
    <w:rsid w:val="00B67604"/>
    <w:rsid w:val="00B70627"/>
    <w:rsid w:val="00B70B5F"/>
    <w:rsid w:val="00B70D8F"/>
    <w:rsid w:val="00B70D95"/>
    <w:rsid w:val="00B70E1B"/>
    <w:rsid w:val="00B71173"/>
    <w:rsid w:val="00B711E5"/>
    <w:rsid w:val="00B71584"/>
    <w:rsid w:val="00B71BA7"/>
    <w:rsid w:val="00B71E3F"/>
    <w:rsid w:val="00B720C2"/>
    <w:rsid w:val="00B721BA"/>
    <w:rsid w:val="00B724A6"/>
    <w:rsid w:val="00B72748"/>
    <w:rsid w:val="00B73228"/>
    <w:rsid w:val="00B73333"/>
    <w:rsid w:val="00B73443"/>
    <w:rsid w:val="00B73B76"/>
    <w:rsid w:val="00B73C89"/>
    <w:rsid w:val="00B73EC6"/>
    <w:rsid w:val="00B73EEE"/>
    <w:rsid w:val="00B742B6"/>
    <w:rsid w:val="00B74986"/>
    <w:rsid w:val="00B74AEF"/>
    <w:rsid w:val="00B74ED7"/>
    <w:rsid w:val="00B74F22"/>
    <w:rsid w:val="00B74F96"/>
    <w:rsid w:val="00B753D1"/>
    <w:rsid w:val="00B761A8"/>
    <w:rsid w:val="00B76367"/>
    <w:rsid w:val="00B76DE6"/>
    <w:rsid w:val="00B77B46"/>
    <w:rsid w:val="00B77F43"/>
    <w:rsid w:val="00B8004F"/>
    <w:rsid w:val="00B800DA"/>
    <w:rsid w:val="00B803A2"/>
    <w:rsid w:val="00B80749"/>
    <w:rsid w:val="00B81082"/>
    <w:rsid w:val="00B811C6"/>
    <w:rsid w:val="00B812C6"/>
    <w:rsid w:val="00B81547"/>
    <w:rsid w:val="00B81F3C"/>
    <w:rsid w:val="00B8201C"/>
    <w:rsid w:val="00B82DBF"/>
    <w:rsid w:val="00B84458"/>
    <w:rsid w:val="00B8452D"/>
    <w:rsid w:val="00B84D09"/>
    <w:rsid w:val="00B84EDB"/>
    <w:rsid w:val="00B85162"/>
    <w:rsid w:val="00B85641"/>
    <w:rsid w:val="00B85A37"/>
    <w:rsid w:val="00B85AC6"/>
    <w:rsid w:val="00B85D09"/>
    <w:rsid w:val="00B85D2B"/>
    <w:rsid w:val="00B86062"/>
    <w:rsid w:val="00B8707C"/>
    <w:rsid w:val="00B87083"/>
    <w:rsid w:val="00B870BC"/>
    <w:rsid w:val="00B874B3"/>
    <w:rsid w:val="00B875B6"/>
    <w:rsid w:val="00B87DAF"/>
    <w:rsid w:val="00B87F09"/>
    <w:rsid w:val="00B87F2F"/>
    <w:rsid w:val="00B903E4"/>
    <w:rsid w:val="00B90C61"/>
    <w:rsid w:val="00B90E17"/>
    <w:rsid w:val="00B90EB3"/>
    <w:rsid w:val="00B90F12"/>
    <w:rsid w:val="00B912E3"/>
    <w:rsid w:val="00B9147B"/>
    <w:rsid w:val="00B91635"/>
    <w:rsid w:val="00B9165B"/>
    <w:rsid w:val="00B91D6C"/>
    <w:rsid w:val="00B91D70"/>
    <w:rsid w:val="00B91D7B"/>
    <w:rsid w:val="00B91E90"/>
    <w:rsid w:val="00B92160"/>
    <w:rsid w:val="00B92197"/>
    <w:rsid w:val="00B927E4"/>
    <w:rsid w:val="00B92C23"/>
    <w:rsid w:val="00B93BF5"/>
    <w:rsid w:val="00B94371"/>
    <w:rsid w:val="00B946E1"/>
    <w:rsid w:val="00B94792"/>
    <w:rsid w:val="00B94E64"/>
    <w:rsid w:val="00B950C1"/>
    <w:rsid w:val="00B95470"/>
    <w:rsid w:val="00B954FE"/>
    <w:rsid w:val="00B95E5E"/>
    <w:rsid w:val="00B95F15"/>
    <w:rsid w:val="00B95F18"/>
    <w:rsid w:val="00B9637A"/>
    <w:rsid w:val="00B96491"/>
    <w:rsid w:val="00B9665D"/>
    <w:rsid w:val="00B9665F"/>
    <w:rsid w:val="00B96747"/>
    <w:rsid w:val="00B9677B"/>
    <w:rsid w:val="00B96963"/>
    <w:rsid w:val="00B96C3A"/>
    <w:rsid w:val="00B97349"/>
    <w:rsid w:val="00B97363"/>
    <w:rsid w:val="00B9767F"/>
    <w:rsid w:val="00B97AA6"/>
    <w:rsid w:val="00B97EC6"/>
    <w:rsid w:val="00B97FC3"/>
    <w:rsid w:val="00BA037D"/>
    <w:rsid w:val="00BA05F8"/>
    <w:rsid w:val="00BA0A72"/>
    <w:rsid w:val="00BA141B"/>
    <w:rsid w:val="00BA1758"/>
    <w:rsid w:val="00BA18C4"/>
    <w:rsid w:val="00BA1D6D"/>
    <w:rsid w:val="00BA200F"/>
    <w:rsid w:val="00BA2388"/>
    <w:rsid w:val="00BA244C"/>
    <w:rsid w:val="00BA2785"/>
    <w:rsid w:val="00BA2C85"/>
    <w:rsid w:val="00BA2CE0"/>
    <w:rsid w:val="00BA2D61"/>
    <w:rsid w:val="00BA3544"/>
    <w:rsid w:val="00BA373F"/>
    <w:rsid w:val="00BA3CD8"/>
    <w:rsid w:val="00BA3F4B"/>
    <w:rsid w:val="00BA3F92"/>
    <w:rsid w:val="00BA4057"/>
    <w:rsid w:val="00BA44E3"/>
    <w:rsid w:val="00BA456D"/>
    <w:rsid w:val="00BA4611"/>
    <w:rsid w:val="00BA480D"/>
    <w:rsid w:val="00BA486D"/>
    <w:rsid w:val="00BA4DB6"/>
    <w:rsid w:val="00BA4E06"/>
    <w:rsid w:val="00BA4E37"/>
    <w:rsid w:val="00BA4F9E"/>
    <w:rsid w:val="00BA546A"/>
    <w:rsid w:val="00BA55D0"/>
    <w:rsid w:val="00BA5BAC"/>
    <w:rsid w:val="00BA5C71"/>
    <w:rsid w:val="00BA6047"/>
    <w:rsid w:val="00BA65C4"/>
    <w:rsid w:val="00BA730B"/>
    <w:rsid w:val="00BA762D"/>
    <w:rsid w:val="00BA7FF3"/>
    <w:rsid w:val="00BA7FF8"/>
    <w:rsid w:val="00BB0455"/>
    <w:rsid w:val="00BB0530"/>
    <w:rsid w:val="00BB0A18"/>
    <w:rsid w:val="00BB11B1"/>
    <w:rsid w:val="00BB1601"/>
    <w:rsid w:val="00BB1625"/>
    <w:rsid w:val="00BB1844"/>
    <w:rsid w:val="00BB1DAF"/>
    <w:rsid w:val="00BB2204"/>
    <w:rsid w:val="00BB2258"/>
    <w:rsid w:val="00BB2812"/>
    <w:rsid w:val="00BB2826"/>
    <w:rsid w:val="00BB2AA3"/>
    <w:rsid w:val="00BB2CE6"/>
    <w:rsid w:val="00BB3048"/>
    <w:rsid w:val="00BB3058"/>
    <w:rsid w:val="00BB3486"/>
    <w:rsid w:val="00BB34AB"/>
    <w:rsid w:val="00BB34BE"/>
    <w:rsid w:val="00BB397F"/>
    <w:rsid w:val="00BB3AC2"/>
    <w:rsid w:val="00BB4041"/>
    <w:rsid w:val="00BB49ED"/>
    <w:rsid w:val="00BB4B4A"/>
    <w:rsid w:val="00BB5159"/>
    <w:rsid w:val="00BB53AB"/>
    <w:rsid w:val="00BB59FE"/>
    <w:rsid w:val="00BB5ABF"/>
    <w:rsid w:val="00BB5C36"/>
    <w:rsid w:val="00BB5D6E"/>
    <w:rsid w:val="00BB64BF"/>
    <w:rsid w:val="00BB663B"/>
    <w:rsid w:val="00BB68C3"/>
    <w:rsid w:val="00BB6967"/>
    <w:rsid w:val="00BB6A3F"/>
    <w:rsid w:val="00BB6B9B"/>
    <w:rsid w:val="00BB7129"/>
    <w:rsid w:val="00BB72CD"/>
    <w:rsid w:val="00BB7814"/>
    <w:rsid w:val="00BB7C7E"/>
    <w:rsid w:val="00BB7E75"/>
    <w:rsid w:val="00BB7F18"/>
    <w:rsid w:val="00BB7F37"/>
    <w:rsid w:val="00BC00F6"/>
    <w:rsid w:val="00BC078B"/>
    <w:rsid w:val="00BC081B"/>
    <w:rsid w:val="00BC089B"/>
    <w:rsid w:val="00BC09CF"/>
    <w:rsid w:val="00BC0AAA"/>
    <w:rsid w:val="00BC0C3A"/>
    <w:rsid w:val="00BC0F76"/>
    <w:rsid w:val="00BC1096"/>
    <w:rsid w:val="00BC11FE"/>
    <w:rsid w:val="00BC14B8"/>
    <w:rsid w:val="00BC15D2"/>
    <w:rsid w:val="00BC1652"/>
    <w:rsid w:val="00BC1955"/>
    <w:rsid w:val="00BC1961"/>
    <w:rsid w:val="00BC1E24"/>
    <w:rsid w:val="00BC1E28"/>
    <w:rsid w:val="00BC23AE"/>
    <w:rsid w:val="00BC24E5"/>
    <w:rsid w:val="00BC2538"/>
    <w:rsid w:val="00BC2718"/>
    <w:rsid w:val="00BC27F9"/>
    <w:rsid w:val="00BC2D84"/>
    <w:rsid w:val="00BC2F4D"/>
    <w:rsid w:val="00BC37F3"/>
    <w:rsid w:val="00BC3E83"/>
    <w:rsid w:val="00BC4627"/>
    <w:rsid w:val="00BC4644"/>
    <w:rsid w:val="00BC4B1B"/>
    <w:rsid w:val="00BC51B8"/>
    <w:rsid w:val="00BC57FF"/>
    <w:rsid w:val="00BC5BDD"/>
    <w:rsid w:val="00BC7188"/>
    <w:rsid w:val="00BC74D8"/>
    <w:rsid w:val="00BC763A"/>
    <w:rsid w:val="00BC76CC"/>
    <w:rsid w:val="00BC78B3"/>
    <w:rsid w:val="00BC7C4C"/>
    <w:rsid w:val="00BD0162"/>
    <w:rsid w:val="00BD04BB"/>
    <w:rsid w:val="00BD0541"/>
    <w:rsid w:val="00BD1050"/>
    <w:rsid w:val="00BD122C"/>
    <w:rsid w:val="00BD161C"/>
    <w:rsid w:val="00BD1717"/>
    <w:rsid w:val="00BD1723"/>
    <w:rsid w:val="00BD1C4E"/>
    <w:rsid w:val="00BD1EF8"/>
    <w:rsid w:val="00BD20E4"/>
    <w:rsid w:val="00BD234F"/>
    <w:rsid w:val="00BD2D6B"/>
    <w:rsid w:val="00BD2D7B"/>
    <w:rsid w:val="00BD356F"/>
    <w:rsid w:val="00BD3AD7"/>
    <w:rsid w:val="00BD3CCF"/>
    <w:rsid w:val="00BD3CF5"/>
    <w:rsid w:val="00BD3E69"/>
    <w:rsid w:val="00BD480E"/>
    <w:rsid w:val="00BD4810"/>
    <w:rsid w:val="00BD49F2"/>
    <w:rsid w:val="00BD4A8E"/>
    <w:rsid w:val="00BD5650"/>
    <w:rsid w:val="00BD5704"/>
    <w:rsid w:val="00BD5807"/>
    <w:rsid w:val="00BD598C"/>
    <w:rsid w:val="00BD5A40"/>
    <w:rsid w:val="00BD5CF2"/>
    <w:rsid w:val="00BD5DED"/>
    <w:rsid w:val="00BD5E33"/>
    <w:rsid w:val="00BD5FF9"/>
    <w:rsid w:val="00BD60A8"/>
    <w:rsid w:val="00BD61D1"/>
    <w:rsid w:val="00BD75BF"/>
    <w:rsid w:val="00BD778A"/>
    <w:rsid w:val="00BD7926"/>
    <w:rsid w:val="00BD798A"/>
    <w:rsid w:val="00BD79E0"/>
    <w:rsid w:val="00BD7F2F"/>
    <w:rsid w:val="00BE011F"/>
    <w:rsid w:val="00BE0EB6"/>
    <w:rsid w:val="00BE0EDB"/>
    <w:rsid w:val="00BE13C8"/>
    <w:rsid w:val="00BE1534"/>
    <w:rsid w:val="00BE22AC"/>
    <w:rsid w:val="00BE2429"/>
    <w:rsid w:val="00BE253C"/>
    <w:rsid w:val="00BE2697"/>
    <w:rsid w:val="00BE2A97"/>
    <w:rsid w:val="00BE2F99"/>
    <w:rsid w:val="00BE43B0"/>
    <w:rsid w:val="00BE44D5"/>
    <w:rsid w:val="00BE47BD"/>
    <w:rsid w:val="00BE4987"/>
    <w:rsid w:val="00BE4E0B"/>
    <w:rsid w:val="00BE517C"/>
    <w:rsid w:val="00BE5310"/>
    <w:rsid w:val="00BE5694"/>
    <w:rsid w:val="00BE5C9A"/>
    <w:rsid w:val="00BE6670"/>
    <w:rsid w:val="00BE66CE"/>
    <w:rsid w:val="00BE687B"/>
    <w:rsid w:val="00BE690C"/>
    <w:rsid w:val="00BE6A04"/>
    <w:rsid w:val="00BE6C6A"/>
    <w:rsid w:val="00BE6CE4"/>
    <w:rsid w:val="00BE6F92"/>
    <w:rsid w:val="00BE72A1"/>
    <w:rsid w:val="00BE7336"/>
    <w:rsid w:val="00BE73BB"/>
    <w:rsid w:val="00BE7576"/>
    <w:rsid w:val="00BE77BF"/>
    <w:rsid w:val="00BE7C8A"/>
    <w:rsid w:val="00BF0198"/>
    <w:rsid w:val="00BF0E9C"/>
    <w:rsid w:val="00BF0FF1"/>
    <w:rsid w:val="00BF102B"/>
    <w:rsid w:val="00BF1387"/>
    <w:rsid w:val="00BF1677"/>
    <w:rsid w:val="00BF180E"/>
    <w:rsid w:val="00BF1932"/>
    <w:rsid w:val="00BF1A94"/>
    <w:rsid w:val="00BF2152"/>
    <w:rsid w:val="00BF2188"/>
    <w:rsid w:val="00BF2E36"/>
    <w:rsid w:val="00BF348A"/>
    <w:rsid w:val="00BF360B"/>
    <w:rsid w:val="00BF3925"/>
    <w:rsid w:val="00BF394B"/>
    <w:rsid w:val="00BF39CD"/>
    <w:rsid w:val="00BF3EC2"/>
    <w:rsid w:val="00BF41E2"/>
    <w:rsid w:val="00BF4683"/>
    <w:rsid w:val="00BF4ABB"/>
    <w:rsid w:val="00BF4C16"/>
    <w:rsid w:val="00BF5214"/>
    <w:rsid w:val="00BF538D"/>
    <w:rsid w:val="00BF55D1"/>
    <w:rsid w:val="00BF5739"/>
    <w:rsid w:val="00BF5BB0"/>
    <w:rsid w:val="00BF65C0"/>
    <w:rsid w:val="00BF6678"/>
    <w:rsid w:val="00BF66C9"/>
    <w:rsid w:val="00BF66FF"/>
    <w:rsid w:val="00BF675B"/>
    <w:rsid w:val="00BF6886"/>
    <w:rsid w:val="00BF6C30"/>
    <w:rsid w:val="00BF6D28"/>
    <w:rsid w:val="00BF7639"/>
    <w:rsid w:val="00BF7BE5"/>
    <w:rsid w:val="00C0067D"/>
    <w:rsid w:val="00C00A1A"/>
    <w:rsid w:val="00C01BF4"/>
    <w:rsid w:val="00C01C8B"/>
    <w:rsid w:val="00C0244A"/>
    <w:rsid w:val="00C025B4"/>
    <w:rsid w:val="00C029C8"/>
    <w:rsid w:val="00C02EF2"/>
    <w:rsid w:val="00C02F12"/>
    <w:rsid w:val="00C03198"/>
    <w:rsid w:val="00C03E9F"/>
    <w:rsid w:val="00C045E6"/>
    <w:rsid w:val="00C04FC1"/>
    <w:rsid w:val="00C0520B"/>
    <w:rsid w:val="00C05362"/>
    <w:rsid w:val="00C0548F"/>
    <w:rsid w:val="00C054B2"/>
    <w:rsid w:val="00C058C5"/>
    <w:rsid w:val="00C05D36"/>
    <w:rsid w:val="00C05E18"/>
    <w:rsid w:val="00C05F3D"/>
    <w:rsid w:val="00C06198"/>
    <w:rsid w:val="00C06873"/>
    <w:rsid w:val="00C0696F"/>
    <w:rsid w:val="00C06B35"/>
    <w:rsid w:val="00C07B23"/>
    <w:rsid w:val="00C07DAA"/>
    <w:rsid w:val="00C105BB"/>
    <w:rsid w:val="00C1093E"/>
    <w:rsid w:val="00C109E4"/>
    <w:rsid w:val="00C10C26"/>
    <w:rsid w:val="00C10C2A"/>
    <w:rsid w:val="00C11727"/>
    <w:rsid w:val="00C1184A"/>
    <w:rsid w:val="00C11A33"/>
    <w:rsid w:val="00C11AA8"/>
    <w:rsid w:val="00C12939"/>
    <w:rsid w:val="00C129A5"/>
    <w:rsid w:val="00C130EF"/>
    <w:rsid w:val="00C13687"/>
    <w:rsid w:val="00C138F1"/>
    <w:rsid w:val="00C13C31"/>
    <w:rsid w:val="00C13C6A"/>
    <w:rsid w:val="00C14063"/>
    <w:rsid w:val="00C14120"/>
    <w:rsid w:val="00C14132"/>
    <w:rsid w:val="00C1430B"/>
    <w:rsid w:val="00C144B9"/>
    <w:rsid w:val="00C14BCF"/>
    <w:rsid w:val="00C14DE4"/>
    <w:rsid w:val="00C157AA"/>
    <w:rsid w:val="00C15D4D"/>
    <w:rsid w:val="00C15E63"/>
    <w:rsid w:val="00C164F9"/>
    <w:rsid w:val="00C167BA"/>
    <w:rsid w:val="00C16C67"/>
    <w:rsid w:val="00C16CB2"/>
    <w:rsid w:val="00C173B4"/>
    <w:rsid w:val="00C17696"/>
    <w:rsid w:val="00C17932"/>
    <w:rsid w:val="00C17FCB"/>
    <w:rsid w:val="00C200C2"/>
    <w:rsid w:val="00C20309"/>
    <w:rsid w:val="00C20744"/>
    <w:rsid w:val="00C208B7"/>
    <w:rsid w:val="00C20DC8"/>
    <w:rsid w:val="00C21407"/>
    <w:rsid w:val="00C2179E"/>
    <w:rsid w:val="00C21EA4"/>
    <w:rsid w:val="00C21FB3"/>
    <w:rsid w:val="00C222C8"/>
    <w:rsid w:val="00C22D1E"/>
    <w:rsid w:val="00C2390A"/>
    <w:rsid w:val="00C239AE"/>
    <w:rsid w:val="00C23C27"/>
    <w:rsid w:val="00C2432C"/>
    <w:rsid w:val="00C2445E"/>
    <w:rsid w:val="00C249F0"/>
    <w:rsid w:val="00C24E0A"/>
    <w:rsid w:val="00C254DF"/>
    <w:rsid w:val="00C25B22"/>
    <w:rsid w:val="00C25F29"/>
    <w:rsid w:val="00C2659E"/>
    <w:rsid w:val="00C26928"/>
    <w:rsid w:val="00C26A71"/>
    <w:rsid w:val="00C26B07"/>
    <w:rsid w:val="00C27849"/>
    <w:rsid w:val="00C279F3"/>
    <w:rsid w:val="00C27A27"/>
    <w:rsid w:val="00C30B28"/>
    <w:rsid w:val="00C30CDA"/>
    <w:rsid w:val="00C30D59"/>
    <w:rsid w:val="00C30D69"/>
    <w:rsid w:val="00C30F07"/>
    <w:rsid w:val="00C310F5"/>
    <w:rsid w:val="00C31644"/>
    <w:rsid w:val="00C31F91"/>
    <w:rsid w:val="00C31FC7"/>
    <w:rsid w:val="00C3225A"/>
    <w:rsid w:val="00C322A2"/>
    <w:rsid w:val="00C3298F"/>
    <w:rsid w:val="00C33372"/>
    <w:rsid w:val="00C3393B"/>
    <w:rsid w:val="00C33DBF"/>
    <w:rsid w:val="00C34B2E"/>
    <w:rsid w:val="00C34CDD"/>
    <w:rsid w:val="00C352B6"/>
    <w:rsid w:val="00C35399"/>
    <w:rsid w:val="00C35ABB"/>
    <w:rsid w:val="00C35B20"/>
    <w:rsid w:val="00C35BB4"/>
    <w:rsid w:val="00C35E20"/>
    <w:rsid w:val="00C361B5"/>
    <w:rsid w:val="00C36C96"/>
    <w:rsid w:val="00C37996"/>
    <w:rsid w:val="00C379EE"/>
    <w:rsid w:val="00C408B7"/>
    <w:rsid w:val="00C40AC0"/>
    <w:rsid w:val="00C41309"/>
    <w:rsid w:val="00C41497"/>
    <w:rsid w:val="00C416CF"/>
    <w:rsid w:val="00C419BC"/>
    <w:rsid w:val="00C425F2"/>
    <w:rsid w:val="00C4294E"/>
    <w:rsid w:val="00C42B7D"/>
    <w:rsid w:val="00C43456"/>
    <w:rsid w:val="00C43512"/>
    <w:rsid w:val="00C4363A"/>
    <w:rsid w:val="00C439AB"/>
    <w:rsid w:val="00C43E24"/>
    <w:rsid w:val="00C44660"/>
    <w:rsid w:val="00C446D4"/>
    <w:rsid w:val="00C44CB1"/>
    <w:rsid w:val="00C451DA"/>
    <w:rsid w:val="00C452A2"/>
    <w:rsid w:val="00C4537D"/>
    <w:rsid w:val="00C45753"/>
    <w:rsid w:val="00C45946"/>
    <w:rsid w:val="00C459F5"/>
    <w:rsid w:val="00C45B15"/>
    <w:rsid w:val="00C45B82"/>
    <w:rsid w:val="00C45BB3"/>
    <w:rsid w:val="00C45BC4"/>
    <w:rsid w:val="00C45D29"/>
    <w:rsid w:val="00C4643D"/>
    <w:rsid w:val="00C4689E"/>
    <w:rsid w:val="00C4697A"/>
    <w:rsid w:val="00C46CB0"/>
    <w:rsid w:val="00C46E03"/>
    <w:rsid w:val="00C47149"/>
    <w:rsid w:val="00C472CC"/>
    <w:rsid w:val="00C47961"/>
    <w:rsid w:val="00C47FD8"/>
    <w:rsid w:val="00C50487"/>
    <w:rsid w:val="00C50638"/>
    <w:rsid w:val="00C50BD0"/>
    <w:rsid w:val="00C50DE0"/>
    <w:rsid w:val="00C51151"/>
    <w:rsid w:val="00C516BC"/>
    <w:rsid w:val="00C51C9E"/>
    <w:rsid w:val="00C5201A"/>
    <w:rsid w:val="00C52876"/>
    <w:rsid w:val="00C528C0"/>
    <w:rsid w:val="00C52A21"/>
    <w:rsid w:val="00C52CF4"/>
    <w:rsid w:val="00C52D39"/>
    <w:rsid w:val="00C52EFE"/>
    <w:rsid w:val="00C53115"/>
    <w:rsid w:val="00C53AC0"/>
    <w:rsid w:val="00C53B44"/>
    <w:rsid w:val="00C5448E"/>
    <w:rsid w:val="00C5482D"/>
    <w:rsid w:val="00C54957"/>
    <w:rsid w:val="00C54AF9"/>
    <w:rsid w:val="00C55758"/>
    <w:rsid w:val="00C55C58"/>
    <w:rsid w:val="00C55C94"/>
    <w:rsid w:val="00C561DC"/>
    <w:rsid w:val="00C56938"/>
    <w:rsid w:val="00C56A60"/>
    <w:rsid w:val="00C57176"/>
    <w:rsid w:val="00C57200"/>
    <w:rsid w:val="00C57688"/>
    <w:rsid w:val="00C579C2"/>
    <w:rsid w:val="00C57F6F"/>
    <w:rsid w:val="00C600B7"/>
    <w:rsid w:val="00C605BC"/>
    <w:rsid w:val="00C6113B"/>
    <w:rsid w:val="00C61166"/>
    <w:rsid w:val="00C611F7"/>
    <w:rsid w:val="00C617C7"/>
    <w:rsid w:val="00C617F0"/>
    <w:rsid w:val="00C61A65"/>
    <w:rsid w:val="00C61DB3"/>
    <w:rsid w:val="00C61E42"/>
    <w:rsid w:val="00C627B9"/>
    <w:rsid w:val="00C62CC0"/>
    <w:rsid w:val="00C632DC"/>
    <w:rsid w:val="00C634FA"/>
    <w:rsid w:val="00C63805"/>
    <w:rsid w:val="00C63E5C"/>
    <w:rsid w:val="00C63F9E"/>
    <w:rsid w:val="00C65186"/>
    <w:rsid w:val="00C6544B"/>
    <w:rsid w:val="00C65780"/>
    <w:rsid w:val="00C657DD"/>
    <w:rsid w:val="00C65D7E"/>
    <w:rsid w:val="00C65DB5"/>
    <w:rsid w:val="00C662E9"/>
    <w:rsid w:val="00C66356"/>
    <w:rsid w:val="00C667E5"/>
    <w:rsid w:val="00C673A0"/>
    <w:rsid w:val="00C674E9"/>
    <w:rsid w:val="00C67CEA"/>
    <w:rsid w:val="00C701B2"/>
    <w:rsid w:val="00C70489"/>
    <w:rsid w:val="00C704D5"/>
    <w:rsid w:val="00C7061A"/>
    <w:rsid w:val="00C70684"/>
    <w:rsid w:val="00C70C26"/>
    <w:rsid w:val="00C70D36"/>
    <w:rsid w:val="00C70EF5"/>
    <w:rsid w:val="00C718F0"/>
    <w:rsid w:val="00C71E9E"/>
    <w:rsid w:val="00C720A4"/>
    <w:rsid w:val="00C72364"/>
    <w:rsid w:val="00C728DE"/>
    <w:rsid w:val="00C72D22"/>
    <w:rsid w:val="00C72E4F"/>
    <w:rsid w:val="00C730D1"/>
    <w:rsid w:val="00C73197"/>
    <w:rsid w:val="00C7328D"/>
    <w:rsid w:val="00C7346A"/>
    <w:rsid w:val="00C734EC"/>
    <w:rsid w:val="00C73642"/>
    <w:rsid w:val="00C7400A"/>
    <w:rsid w:val="00C751C9"/>
    <w:rsid w:val="00C75348"/>
    <w:rsid w:val="00C75F88"/>
    <w:rsid w:val="00C76047"/>
    <w:rsid w:val="00C76212"/>
    <w:rsid w:val="00C76456"/>
    <w:rsid w:val="00C76627"/>
    <w:rsid w:val="00C76949"/>
    <w:rsid w:val="00C7694D"/>
    <w:rsid w:val="00C76AA4"/>
    <w:rsid w:val="00C76CCA"/>
    <w:rsid w:val="00C76E0D"/>
    <w:rsid w:val="00C80368"/>
    <w:rsid w:val="00C804C3"/>
    <w:rsid w:val="00C809CF"/>
    <w:rsid w:val="00C80F5A"/>
    <w:rsid w:val="00C812EA"/>
    <w:rsid w:val="00C81571"/>
    <w:rsid w:val="00C815D7"/>
    <w:rsid w:val="00C820C1"/>
    <w:rsid w:val="00C82195"/>
    <w:rsid w:val="00C8220E"/>
    <w:rsid w:val="00C831FE"/>
    <w:rsid w:val="00C832FE"/>
    <w:rsid w:val="00C839FE"/>
    <w:rsid w:val="00C83DCE"/>
    <w:rsid w:val="00C83E69"/>
    <w:rsid w:val="00C844BF"/>
    <w:rsid w:val="00C84B3C"/>
    <w:rsid w:val="00C85328"/>
    <w:rsid w:val="00C8557A"/>
    <w:rsid w:val="00C8675F"/>
    <w:rsid w:val="00C870C5"/>
    <w:rsid w:val="00C8788E"/>
    <w:rsid w:val="00C87FD3"/>
    <w:rsid w:val="00C90471"/>
    <w:rsid w:val="00C904B9"/>
    <w:rsid w:val="00C90BAF"/>
    <w:rsid w:val="00C90E11"/>
    <w:rsid w:val="00C911CA"/>
    <w:rsid w:val="00C917B3"/>
    <w:rsid w:val="00C918E1"/>
    <w:rsid w:val="00C91AAD"/>
    <w:rsid w:val="00C91BC4"/>
    <w:rsid w:val="00C91CB9"/>
    <w:rsid w:val="00C91F09"/>
    <w:rsid w:val="00C92125"/>
    <w:rsid w:val="00C92572"/>
    <w:rsid w:val="00C9267D"/>
    <w:rsid w:val="00C92959"/>
    <w:rsid w:val="00C92994"/>
    <w:rsid w:val="00C92F89"/>
    <w:rsid w:val="00C93043"/>
    <w:rsid w:val="00C934D8"/>
    <w:rsid w:val="00C936EB"/>
    <w:rsid w:val="00C93974"/>
    <w:rsid w:val="00C93BA5"/>
    <w:rsid w:val="00C93D9F"/>
    <w:rsid w:val="00C9417D"/>
    <w:rsid w:val="00C94461"/>
    <w:rsid w:val="00C94468"/>
    <w:rsid w:val="00C947C5"/>
    <w:rsid w:val="00C94A85"/>
    <w:rsid w:val="00C94C6D"/>
    <w:rsid w:val="00C95066"/>
    <w:rsid w:val="00C950BE"/>
    <w:rsid w:val="00C952FD"/>
    <w:rsid w:val="00C958C6"/>
    <w:rsid w:val="00C95A37"/>
    <w:rsid w:val="00C9670B"/>
    <w:rsid w:val="00C9697D"/>
    <w:rsid w:val="00C96BD0"/>
    <w:rsid w:val="00C97051"/>
    <w:rsid w:val="00C9712C"/>
    <w:rsid w:val="00C971B9"/>
    <w:rsid w:val="00C97344"/>
    <w:rsid w:val="00C9776D"/>
    <w:rsid w:val="00C977FB"/>
    <w:rsid w:val="00C979EC"/>
    <w:rsid w:val="00C97A57"/>
    <w:rsid w:val="00C97C16"/>
    <w:rsid w:val="00CA00A4"/>
    <w:rsid w:val="00CA069C"/>
    <w:rsid w:val="00CA0983"/>
    <w:rsid w:val="00CA0B15"/>
    <w:rsid w:val="00CA1281"/>
    <w:rsid w:val="00CA15C9"/>
    <w:rsid w:val="00CA164E"/>
    <w:rsid w:val="00CA1A63"/>
    <w:rsid w:val="00CA255C"/>
    <w:rsid w:val="00CA2A0F"/>
    <w:rsid w:val="00CA3091"/>
    <w:rsid w:val="00CA3232"/>
    <w:rsid w:val="00CA3410"/>
    <w:rsid w:val="00CA3D33"/>
    <w:rsid w:val="00CA40CD"/>
    <w:rsid w:val="00CA42B9"/>
    <w:rsid w:val="00CA479C"/>
    <w:rsid w:val="00CA4BDF"/>
    <w:rsid w:val="00CA4EA5"/>
    <w:rsid w:val="00CA5590"/>
    <w:rsid w:val="00CA580B"/>
    <w:rsid w:val="00CA58DF"/>
    <w:rsid w:val="00CA61FB"/>
    <w:rsid w:val="00CA629C"/>
    <w:rsid w:val="00CA6553"/>
    <w:rsid w:val="00CA7777"/>
    <w:rsid w:val="00CA77A8"/>
    <w:rsid w:val="00CA7CB8"/>
    <w:rsid w:val="00CA7F5B"/>
    <w:rsid w:val="00CB0B58"/>
    <w:rsid w:val="00CB1AF3"/>
    <w:rsid w:val="00CB2035"/>
    <w:rsid w:val="00CB204D"/>
    <w:rsid w:val="00CB254A"/>
    <w:rsid w:val="00CB28BF"/>
    <w:rsid w:val="00CB2B6F"/>
    <w:rsid w:val="00CB2CEB"/>
    <w:rsid w:val="00CB2DE6"/>
    <w:rsid w:val="00CB3933"/>
    <w:rsid w:val="00CB3DB1"/>
    <w:rsid w:val="00CB412A"/>
    <w:rsid w:val="00CB4A16"/>
    <w:rsid w:val="00CB4E1A"/>
    <w:rsid w:val="00CB4F36"/>
    <w:rsid w:val="00CB5C6E"/>
    <w:rsid w:val="00CB5D8B"/>
    <w:rsid w:val="00CB5EC2"/>
    <w:rsid w:val="00CB60BF"/>
    <w:rsid w:val="00CB6B05"/>
    <w:rsid w:val="00CB6E07"/>
    <w:rsid w:val="00CB7109"/>
    <w:rsid w:val="00CB739A"/>
    <w:rsid w:val="00CB75EC"/>
    <w:rsid w:val="00CB763C"/>
    <w:rsid w:val="00CB77BA"/>
    <w:rsid w:val="00CB78D9"/>
    <w:rsid w:val="00CB7FBD"/>
    <w:rsid w:val="00CC0033"/>
    <w:rsid w:val="00CC0894"/>
    <w:rsid w:val="00CC0BA6"/>
    <w:rsid w:val="00CC0CED"/>
    <w:rsid w:val="00CC0D74"/>
    <w:rsid w:val="00CC16FD"/>
    <w:rsid w:val="00CC17C5"/>
    <w:rsid w:val="00CC1C86"/>
    <w:rsid w:val="00CC1E5A"/>
    <w:rsid w:val="00CC1FC5"/>
    <w:rsid w:val="00CC2110"/>
    <w:rsid w:val="00CC2314"/>
    <w:rsid w:val="00CC291F"/>
    <w:rsid w:val="00CC2955"/>
    <w:rsid w:val="00CC2E8E"/>
    <w:rsid w:val="00CC2F40"/>
    <w:rsid w:val="00CC30D3"/>
    <w:rsid w:val="00CC36D8"/>
    <w:rsid w:val="00CC3BF7"/>
    <w:rsid w:val="00CC3C62"/>
    <w:rsid w:val="00CC413C"/>
    <w:rsid w:val="00CC4296"/>
    <w:rsid w:val="00CC521D"/>
    <w:rsid w:val="00CC525A"/>
    <w:rsid w:val="00CC5319"/>
    <w:rsid w:val="00CC61CD"/>
    <w:rsid w:val="00CC6484"/>
    <w:rsid w:val="00CC656B"/>
    <w:rsid w:val="00CC6737"/>
    <w:rsid w:val="00CC6B67"/>
    <w:rsid w:val="00CC6FBB"/>
    <w:rsid w:val="00CC71A8"/>
    <w:rsid w:val="00CC72ED"/>
    <w:rsid w:val="00CC7FF5"/>
    <w:rsid w:val="00CD01D5"/>
    <w:rsid w:val="00CD0A0D"/>
    <w:rsid w:val="00CD0B26"/>
    <w:rsid w:val="00CD0DB6"/>
    <w:rsid w:val="00CD0E20"/>
    <w:rsid w:val="00CD171C"/>
    <w:rsid w:val="00CD185F"/>
    <w:rsid w:val="00CD1ADC"/>
    <w:rsid w:val="00CD1F26"/>
    <w:rsid w:val="00CD204A"/>
    <w:rsid w:val="00CD2786"/>
    <w:rsid w:val="00CD2F9E"/>
    <w:rsid w:val="00CD3035"/>
    <w:rsid w:val="00CD3DF6"/>
    <w:rsid w:val="00CD3E04"/>
    <w:rsid w:val="00CD4761"/>
    <w:rsid w:val="00CD47A8"/>
    <w:rsid w:val="00CD4B8A"/>
    <w:rsid w:val="00CD4E85"/>
    <w:rsid w:val="00CD4FD0"/>
    <w:rsid w:val="00CD5982"/>
    <w:rsid w:val="00CD5C7B"/>
    <w:rsid w:val="00CD62A3"/>
    <w:rsid w:val="00CD634D"/>
    <w:rsid w:val="00CD6A4B"/>
    <w:rsid w:val="00CD6E10"/>
    <w:rsid w:val="00CD71F3"/>
    <w:rsid w:val="00CD771B"/>
    <w:rsid w:val="00CD777E"/>
    <w:rsid w:val="00CD7AF6"/>
    <w:rsid w:val="00CD7B16"/>
    <w:rsid w:val="00CD7BDF"/>
    <w:rsid w:val="00CD7F16"/>
    <w:rsid w:val="00CE025C"/>
    <w:rsid w:val="00CE0320"/>
    <w:rsid w:val="00CE0375"/>
    <w:rsid w:val="00CE03DD"/>
    <w:rsid w:val="00CE05DF"/>
    <w:rsid w:val="00CE1445"/>
    <w:rsid w:val="00CE1496"/>
    <w:rsid w:val="00CE14B6"/>
    <w:rsid w:val="00CE17F9"/>
    <w:rsid w:val="00CE1BA8"/>
    <w:rsid w:val="00CE1E2C"/>
    <w:rsid w:val="00CE1F34"/>
    <w:rsid w:val="00CE25F6"/>
    <w:rsid w:val="00CE28BF"/>
    <w:rsid w:val="00CE2FC9"/>
    <w:rsid w:val="00CE30D0"/>
    <w:rsid w:val="00CE3478"/>
    <w:rsid w:val="00CE3515"/>
    <w:rsid w:val="00CE3826"/>
    <w:rsid w:val="00CE3AA6"/>
    <w:rsid w:val="00CE4EF6"/>
    <w:rsid w:val="00CE5053"/>
    <w:rsid w:val="00CE5292"/>
    <w:rsid w:val="00CE55A8"/>
    <w:rsid w:val="00CE585D"/>
    <w:rsid w:val="00CE5CE9"/>
    <w:rsid w:val="00CE5D63"/>
    <w:rsid w:val="00CE5F12"/>
    <w:rsid w:val="00CE60A2"/>
    <w:rsid w:val="00CE60D3"/>
    <w:rsid w:val="00CE614F"/>
    <w:rsid w:val="00CE6865"/>
    <w:rsid w:val="00CE6D11"/>
    <w:rsid w:val="00CE6E92"/>
    <w:rsid w:val="00CE7153"/>
    <w:rsid w:val="00CE7195"/>
    <w:rsid w:val="00CE7A21"/>
    <w:rsid w:val="00CF018E"/>
    <w:rsid w:val="00CF0349"/>
    <w:rsid w:val="00CF03DF"/>
    <w:rsid w:val="00CF0826"/>
    <w:rsid w:val="00CF0E7D"/>
    <w:rsid w:val="00CF1587"/>
    <w:rsid w:val="00CF1B29"/>
    <w:rsid w:val="00CF1BC4"/>
    <w:rsid w:val="00CF21C7"/>
    <w:rsid w:val="00CF254E"/>
    <w:rsid w:val="00CF2775"/>
    <w:rsid w:val="00CF3254"/>
    <w:rsid w:val="00CF32F5"/>
    <w:rsid w:val="00CF43D2"/>
    <w:rsid w:val="00CF48A9"/>
    <w:rsid w:val="00CF48BE"/>
    <w:rsid w:val="00CF491E"/>
    <w:rsid w:val="00CF4997"/>
    <w:rsid w:val="00CF55A4"/>
    <w:rsid w:val="00CF5A9B"/>
    <w:rsid w:val="00CF5B2B"/>
    <w:rsid w:val="00CF5D7F"/>
    <w:rsid w:val="00CF5DE0"/>
    <w:rsid w:val="00CF5F28"/>
    <w:rsid w:val="00CF63C5"/>
    <w:rsid w:val="00CF670A"/>
    <w:rsid w:val="00CF6728"/>
    <w:rsid w:val="00CF67BC"/>
    <w:rsid w:val="00CF6A75"/>
    <w:rsid w:val="00CF6FBC"/>
    <w:rsid w:val="00CF7464"/>
    <w:rsid w:val="00CF77B6"/>
    <w:rsid w:val="00CF7CDA"/>
    <w:rsid w:val="00CF7CF0"/>
    <w:rsid w:val="00D00064"/>
    <w:rsid w:val="00D003BF"/>
    <w:rsid w:val="00D00D87"/>
    <w:rsid w:val="00D00EA4"/>
    <w:rsid w:val="00D011A3"/>
    <w:rsid w:val="00D01AE1"/>
    <w:rsid w:val="00D01BEF"/>
    <w:rsid w:val="00D01DD1"/>
    <w:rsid w:val="00D025F4"/>
    <w:rsid w:val="00D030CB"/>
    <w:rsid w:val="00D03D1D"/>
    <w:rsid w:val="00D041E5"/>
    <w:rsid w:val="00D04462"/>
    <w:rsid w:val="00D04867"/>
    <w:rsid w:val="00D04A28"/>
    <w:rsid w:val="00D050A0"/>
    <w:rsid w:val="00D05113"/>
    <w:rsid w:val="00D0514A"/>
    <w:rsid w:val="00D055E5"/>
    <w:rsid w:val="00D0584C"/>
    <w:rsid w:val="00D05E96"/>
    <w:rsid w:val="00D0670A"/>
    <w:rsid w:val="00D068BA"/>
    <w:rsid w:val="00D07AD0"/>
    <w:rsid w:val="00D103F2"/>
    <w:rsid w:val="00D10C3C"/>
    <w:rsid w:val="00D10D52"/>
    <w:rsid w:val="00D112B5"/>
    <w:rsid w:val="00D112D3"/>
    <w:rsid w:val="00D11464"/>
    <w:rsid w:val="00D119F9"/>
    <w:rsid w:val="00D11BEE"/>
    <w:rsid w:val="00D11C3B"/>
    <w:rsid w:val="00D12259"/>
    <w:rsid w:val="00D127DD"/>
    <w:rsid w:val="00D12F44"/>
    <w:rsid w:val="00D13075"/>
    <w:rsid w:val="00D135A2"/>
    <w:rsid w:val="00D138B4"/>
    <w:rsid w:val="00D14612"/>
    <w:rsid w:val="00D14961"/>
    <w:rsid w:val="00D149CE"/>
    <w:rsid w:val="00D14CB4"/>
    <w:rsid w:val="00D14F3F"/>
    <w:rsid w:val="00D15963"/>
    <w:rsid w:val="00D15F8B"/>
    <w:rsid w:val="00D16096"/>
    <w:rsid w:val="00D16519"/>
    <w:rsid w:val="00D16F57"/>
    <w:rsid w:val="00D17096"/>
    <w:rsid w:val="00D170A9"/>
    <w:rsid w:val="00D17151"/>
    <w:rsid w:val="00D17CFD"/>
    <w:rsid w:val="00D17F08"/>
    <w:rsid w:val="00D17F1E"/>
    <w:rsid w:val="00D17FFA"/>
    <w:rsid w:val="00D20B24"/>
    <w:rsid w:val="00D213E6"/>
    <w:rsid w:val="00D215A4"/>
    <w:rsid w:val="00D2164F"/>
    <w:rsid w:val="00D21679"/>
    <w:rsid w:val="00D21759"/>
    <w:rsid w:val="00D218B6"/>
    <w:rsid w:val="00D21A7D"/>
    <w:rsid w:val="00D21BAD"/>
    <w:rsid w:val="00D21BD9"/>
    <w:rsid w:val="00D21CF2"/>
    <w:rsid w:val="00D21F88"/>
    <w:rsid w:val="00D2250E"/>
    <w:rsid w:val="00D226A7"/>
    <w:rsid w:val="00D22AEB"/>
    <w:rsid w:val="00D22CF7"/>
    <w:rsid w:val="00D232A4"/>
    <w:rsid w:val="00D23444"/>
    <w:rsid w:val="00D2438B"/>
    <w:rsid w:val="00D247C2"/>
    <w:rsid w:val="00D24D50"/>
    <w:rsid w:val="00D24E9D"/>
    <w:rsid w:val="00D250E4"/>
    <w:rsid w:val="00D25244"/>
    <w:rsid w:val="00D2533E"/>
    <w:rsid w:val="00D254AE"/>
    <w:rsid w:val="00D26094"/>
    <w:rsid w:val="00D268BF"/>
    <w:rsid w:val="00D26BAB"/>
    <w:rsid w:val="00D27B0C"/>
    <w:rsid w:val="00D30015"/>
    <w:rsid w:val="00D30156"/>
    <w:rsid w:val="00D30444"/>
    <w:rsid w:val="00D305E1"/>
    <w:rsid w:val="00D30841"/>
    <w:rsid w:val="00D30A14"/>
    <w:rsid w:val="00D30C40"/>
    <w:rsid w:val="00D30E4F"/>
    <w:rsid w:val="00D31730"/>
    <w:rsid w:val="00D31DBC"/>
    <w:rsid w:val="00D31F0D"/>
    <w:rsid w:val="00D31FA4"/>
    <w:rsid w:val="00D3235D"/>
    <w:rsid w:val="00D336FE"/>
    <w:rsid w:val="00D33A82"/>
    <w:rsid w:val="00D3443B"/>
    <w:rsid w:val="00D3473B"/>
    <w:rsid w:val="00D35163"/>
    <w:rsid w:val="00D3557B"/>
    <w:rsid w:val="00D3564A"/>
    <w:rsid w:val="00D359E3"/>
    <w:rsid w:val="00D35A71"/>
    <w:rsid w:val="00D36132"/>
    <w:rsid w:val="00D36517"/>
    <w:rsid w:val="00D36574"/>
    <w:rsid w:val="00D369DB"/>
    <w:rsid w:val="00D36FAC"/>
    <w:rsid w:val="00D37042"/>
    <w:rsid w:val="00D37223"/>
    <w:rsid w:val="00D375A6"/>
    <w:rsid w:val="00D37806"/>
    <w:rsid w:val="00D407BE"/>
    <w:rsid w:val="00D411CA"/>
    <w:rsid w:val="00D412C1"/>
    <w:rsid w:val="00D4139D"/>
    <w:rsid w:val="00D41451"/>
    <w:rsid w:val="00D4184D"/>
    <w:rsid w:val="00D41ABE"/>
    <w:rsid w:val="00D420F5"/>
    <w:rsid w:val="00D4257F"/>
    <w:rsid w:val="00D42817"/>
    <w:rsid w:val="00D43128"/>
    <w:rsid w:val="00D4356E"/>
    <w:rsid w:val="00D435DD"/>
    <w:rsid w:val="00D43689"/>
    <w:rsid w:val="00D439BD"/>
    <w:rsid w:val="00D43C35"/>
    <w:rsid w:val="00D4406F"/>
    <w:rsid w:val="00D4408C"/>
    <w:rsid w:val="00D4412A"/>
    <w:rsid w:val="00D4446E"/>
    <w:rsid w:val="00D44533"/>
    <w:rsid w:val="00D445DA"/>
    <w:rsid w:val="00D4482F"/>
    <w:rsid w:val="00D44B16"/>
    <w:rsid w:val="00D44DB5"/>
    <w:rsid w:val="00D44EA1"/>
    <w:rsid w:val="00D4580E"/>
    <w:rsid w:val="00D461AB"/>
    <w:rsid w:val="00D46A47"/>
    <w:rsid w:val="00D46DB1"/>
    <w:rsid w:val="00D46DE7"/>
    <w:rsid w:val="00D46F39"/>
    <w:rsid w:val="00D47011"/>
    <w:rsid w:val="00D47377"/>
    <w:rsid w:val="00D47A98"/>
    <w:rsid w:val="00D47D5A"/>
    <w:rsid w:val="00D47D64"/>
    <w:rsid w:val="00D47E76"/>
    <w:rsid w:val="00D50A06"/>
    <w:rsid w:val="00D50CAD"/>
    <w:rsid w:val="00D50E1E"/>
    <w:rsid w:val="00D50EA6"/>
    <w:rsid w:val="00D51017"/>
    <w:rsid w:val="00D51108"/>
    <w:rsid w:val="00D51148"/>
    <w:rsid w:val="00D51604"/>
    <w:rsid w:val="00D5172D"/>
    <w:rsid w:val="00D51799"/>
    <w:rsid w:val="00D517B1"/>
    <w:rsid w:val="00D51815"/>
    <w:rsid w:val="00D51886"/>
    <w:rsid w:val="00D51E4D"/>
    <w:rsid w:val="00D51EAB"/>
    <w:rsid w:val="00D51FF8"/>
    <w:rsid w:val="00D5253E"/>
    <w:rsid w:val="00D533CA"/>
    <w:rsid w:val="00D5343A"/>
    <w:rsid w:val="00D53750"/>
    <w:rsid w:val="00D54161"/>
    <w:rsid w:val="00D5479D"/>
    <w:rsid w:val="00D54B55"/>
    <w:rsid w:val="00D54CA6"/>
    <w:rsid w:val="00D54DC2"/>
    <w:rsid w:val="00D55333"/>
    <w:rsid w:val="00D55A87"/>
    <w:rsid w:val="00D55BD7"/>
    <w:rsid w:val="00D55CC6"/>
    <w:rsid w:val="00D562EC"/>
    <w:rsid w:val="00D567D2"/>
    <w:rsid w:val="00D5695D"/>
    <w:rsid w:val="00D56A35"/>
    <w:rsid w:val="00D56DA2"/>
    <w:rsid w:val="00D56E10"/>
    <w:rsid w:val="00D61917"/>
    <w:rsid w:val="00D61F38"/>
    <w:rsid w:val="00D6216F"/>
    <w:rsid w:val="00D621B8"/>
    <w:rsid w:val="00D62261"/>
    <w:rsid w:val="00D6256A"/>
    <w:rsid w:val="00D62AB4"/>
    <w:rsid w:val="00D63A12"/>
    <w:rsid w:val="00D63D6E"/>
    <w:rsid w:val="00D6411E"/>
    <w:rsid w:val="00D642EB"/>
    <w:rsid w:val="00D6447B"/>
    <w:rsid w:val="00D6554D"/>
    <w:rsid w:val="00D65856"/>
    <w:rsid w:val="00D65CA3"/>
    <w:rsid w:val="00D6617D"/>
    <w:rsid w:val="00D6632F"/>
    <w:rsid w:val="00D67846"/>
    <w:rsid w:val="00D67875"/>
    <w:rsid w:val="00D67D7B"/>
    <w:rsid w:val="00D67E77"/>
    <w:rsid w:val="00D67F34"/>
    <w:rsid w:val="00D706C5"/>
    <w:rsid w:val="00D70886"/>
    <w:rsid w:val="00D70AD0"/>
    <w:rsid w:val="00D70AE7"/>
    <w:rsid w:val="00D70B76"/>
    <w:rsid w:val="00D70FFB"/>
    <w:rsid w:val="00D71411"/>
    <w:rsid w:val="00D71567"/>
    <w:rsid w:val="00D7185E"/>
    <w:rsid w:val="00D71AF0"/>
    <w:rsid w:val="00D71CA0"/>
    <w:rsid w:val="00D722C5"/>
    <w:rsid w:val="00D72399"/>
    <w:rsid w:val="00D726E9"/>
    <w:rsid w:val="00D73368"/>
    <w:rsid w:val="00D7359D"/>
    <w:rsid w:val="00D737A4"/>
    <w:rsid w:val="00D73FCB"/>
    <w:rsid w:val="00D748D0"/>
    <w:rsid w:val="00D74B2E"/>
    <w:rsid w:val="00D74FAB"/>
    <w:rsid w:val="00D750C7"/>
    <w:rsid w:val="00D75636"/>
    <w:rsid w:val="00D75868"/>
    <w:rsid w:val="00D758B4"/>
    <w:rsid w:val="00D75AEF"/>
    <w:rsid w:val="00D75D43"/>
    <w:rsid w:val="00D75FE1"/>
    <w:rsid w:val="00D76058"/>
    <w:rsid w:val="00D76064"/>
    <w:rsid w:val="00D760C4"/>
    <w:rsid w:val="00D761F4"/>
    <w:rsid w:val="00D76C18"/>
    <w:rsid w:val="00D76D4D"/>
    <w:rsid w:val="00D76DFB"/>
    <w:rsid w:val="00D76EB9"/>
    <w:rsid w:val="00D76EC1"/>
    <w:rsid w:val="00D80A99"/>
    <w:rsid w:val="00D80AAF"/>
    <w:rsid w:val="00D80C22"/>
    <w:rsid w:val="00D80D6C"/>
    <w:rsid w:val="00D810BB"/>
    <w:rsid w:val="00D81711"/>
    <w:rsid w:val="00D81BDE"/>
    <w:rsid w:val="00D81E40"/>
    <w:rsid w:val="00D81F63"/>
    <w:rsid w:val="00D82904"/>
    <w:rsid w:val="00D831C1"/>
    <w:rsid w:val="00D8335C"/>
    <w:rsid w:val="00D83379"/>
    <w:rsid w:val="00D83796"/>
    <w:rsid w:val="00D839BE"/>
    <w:rsid w:val="00D84190"/>
    <w:rsid w:val="00D8424F"/>
    <w:rsid w:val="00D8458F"/>
    <w:rsid w:val="00D845DB"/>
    <w:rsid w:val="00D84954"/>
    <w:rsid w:val="00D84B9F"/>
    <w:rsid w:val="00D84DB3"/>
    <w:rsid w:val="00D84F46"/>
    <w:rsid w:val="00D85066"/>
    <w:rsid w:val="00D8538F"/>
    <w:rsid w:val="00D85910"/>
    <w:rsid w:val="00D85CA7"/>
    <w:rsid w:val="00D85EAF"/>
    <w:rsid w:val="00D86136"/>
    <w:rsid w:val="00D86160"/>
    <w:rsid w:val="00D863C8"/>
    <w:rsid w:val="00D86A4B"/>
    <w:rsid w:val="00D86F49"/>
    <w:rsid w:val="00D87040"/>
    <w:rsid w:val="00D87049"/>
    <w:rsid w:val="00D87394"/>
    <w:rsid w:val="00D87500"/>
    <w:rsid w:val="00D8768C"/>
    <w:rsid w:val="00D87781"/>
    <w:rsid w:val="00D87BE0"/>
    <w:rsid w:val="00D90383"/>
    <w:rsid w:val="00D9040E"/>
    <w:rsid w:val="00D90CC4"/>
    <w:rsid w:val="00D90D18"/>
    <w:rsid w:val="00D9122B"/>
    <w:rsid w:val="00D913C5"/>
    <w:rsid w:val="00D92345"/>
    <w:rsid w:val="00D923A8"/>
    <w:rsid w:val="00D92634"/>
    <w:rsid w:val="00D928D0"/>
    <w:rsid w:val="00D929AE"/>
    <w:rsid w:val="00D92AA3"/>
    <w:rsid w:val="00D92E97"/>
    <w:rsid w:val="00D92EF3"/>
    <w:rsid w:val="00D92F58"/>
    <w:rsid w:val="00D92F85"/>
    <w:rsid w:val="00D93075"/>
    <w:rsid w:val="00D934A7"/>
    <w:rsid w:val="00D93FC1"/>
    <w:rsid w:val="00D940F1"/>
    <w:rsid w:val="00D940F5"/>
    <w:rsid w:val="00D94308"/>
    <w:rsid w:val="00D946C4"/>
    <w:rsid w:val="00D946E3"/>
    <w:rsid w:val="00D94866"/>
    <w:rsid w:val="00D94B54"/>
    <w:rsid w:val="00D94E95"/>
    <w:rsid w:val="00D94EEF"/>
    <w:rsid w:val="00D94F7A"/>
    <w:rsid w:val="00D951DB"/>
    <w:rsid w:val="00D95410"/>
    <w:rsid w:val="00D957F9"/>
    <w:rsid w:val="00D95A48"/>
    <w:rsid w:val="00D95B2B"/>
    <w:rsid w:val="00D95D0C"/>
    <w:rsid w:val="00D95DC4"/>
    <w:rsid w:val="00D95E93"/>
    <w:rsid w:val="00D9625C"/>
    <w:rsid w:val="00D969B6"/>
    <w:rsid w:val="00D975B0"/>
    <w:rsid w:val="00D975CC"/>
    <w:rsid w:val="00D97844"/>
    <w:rsid w:val="00D9798F"/>
    <w:rsid w:val="00D97A44"/>
    <w:rsid w:val="00D97F47"/>
    <w:rsid w:val="00DA00C1"/>
    <w:rsid w:val="00DA0AE6"/>
    <w:rsid w:val="00DA0B8A"/>
    <w:rsid w:val="00DA0F30"/>
    <w:rsid w:val="00DA10F8"/>
    <w:rsid w:val="00DA1677"/>
    <w:rsid w:val="00DA2800"/>
    <w:rsid w:val="00DA2EE5"/>
    <w:rsid w:val="00DA2F88"/>
    <w:rsid w:val="00DA325F"/>
    <w:rsid w:val="00DA33E9"/>
    <w:rsid w:val="00DA357E"/>
    <w:rsid w:val="00DA4449"/>
    <w:rsid w:val="00DA4B16"/>
    <w:rsid w:val="00DA4C63"/>
    <w:rsid w:val="00DA4FDE"/>
    <w:rsid w:val="00DA55AE"/>
    <w:rsid w:val="00DA5AF9"/>
    <w:rsid w:val="00DA657B"/>
    <w:rsid w:val="00DA678D"/>
    <w:rsid w:val="00DA67AF"/>
    <w:rsid w:val="00DA684B"/>
    <w:rsid w:val="00DA698B"/>
    <w:rsid w:val="00DA6A2C"/>
    <w:rsid w:val="00DA6B64"/>
    <w:rsid w:val="00DA6D6B"/>
    <w:rsid w:val="00DA7902"/>
    <w:rsid w:val="00DB0174"/>
    <w:rsid w:val="00DB02D5"/>
    <w:rsid w:val="00DB041E"/>
    <w:rsid w:val="00DB0D1D"/>
    <w:rsid w:val="00DB0EA0"/>
    <w:rsid w:val="00DB10F4"/>
    <w:rsid w:val="00DB17AE"/>
    <w:rsid w:val="00DB1ABD"/>
    <w:rsid w:val="00DB1F2A"/>
    <w:rsid w:val="00DB2343"/>
    <w:rsid w:val="00DB2754"/>
    <w:rsid w:val="00DB2860"/>
    <w:rsid w:val="00DB2DF9"/>
    <w:rsid w:val="00DB3226"/>
    <w:rsid w:val="00DB34A8"/>
    <w:rsid w:val="00DB3557"/>
    <w:rsid w:val="00DB391C"/>
    <w:rsid w:val="00DB3FA4"/>
    <w:rsid w:val="00DB40F3"/>
    <w:rsid w:val="00DB41EF"/>
    <w:rsid w:val="00DB4B23"/>
    <w:rsid w:val="00DB517E"/>
    <w:rsid w:val="00DB537F"/>
    <w:rsid w:val="00DB5460"/>
    <w:rsid w:val="00DB5CF1"/>
    <w:rsid w:val="00DB5F94"/>
    <w:rsid w:val="00DB6264"/>
    <w:rsid w:val="00DB62DE"/>
    <w:rsid w:val="00DB6811"/>
    <w:rsid w:val="00DB68CD"/>
    <w:rsid w:val="00DB68F5"/>
    <w:rsid w:val="00DB6EB6"/>
    <w:rsid w:val="00DB769F"/>
    <w:rsid w:val="00DB780F"/>
    <w:rsid w:val="00DB7995"/>
    <w:rsid w:val="00DB7F9D"/>
    <w:rsid w:val="00DC05C1"/>
    <w:rsid w:val="00DC0A56"/>
    <w:rsid w:val="00DC0AA6"/>
    <w:rsid w:val="00DC0C2E"/>
    <w:rsid w:val="00DC105D"/>
    <w:rsid w:val="00DC184C"/>
    <w:rsid w:val="00DC1E05"/>
    <w:rsid w:val="00DC1E24"/>
    <w:rsid w:val="00DC2320"/>
    <w:rsid w:val="00DC291F"/>
    <w:rsid w:val="00DC2AD2"/>
    <w:rsid w:val="00DC31C1"/>
    <w:rsid w:val="00DC31C4"/>
    <w:rsid w:val="00DC38BB"/>
    <w:rsid w:val="00DC456E"/>
    <w:rsid w:val="00DC4811"/>
    <w:rsid w:val="00DC5071"/>
    <w:rsid w:val="00DC516C"/>
    <w:rsid w:val="00DC5287"/>
    <w:rsid w:val="00DC54A5"/>
    <w:rsid w:val="00DC57F9"/>
    <w:rsid w:val="00DC5A6E"/>
    <w:rsid w:val="00DC5C14"/>
    <w:rsid w:val="00DC5FDD"/>
    <w:rsid w:val="00DC61AA"/>
    <w:rsid w:val="00DC634C"/>
    <w:rsid w:val="00DC6EAE"/>
    <w:rsid w:val="00DC7167"/>
    <w:rsid w:val="00DC72F4"/>
    <w:rsid w:val="00DC7477"/>
    <w:rsid w:val="00DC7552"/>
    <w:rsid w:val="00DD00C4"/>
    <w:rsid w:val="00DD0536"/>
    <w:rsid w:val="00DD0904"/>
    <w:rsid w:val="00DD09B2"/>
    <w:rsid w:val="00DD0AD0"/>
    <w:rsid w:val="00DD11A4"/>
    <w:rsid w:val="00DD1300"/>
    <w:rsid w:val="00DD13A7"/>
    <w:rsid w:val="00DD15D0"/>
    <w:rsid w:val="00DD176D"/>
    <w:rsid w:val="00DD198B"/>
    <w:rsid w:val="00DD1CA5"/>
    <w:rsid w:val="00DD1D95"/>
    <w:rsid w:val="00DD1E1E"/>
    <w:rsid w:val="00DD21CE"/>
    <w:rsid w:val="00DD3376"/>
    <w:rsid w:val="00DD3448"/>
    <w:rsid w:val="00DD35E3"/>
    <w:rsid w:val="00DD3D7F"/>
    <w:rsid w:val="00DD3E9A"/>
    <w:rsid w:val="00DD41BD"/>
    <w:rsid w:val="00DD4454"/>
    <w:rsid w:val="00DD4CD9"/>
    <w:rsid w:val="00DD5167"/>
    <w:rsid w:val="00DD5BCB"/>
    <w:rsid w:val="00DD5CB8"/>
    <w:rsid w:val="00DD5D19"/>
    <w:rsid w:val="00DD60FF"/>
    <w:rsid w:val="00DD6195"/>
    <w:rsid w:val="00DD6515"/>
    <w:rsid w:val="00DD65D0"/>
    <w:rsid w:val="00DD6925"/>
    <w:rsid w:val="00DD6ECC"/>
    <w:rsid w:val="00DD7083"/>
    <w:rsid w:val="00DD70F2"/>
    <w:rsid w:val="00DD71C2"/>
    <w:rsid w:val="00DD723D"/>
    <w:rsid w:val="00DD7413"/>
    <w:rsid w:val="00DD757E"/>
    <w:rsid w:val="00DD770D"/>
    <w:rsid w:val="00DD77D8"/>
    <w:rsid w:val="00DD79E4"/>
    <w:rsid w:val="00DD7C34"/>
    <w:rsid w:val="00DD7DE7"/>
    <w:rsid w:val="00DE0480"/>
    <w:rsid w:val="00DE04A4"/>
    <w:rsid w:val="00DE1715"/>
    <w:rsid w:val="00DE1854"/>
    <w:rsid w:val="00DE1D32"/>
    <w:rsid w:val="00DE1E13"/>
    <w:rsid w:val="00DE1F90"/>
    <w:rsid w:val="00DE2665"/>
    <w:rsid w:val="00DE26CC"/>
    <w:rsid w:val="00DE26EC"/>
    <w:rsid w:val="00DE29BB"/>
    <w:rsid w:val="00DE29EF"/>
    <w:rsid w:val="00DE2C3F"/>
    <w:rsid w:val="00DE2CBA"/>
    <w:rsid w:val="00DE2EEC"/>
    <w:rsid w:val="00DE30F4"/>
    <w:rsid w:val="00DE3130"/>
    <w:rsid w:val="00DE3275"/>
    <w:rsid w:val="00DE33E5"/>
    <w:rsid w:val="00DE3409"/>
    <w:rsid w:val="00DE36A3"/>
    <w:rsid w:val="00DE467A"/>
    <w:rsid w:val="00DE4945"/>
    <w:rsid w:val="00DE4A91"/>
    <w:rsid w:val="00DE4D91"/>
    <w:rsid w:val="00DE515E"/>
    <w:rsid w:val="00DE516C"/>
    <w:rsid w:val="00DE55BF"/>
    <w:rsid w:val="00DE5655"/>
    <w:rsid w:val="00DE56D6"/>
    <w:rsid w:val="00DE5A88"/>
    <w:rsid w:val="00DE5CDC"/>
    <w:rsid w:val="00DE61B2"/>
    <w:rsid w:val="00DE61F4"/>
    <w:rsid w:val="00DE6332"/>
    <w:rsid w:val="00DE65FF"/>
    <w:rsid w:val="00DE6913"/>
    <w:rsid w:val="00DE6FED"/>
    <w:rsid w:val="00DE7098"/>
    <w:rsid w:val="00DE7339"/>
    <w:rsid w:val="00DE73F1"/>
    <w:rsid w:val="00DE75EE"/>
    <w:rsid w:val="00DE76C5"/>
    <w:rsid w:val="00DE778A"/>
    <w:rsid w:val="00DE7819"/>
    <w:rsid w:val="00DE7F04"/>
    <w:rsid w:val="00DF0185"/>
    <w:rsid w:val="00DF01F1"/>
    <w:rsid w:val="00DF0562"/>
    <w:rsid w:val="00DF07BF"/>
    <w:rsid w:val="00DF0CD9"/>
    <w:rsid w:val="00DF1469"/>
    <w:rsid w:val="00DF17B9"/>
    <w:rsid w:val="00DF18B9"/>
    <w:rsid w:val="00DF1B48"/>
    <w:rsid w:val="00DF1F96"/>
    <w:rsid w:val="00DF2021"/>
    <w:rsid w:val="00DF2279"/>
    <w:rsid w:val="00DF2342"/>
    <w:rsid w:val="00DF261E"/>
    <w:rsid w:val="00DF2A38"/>
    <w:rsid w:val="00DF2EE2"/>
    <w:rsid w:val="00DF3556"/>
    <w:rsid w:val="00DF35FB"/>
    <w:rsid w:val="00DF37AE"/>
    <w:rsid w:val="00DF3A50"/>
    <w:rsid w:val="00DF3B2B"/>
    <w:rsid w:val="00DF3DBF"/>
    <w:rsid w:val="00DF3FB7"/>
    <w:rsid w:val="00DF485A"/>
    <w:rsid w:val="00DF4886"/>
    <w:rsid w:val="00DF4BBC"/>
    <w:rsid w:val="00DF4E86"/>
    <w:rsid w:val="00DF53B6"/>
    <w:rsid w:val="00DF5783"/>
    <w:rsid w:val="00DF58AA"/>
    <w:rsid w:val="00DF5AF2"/>
    <w:rsid w:val="00DF5C0C"/>
    <w:rsid w:val="00DF6353"/>
    <w:rsid w:val="00DF640C"/>
    <w:rsid w:val="00DF652F"/>
    <w:rsid w:val="00DF65E3"/>
    <w:rsid w:val="00DF67AD"/>
    <w:rsid w:val="00DF685E"/>
    <w:rsid w:val="00DF6A06"/>
    <w:rsid w:val="00DF6F7F"/>
    <w:rsid w:val="00DF6F83"/>
    <w:rsid w:val="00DF6FE6"/>
    <w:rsid w:val="00DF70F2"/>
    <w:rsid w:val="00DF7489"/>
    <w:rsid w:val="00DF74AB"/>
    <w:rsid w:val="00DF7582"/>
    <w:rsid w:val="00DF7ABC"/>
    <w:rsid w:val="00DF7B23"/>
    <w:rsid w:val="00DF7C0D"/>
    <w:rsid w:val="00E00339"/>
    <w:rsid w:val="00E007A3"/>
    <w:rsid w:val="00E0083F"/>
    <w:rsid w:val="00E00913"/>
    <w:rsid w:val="00E00A6C"/>
    <w:rsid w:val="00E013E2"/>
    <w:rsid w:val="00E01A30"/>
    <w:rsid w:val="00E021C5"/>
    <w:rsid w:val="00E02204"/>
    <w:rsid w:val="00E02440"/>
    <w:rsid w:val="00E02949"/>
    <w:rsid w:val="00E02A29"/>
    <w:rsid w:val="00E02CBE"/>
    <w:rsid w:val="00E030B7"/>
    <w:rsid w:val="00E031EA"/>
    <w:rsid w:val="00E03249"/>
    <w:rsid w:val="00E03321"/>
    <w:rsid w:val="00E035C9"/>
    <w:rsid w:val="00E035F8"/>
    <w:rsid w:val="00E0372B"/>
    <w:rsid w:val="00E03883"/>
    <w:rsid w:val="00E039E4"/>
    <w:rsid w:val="00E03EA5"/>
    <w:rsid w:val="00E04623"/>
    <w:rsid w:val="00E04696"/>
    <w:rsid w:val="00E048DF"/>
    <w:rsid w:val="00E049AA"/>
    <w:rsid w:val="00E04B71"/>
    <w:rsid w:val="00E063D7"/>
    <w:rsid w:val="00E06819"/>
    <w:rsid w:val="00E073D7"/>
    <w:rsid w:val="00E0743E"/>
    <w:rsid w:val="00E0748F"/>
    <w:rsid w:val="00E07A7A"/>
    <w:rsid w:val="00E07D20"/>
    <w:rsid w:val="00E07F4D"/>
    <w:rsid w:val="00E10570"/>
    <w:rsid w:val="00E10997"/>
    <w:rsid w:val="00E10FEB"/>
    <w:rsid w:val="00E11281"/>
    <w:rsid w:val="00E112CD"/>
    <w:rsid w:val="00E112D5"/>
    <w:rsid w:val="00E11429"/>
    <w:rsid w:val="00E114EF"/>
    <w:rsid w:val="00E1165D"/>
    <w:rsid w:val="00E11AEF"/>
    <w:rsid w:val="00E12170"/>
    <w:rsid w:val="00E121BD"/>
    <w:rsid w:val="00E12849"/>
    <w:rsid w:val="00E12998"/>
    <w:rsid w:val="00E133A3"/>
    <w:rsid w:val="00E1365C"/>
    <w:rsid w:val="00E1370D"/>
    <w:rsid w:val="00E139F0"/>
    <w:rsid w:val="00E13A0D"/>
    <w:rsid w:val="00E13B8F"/>
    <w:rsid w:val="00E141E2"/>
    <w:rsid w:val="00E14253"/>
    <w:rsid w:val="00E14A21"/>
    <w:rsid w:val="00E14B38"/>
    <w:rsid w:val="00E14DCB"/>
    <w:rsid w:val="00E14F76"/>
    <w:rsid w:val="00E153E6"/>
    <w:rsid w:val="00E154E9"/>
    <w:rsid w:val="00E155F4"/>
    <w:rsid w:val="00E15608"/>
    <w:rsid w:val="00E156C4"/>
    <w:rsid w:val="00E1570A"/>
    <w:rsid w:val="00E15894"/>
    <w:rsid w:val="00E15DA8"/>
    <w:rsid w:val="00E1635E"/>
    <w:rsid w:val="00E16411"/>
    <w:rsid w:val="00E1657A"/>
    <w:rsid w:val="00E165E8"/>
    <w:rsid w:val="00E16B53"/>
    <w:rsid w:val="00E16C38"/>
    <w:rsid w:val="00E16CA8"/>
    <w:rsid w:val="00E17296"/>
    <w:rsid w:val="00E1746C"/>
    <w:rsid w:val="00E174FE"/>
    <w:rsid w:val="00E1761F"/>
    <w:rsid w:val="00E17635"/>
    <w:rsid w:val="00E17A25"/>
    <w:rsid w:val="00E17B78"/>
    <w:rsid w:val="00E17BFD"/>
    <w:rsid w:val="00E2020D"/>
    <w:rsid w:val="00E20432"/>
    <w:rsid w:val="00E20609"/>
    <w:rsid w:val="00E206D6"/>
    <w:rsid w:val="00E20C30"/>
    <w:rsid w:val="00E2149D"/>
    <w:rsid w:val="00E22186"/>
    <w:rsid w:val="00E22230"/>
    <w:rsid w:val="00E222A4"/>
    <w:rsid w:val="00E229C2"/>
    <w:rsid w:val="00E22B7A"/>
    <w:rsid w:val="00E22DC7"/>
    <w:rsid w:val="00E233DB"/>
    <w:rsid w:val="00E239D4"/>
    <w:rsid w:val="00E23A7C"/>
    <w:rsid w:val="00E23F4C"/>
    <w:rsid w:val="00E242B8"/>
    <w:rsid w:val="00E24A33"/>
    <w:rsid w:val="00E24A5B"/>
    <w:rsid w:val="00E24F0A"/>
    <w:rsid w:val="00E251FE"/>
    <w:rsid w:val="00E2547C"/>
    <w:rsid w:val="00E254BB"/>
    <w:rsid w:val="00E25877"/>
    <w:rsid w:val="00E26139"/>
    <w:rsid w:val="00E26262"/>
    <w:rsid w:val="00E264C0"/>
    <w:rsid w:val="00E26978"/>
    <w:rsid w:val="00E269E5"/>
    <w:rsid w:val="00E26B72"/>
    <w:rsid w:val="00E2705A"/>
    <w:rsid w:val="00E272E4"/>
    <w:rsid w:val="00E274B1"/>
    <w:rsid w:val="00E2764A"/>
    <w:rsid w:val="00E27D0A"/>
    <w:rsid w:val="00E30231"/>
    <w:rsid w:val="00E3023B"/>
    <w:rsid w:val="00E30A3D"/>
    <w:rsid w:val="00E30A98"/>
    <w:rsid w:val="00E30B99"/>
    <w:rsid w:val="00E3160B"/>
    <w:rsid w:val="00E3179F"/>
    <w:rsid w:val="00E3194A"/>
    <w:rsid w:val="00E32F6D"/>
    <w:rsid w:val="00E33444"/>
    <w:rsid w:val="00E33FE8"/>
    <w:rsid w:val="00E34BE4"/>
    <w:rsid w:val="00E352A3"/>
    <w:rsid w:val="00E357FD"/>
    <w:rsid w:val="00E35AC2"/>
    <w:rsid w:val="00E3624B"/>
    <w:rsid w:val="00E362BE"/>
    <w:rsid w:val="00E362E4"/>
    <w:rsid w:val="00E369CE"/>
    <w:rsid w:val="00E36AFA"/>
    <w:rsid w:val="00E36C48"/>
    <w:rsid w:val="00E37173"/>
    <w:rsid w:val="00E372C8"/>
    <w:rsid w:val="00E37666"/>
    <w:rsid w:val="00E379AD"/>
    <w:rsid w:val="00E379EE"/>
    <w:rsid w:val="00E37EB5"/>
    <w:rsid w:val="00E37F35"/>
    <w:rsid w:val="00E4031B"/>
    <w:rsid w:val="00E407C7"/>
    <w:rsid w:val="00E409C1"/>
    <w:rsid w:val="00E40A66"/>
    <w:rsid w:val="00E40E04"/>
    <w:rsid w:val="00E40F20"/>
    <w:rsid w:val="00E40FDD"/>
    <w:rsid w:val="00E41139"/>
    <w:rsid w:val="00E411DE"/>
    <w:rsid w:val="00E416F4"/>
    <w:rsid w:val="00E4201E"/>
    <w:rsid w:val="00E4259F"/>
    <w:rsid w:val="00E4261F"/>
    <w:rsid w:val="00E42621"/>
    <w:rsid w:val="00E42805"/>
    <w:rsid w:val="00E42920"/>
    <w:rsid w:val="00E429B2"/>
    <w:rsid w:val="00E429ED"/>
    <w:rsid w:val="00E42ADD"/>
    <w:rsid w:val="00E43333"/>
    <w:rsid w:val="00E4346D"/>
    <w:rsid w:val="00E43578"/>
    <w:rsid w:val="00E43967"/>
    <w:rsid w:val="00E43A7B"/>
    <w:rsid w:val="00E43C71"/>
    <w:rsid w:val="00E441F9"/>
    <w:rsid w:val="00E44A8B"/>
    <w:rsid w:val="00E44AF0"/>
    <w:rsid w:val="00E452CE"/>
    <w:rsid w:val="00E457B9"/>
    <w:rsid w:val="00E464DF"/>
    <w:rsid w:val="00E466D1"/>
    <w:rsid w:val="00E46C42"/>
    <w:rsid w:val="00E470D8"/>
    <w:rsid w:val="00E47C52"/>
    <w:rsid w:val="00E50166"/>
    <w:rsid w:val="00E501B1"/>
    <w:rsid w:val="00E503CF"/>
    <w:rsid w:val="00E505CB"/>
    <w:rsid w:val="00E50BB1"/>
    <w:rsid w:val="00E50D95"/>
    <w:rsid w:val="00E512F1"/>
    <w:rsid w:val="00E516B1"/>
    <w:rsid w:val="00E51736"/>
    <w:rsid w:val="00E517F1"/>
    <w:rsid w:val="00E51A37"/>
    <w:rsid w:val="00E5202B"/>
    <w:rsid w:val="00E5237B"/>
    <w:rsid w:val="00E523BF"/>
    <w:rsid w:val="00E525BC"/>
    <w:rsid w:val="00E52917"/>
    <w:rsid w:val="00E52FDC"/>
    <w:rsid w:val="00E53093"/>
    <w:rsid w:val="00E53256"/>
    <w:rsid w:val="00E534F9"/>
    <w:rsid w:val="00E53A11"/>
    <w:rsid w:val="00E53D14"/>
    <w:rsid w:val="00E542B3"/>
    <w:rsid w:val="00E546CD"/>
    <w:rsid w:val="00E5473F"/>
    <w:rsid w:val="00E54740"/>
    <w:rsid w:val="00E5476C"/>
    <w:rsid w:val="00E54ADC"/>
    <w:rsid w:val="00E54C69"/>
    <w:rsid w:val="00E54D95"/>
    <w:rsid w:val="00E55265"/>
    <w:rsid w:val="00E555DF"/>
    <w:rsid w:val="00E556B4"/>
    <w:rsid w:val="00E559F6"/>
    <w:rsid w:val="00E56051"/>
    <w:rsid w:val="00E560BC"/>
    <w:rsid w:val="00E56427"/>
    <w:rsid w:val="00E564FE"/>
    <w:rsid w:val="00E56C50"/>
    <w:rsid w:val="00E56C72"/>
    <w:rsid w:val="00E573DF"/>
    <w:rsid w:val="00E57E65"/>
    <w:rsid w:val="00E60397"/>
    <w:rsid w:val="00E609DE"/>
    <w:rsid w:val="00E60D77"/>
    <w:rsid w:val="00E60F6C"/>
    <w:rsid w:val="00E6146C"/>
    <w:rsid w:val="00E616DE"/>
    <w:rsid w:val="00E61809"/>
    <w:rsid w:val="00E61954"/>
    <w:rsid w:val="00E61C69"/>
    <w:rsid w:val="00E61D19"/>
    <w:rsid w:val="00E624D9"/>
    <w:rsid w:val="00E6257B"/>
    <w:rsid w:val="00E628A6"/>
    <w:rsid w:val="00E629F1"/>
    <w:rsid w:val="00E62F0D"/>
    <w:rsid w:val="00E62FF1"/>
    <w:rsid w:val="00E630B2"/>
    <w:rsid w:val="00E6381D"/>
    <w:rsid w:val="00E6384B"/>
    <w:rsid w:val="00E63FC1"/>
    <w:rsid w:val="00E64781"/>
    <w:rsid w:val="00E64964"/>
    <w:rsid w:val="00E64EC1"/>
    <w:rsid w:val="00E64F9D"/>
    <w:rsid w:val="00E65749"/>
    <w:rsid w:val="00E65A57"/>
    <w:rsid w:val="00E65AE7"/>
    <w:rsid w:val="00E65B67"/>
    <w:rsid w:val="00E65D35"/>
    <w:rsid w:val="00E6601E"/>
    <w:rsid w:val="00E66097"/>
    <w:rsid w:val="00E66787"/>
    <w:rsid w:val="00E66D38"/>
    <w:rsid w:val="00E66D4E"/>
    <w:rsid w:val="00E66E44"/>
    <w:rsid w:val="00E6701A"/>
    <w:rsid w:val="00E67361"/>
    <w:rsid w:val="00E676A7"/>
    <w:rsid w:val="00E67A89"/>
    <w:rsid w:val="00E67AFB"/>
    <w:rsid w:val="00E67F84"/>
    <w:rsid w:val="00E70525"/>
    <w:rsid w:val="00E70531"/>
    <w:rsid w:val="00E70AB8"/>
    <w:rsid w:val="00E70B30"/>
    <w:rsid w:val="00E70B74"/>
    <w:rsid w:val="00E713EB"/>
    <w:rsid w:val="00E7153D"/>
    <w:rsid w:val="00E7180F"/>
    <w:rsid w:val="00E71872"/>
    <w:rsid w:val="00E719C4"/>
    <w:rsid w:val="00E719F4"/>
    <w:rsid w:val="00E71AFF"/>
    <w:rsid w:val="00E72068"/>
    <w:rsid w:val="00E7232D"/>
    <w:rsid w:val="00E7240F"/>
    <w:rsid w:val="00E72A7B"/>
    <w:rsid w:val="00E72B77"/>
    <w:rsid w:val="00E72C71"/>
    <w:rsid w:val="00E732BD"/>
    <w:rsid w:val="00E735BB"/>
    <w:rsid w:val="00E73EE0"/>
    <w:rsid w:val="00E740FD"/>
    <w:rsid w:val="00E74123"/>
    <w:rsid w:val="00E742E6"/>
    <w:rsid w:val="00E743B2"/>
    <w:rsid w:val="00E7479B"/>
    <w:rsid w:val="00E749D2"/>
    <w:rsid w:val="00E74A02"/>
    <w:rsid w:val="00E74E98"/>
    <w:rsid w:val="00E751F5"/>
    <w:rsid w:val="00E7547F"/>
    <w:rsid w:val="00E75990"/>
    <w:rsid w:val="00E75B3F"/>
    <w:rsid w:val="00E75E45"/>
    <w:rsid w:val="00E764BD"/>
    <w:rsid w:val="00E76898"/>
    <w:rsid w:val="00E76A2E"/>
    <w:rsid w:val="00E76F05"/>
    <w:rsid w:val="00E7705D"/>
    <w:rsid w:val="00E773DA"/>
    <w:rsid w:val="00E77421"/>
    <w:rsid w:val="00E776BC"/>
    <w:rsid w:val="00E778B8"/>
    <w:rsid w:val="00E77BFF"/>
    <w:rsid w:val="00E77C6A"/>
    <w:rsid w:val="00E77E3C"/>
    <w:rsid w:val="00E77F43"/>
    <w:rsid w:val="00E8009D"/>
    <w:rsid w:val="00E811A7"/>
    <w:rsid w:val="00E818F9"/>
    <w:rsid w:val="00E819E7"/>
    <w:rsid w:val="00E82540"/>
    <w:rsid w:val="00E827EB"/>
    <w:rsid w:val="00E83551"/>
    <w:rsid w:val="00E83703"/>
    <w:rsid w:val="00E83897"/>
    <w:rsid w:val="00E83D88"/>
    <w:rsid w:val="00E84188"/>
    <w:rsid w:val="00E8423F"/>
    <w:rsid w:val="00E8431B"/>
    <w:rsid w:val="00E84443"/>
    <w:rsid w:val="00E84A0B"/>
    <w:rsid w:val="00E84C7C"/>
    <w:rsid w:val="00E84D84"/>
    <w:rsid w:val="00E84E16"/>
    <w:rsid w:val="00E850C1"/>
    <w:rsid w:val="00E850F8"/>
    <w:rsid w:val="00E85246"/>
    <w:rsid w:val="00E854E6"/>
    <w:rsid w:val="00E85A00"/>
    <w:rsid w:val="00E85D35"/>
    <w:rsid w:val="00E86332"/>
    <w:rsid w:val="00E86492"/>
    <w:rsid w:val="00E86552"/>
    <w:rsid w:val="00E86616"/>
    <w:rsid w:val="00E86924"/>
    <w:rsid w:val="00E86961"/>
    <w:rsid w:val="00E869E3"/>
    <w:rsid w:val="00E86CB4"/>
    <w:rsid w:val="00E873B8"/>
    <w:rsid w:val="00E8783A"/>
    <w:rsid w:val="00E87E62"/>
    <w:rsid w:val="00E87FD6"/>
    <w:rsid w:val="00E903B7"/>
    <w:rsid w:val="00E911EE"/>
    <w:rsid w:val="00E91C99"/>
    <w:rsid w:val="00E91FA0"/>
    <w:rsid w:val="00E91FF3"/>
    <w:rsid w:val="00E9222E"/>
    <w:rsid w:val="00E92451"/>
    <w:rsid w:val="00E92F7E"/>
    <w:rsid w:val="00E92FD9"/>
    <w:rsid w:val="00E9317E"/>
    <w:rsid w:val="00E935D7"/>
    <w:rsid w:val="00E936BE"/>
    <w:rsid w:val="00E939E4"/>
    <w:rsid w:val="00E93A1B"/>
    <w:rsid w:val="00E93F5F"/>
    <w:rsid w:val="00E945DA"/>
    <w:rsid w:val="00E94F50"/>
    <w:rsid w:val="00E95041"/>
    <w:rsid w:val="00E95047"/>
    <w:rsid w:val="00E95193"/>
    <w:rsid w:val="00E952B5"/>
    <w:rsid w:val="00E954FE"/>
    <w:rsid w:val="00E955DC"/>
    <w:rsid w:val="00E956E5"/>
    <w:rsid w:val="00E95A59"/>
    <w:rsid w:val="00E95D30"/>
    <w:rsid w:val="00E95DE3"/>
    <w:rsid w:val="00E95E9D"/>
    <w:rsid w:val="00E9659D"/>
    <w:rsid w:val="00E970E0"/>
    <w:rsid w:val="00E972CB"/>
    <w:rsid w:val="00E9758B"/>
    <w:rsid w:val="00E976A1"/>
    <w:rsid w:val="00E97E0E"/>
    <w:rsid w:val="00E97F9B"/>
    <w:rsid w:val="00EA02C4"/>
    <w:rsid w:val="00EA039D"/>
    <w:rsid w:val="00EA0730"/>
    <w:rsid w:val="00EA1058"/>
    <w:rsid w:val="00EA1668"/>
    <w:rsid w:val="00EA1753"/>
    <w:rsid w:val="00EA1A92"/>
    <w:rsid w:val="00EA1D2D"/>
    <w:rsid w:val="00EA2333"/>
    <w:rsid w:val="00EA2340"/>
    <w:rsid w:val="00EA2794"/>
    <w:rsid w:val="00EA29F6"/>
    <w:rsid w:val="00EA2A9C"/>
    <w:rsid w:val="00EA2E54"/>
    <w:rsid w:val="00EA32E7"/>
    <w:rsid w:val="00EA3B18"/>
    <w:rsid w:val="00EA40AB"/>
    <w:rsid w:val="00EA4132"/>
    <w:rsid w:val="00EA4813"/>
    <w:rsid w:val="00EA482C"/>
    <w:rsid w:val="00EA486F"/>
    <w:rsid w:val="00EA526A"/>
    <w:rsid w:val="00EA5D3C"/>
    <w:rsid w:val="00EA62AA"/>
    <w:rsid w:val="00EA67A3"/>
    <w:rsid w:val="00EA7A2A"/>
    <w:rsid w:val="00EB0A80"/>
    <w:rsid w:val="00EB0D08"/>
    <w:rsid w:val="00EB10D3"/>
    <w:rsid w:val="00EB10E1"/>
    <w:rsid w:val="00EB1278"/>
    <w:rsid w:val="00EB128B"/>
    <w:rsid w:val="00EB1CD8"/>
    <w:rsid w:val="00EB2035"/>
    <w:rsid w:val="00EB2242"/>
    <w:rsid w:val="00EB2314"/>
    <w:rsid w:val="00EB262A"/>
    <w:rsid w:val="00EB27F0"/>
    <w:rsid w:val="00EB2E97"/>
    <w:rsid w:val="00EB3349"/>
    <w:rsid w:val="00EB347D"/>
    <w:rsid w:val="00EB3F1E"/>
    <w:rsid w:val="00EB40CC"/>
    <w:rsid w:val="00EB40D8"/>
    <w:rsid w:val="00EB4225"/>
    <w:rsid w:val="00EB430F"/>
    <w:rsid w:val="00EB44C5"/>
    <w:rsid w:val="00EB488B"/>
    <w:rsid w:val="00EB499C"/>
    <w:rsid w:val="00EB5AE5"/>
    <w:rsid w:val="00EB5AF4"/>
    <w:rsid w:val="00EB5AF9"/>
    <w:rsid w:val="00EB6260"/>
    <w:rsid w:val="00EB64D1"/>
    <w:rsid w:val="00EB6C80"/>
    <w:rsid w:val="00EB7174"/>
    <w:rsid w:val="00EB7A14"/>
    <w:rsid w:val="00EC01D5"/>
    <w:rsid w:val="00EC0709"/>
    <w:rsid w:val="00EC08B5"/>
    <w:rsid w:val="00EC0D79"/>
    <w:rsid w:val="00EC1031"/>
    <w:rsid w:val="00EC13DD"/>
    <w:rsid w:val="00EC190C"/>
    <w:rsid w:val="00EC1B6E"/>
    <w:rsid w:val="00EC299C"/>
    <w:rsid w:val="00EC2A8E"/>
    <w:rsid w:val="00EC2EFE"/>
    <w:rsid w:val="00EC3047"/>
    <w:rsid w:val="00EC315F"/>
    <w:rsid w:val="00EC31BD"/>
    <w:rsid w:val="00EC3497"/>
    <w:rsid w:val="00EC3629"/>
    <w:rsid w:val="00EC38F0"/>
    <w:rsid w:val="00EC39DB"/>
    <w:rsid w:val="00EC3AAC"/>
    <w:rsid w:val="00EC42BF"/>
    <w:rsid w:val="00EC4566"/>
    <w:rsid w:val="00EC45C9"/>
    <w:rsid w:val="00EC4AF0"/>
    <w:rsid w:val="00EC509B"/>
    <w:rsid w:val="00EC60A5"/>
    <w:rsid w:val="00EC624B"/>
    <w:rsid w:val="00EC62F5"/>
    <w:rsid w:val="00EC6680"/>
    <w:rsid w:val="00EC6A16"/>
    <w:rsid w:val="00EC70C8"/>
    <w:rsid w:val="00EC71CD"/>
    <w:rsid w:val="00EC747B"/>
    <w:rsid w:val="00EC7719"/>
    <w:rsid w:val="00EC7CE1"/>
    <w:rsid w:val="00EC7E41"/>
    <w:rsid w:val="00ED0293"/>
    <w:rsid w:val="00ED06A0"/>
    <w:rsid w:val="00ED07AD"/>
    <w:rsid w:val="00ED0836"/>
    <w:rsid w:val="00ED0B54"/>
    <w:rsid w:val="00ED12F0"/>
    <w:rsid w:val="00ED14B1"/>
    <w:rsid w:val="00ED15A9"/>
    <w:rsid w:val="00ED1E6A"/>
    <w:rsid w:val="00ED22CF"/>
    <w:rsid w:val="00ED236B"/>
    <w:rsid w:val="00ED24B9"/>
    <w:rsid w:val="00ED2979"/>
    <w:rsid w:val="00ED30FC"/>
    <w:rsid w:val="00ED338C"/>
    <w:rsid w:val="00ED39D6"/>
    <w:rsid w:val="00ED3B8B"/>
    <w:rsid w:val="00ED3CDD"/>
    <w:rsid w:val="00ED409D"/>
    <w:rsid w:val="00ED4403"/>
    <w:rsid w:val="00ED44D0"/>
    <w:rsid w:val="00ED4923"/>
    <w:rsid w:val="00ED5144"/>
    <w:rsid w:val="00ED523C"/>
    <w:rsid w:val="00ED53BD"/>
    <w:rsid w:val="00ED5D95"/>
    <w:rsid w:val="00ED5F58"/>
    <w:rsid w:val="00ED605F"/>
    <w:rsid w:val="00ED69BA"/>
    <w:rsid w:val="00ED6ABD"/>
    <w:rsid w:val="00ED6B95"/>
    <w:rsid w:val="00ED6B9C"/>
    <w:rsid w:val="00ED70C4"/>
    <w:rsid w:val="00ED7162"/>
    <w:rsid w:val="00ED7175"/>
    <w:rsid w:val="00ED7555"/>
    <w:rsid w:val="00ED764D"/>
    <w:rsid w:val="00ED772C"/>
    <w:rsid w:val="00ED7AB1"/>
    <w:rsid w:val="00ED7BDB"/>
    <w:rsid w:val="00ED7F87"/>
    <w:rsid w:val="00EE0142"/>
    <w:rsid w:val="00EE027D"/>
    <w:rsid w:val="00EE02A2"/>
    <w:rsid w:val="00EE0316"/>
    <w:rsid w:val="00EE03B6"/>
    <w:rsid w:val="00EE05AD"/>
    <w:rsid w:val="00EE070A"/>
    <w:rsid w:val="00EE1137"/>
    <w:rsid w:val="00EE2452"/>
    <w:rsid w:val="00EE2636"/>
    <w:rsid w:val="00EE26E5"/>
    <w:rsid w:val="00EE2B6A"/>
    <w:rsid w:val="00EE2BDB"/>
    <w:rsid w:val="00EE2D62"/>
    <w:rsid w:val="00EE2EB7"/>
    <w:rsid w:val="00EE2FC1"/>
    <w:rsid w:val="00EE341E"/>
    <w:rsid w:val="00EE344E"/>
    <w:rsid w:val="00EE34F1"/>
    <w:rsid w:val="00EE34F3"/>
    <w:rsid w:val="00EE40AA"/>
    <w:rsid w:val="00EE47B8"/>
    <w:rsid w:val="00EE4D0B"/>
    <w:rsid w:val="00EE4E0B"/>
    <w:rsid w:val="00EE4E60"/>
    <w:rsid w:val="00EE523C"/>
    <w:rsid w:val="00EE52D2"/>
    <w:rsid w:val="00EE55B3"/>
    <w:rsid w:val="00EE5826"/>
    <w:rsid w:val="00EE58C7"/>
    <w:rsid w:val="00EE5B0D"/>
    <w:rsid w:val="00EE5DB5"/>
    <w:rsid w:val="00EE5E35"/>
    <w:rsid w:val="00EE6017"/>
    <w:rsid w:val="00EE6320"/>
    <w:rsid w:val="00EE6470"/>
    <w:rsid w:val="00EE65A6"/>
    <w:rsid w:val="00EE69F8"/>
    <w:rsid w:val="00EE6D7E"/>
    <w:rsid w:val="00EE6F78"/>
    <w:rsid w:val="00EE71E3"/>
    <w:rsid w:val="00EE75A4"/>
    <w:rsid w:val="00EE7B82"/>
    <w:rsid w:val="00EE7B84"/>
    <w:rsid w:val="00EF04FD"/>
    <w:rsid w:val="00EF0B3A"/>
    <w:rsid w:val="00EF13BF"/>
    <w:rsid w:val="00EF13C3"/>
    <w:rsid w:val="00EF13D6"/>
    <w:rsid w:val="00EF16EC"/>
    <w:rsid w:val="00EF175A"/>
    <w:rsid w:val="00EF1858"/>
    <w:rsid w:val="00EF1A4D"/>
    <w:rsid w:val="00EF1C29"/>
    <w:rsid w:val="00EF3122"/>
    <w:rsid w:val="00EF3229"/>
    <w:rsid w:val="00EF3ACA"/>
    <w:rsid w:val="00EF3C09"/>
    <w:rsid w:val="00EF4894"/>
    <w:rsid w:val="00EF497E"/>
    <w:rsid w:val="00EF49BE"/>
    <w:rsid w:val="00EF51E8"/>
    <w:rsid w:val="00EF5225"/>
    <w:rsid w:val="00EF528A"/>
    <w:rsid w:val="00EF5828"/>
    <w:rsid w:val="00EF5A8A"/>
    <w:rsid w:val="00EF5D49"/>
    <w:rsid w:val="00EF5FB7"/>
    <w:rsid w:val="00EF6442"/>
    <w:rsid w:val="00EF645E"/>
    <w:rsid w:val="00EF6558"/>
    <w:rsid w:val="00EF6EF0"/>
    <w:rsid w:val="00EF7015"/>
    <w:rsid w:val="00EF72C8"/>
    <w:rsid w:val="00EF73C1"/>
    <w:rsid w:val="00EF7846"/>
    <w:rsid w:val="00EF7A26"/>
    <w:rsid w:val="00EF7EFB"/>
    <w:rsid w:val="00F00451"/>
    <w:rsid w:val="00F00496"/>
    <w:rsid w:val="00F004BC"/>
    <w:rsid w:val="00F004E9"/>
    <w:rsid w:val="00F00FBB"/>
    <w:rsid w:val="00F01212"/>
    <w:rsid w:val="00F0130B"/>
    <w:rsid w:val="00F01352"/>
    <w:rsid w:val="00F018B7"/>
    <w:rsid w:val="00F018BE"/>
    <w:rsid w:val="00F01F36"/>
    <w:rsid w:val="00F02001"/>
    <w:rsid w:val="00F02042"/>
    <w:rsid w:val="00F0230F"/>
    <w:rsid w:val="00F02428"/>
    <w:rsid w:val="00F029C9"/>
    <w:rsid w:val="00F02B53"/>
    <w:rsid w:val="00F02E80"/>
    <w:rsid w:val="00F02EB4"/>
    <w:rsid w:val="00F0335B"/>
    <w:rsid w:val="00F033D5"/>
    <w:rsid w:val="00F03ADC"/>
    <w:rsid w:val="00F03BFB"/>
    <w:rsid w:val="00F04302"/>
    <w:rsid w:val="00F047C6"/>
    <w:rsid w:val="00F04888"/>
    <w:rsid w:val="00F0560F"/>
    <w:rsid w:val="00F05744"/>
    <w:rsid w:val="00F05910"/>
    <w:rsid w:val="00F05C16"/>
    <w:rsid w:val="00F05E85"/>
    <w:rsid w:val="00F06483"/>
    <w:rsid w:val="00F06995"/>
    <w:rsid w:val="00F06B17"/>
    <w:rsid w:val="00F06E5A"/>
    <w:rsid w:val="00F06F8B"/>
    <w:rsid w:val="00F072BD"/>
    <w:rsid w:val="00F072E7"/>
    <w:rsid w:val="00F0745F"/>
    <w:rsid w:val="00F0764B"/>
    <w:rsid w:val="00F07811"/>
    <w:rsid w:val="00F078FD"/>
    <w:rsid w:val="00F07A53"/>
    <w:rsid w:val="00F07BA8"/>
    <w:rsid w:val="00F1013E"/>
    <w:rsid w:val="00F103EB"/>
    <w:rsid w:val="00F10568"/>
    <w:rsid w:val="00F10C7F"/>
    <w:rsid w:val="00F10F5F"/>
    <w:rsid w:val="00F11124"/>
    <w:rsid w:val="00F1132D"/>
    <w:rsid w:val="00F11964"/>
    <w:rsid w:val="00F119AC"/>
    <w:rsid w:val="00F11FF9"/>
    <w:rsid w:val="00F12480"/>
    <w:rsid w:val="00F12629"/>
    <w:rsid w:val="00F12DAC"/>
    <w:rsid w:val="00F13056"/>
    <w:rsid w:val="00F130D0"/>
    <w:rsid w:val="00F1358F"/>
    <w:rsid w:val="00F13658"/>
    <w:rsid w:val="00F13B44"/>
    <w:rsid w:val="00F13E6D"/>
    <w:rsid w:val="00F13FD8"/>
    <w:rsid w:val="00F145B4"/>
    <w:rsid w:val="00F1487E"/>
    <w:rsid w:val="00F14930"/>
    <w:rsid w:val="00F15323"/>
    <w:rsid w:val="00F155D4"/>
    <w:rsid w:val="00F15C2F"/>
    <w:rsid w:val="00F15D27"/>
    <w:rsid w:val="00F1640E"/>
    <w:rsid w:val="00F16539"/>
    <w:rsid w:val="00F16BA9"/>
    <w:rsid w:val="00F174E3"/>
    <w:rsid w:val="00F1761A"/>
    <w:rsid w:val="00F176EF"/>
    <w:rsid w:val="00F1777C"/>
    <w:rsid w:val="00F177C6"/>
    <w:rsid w:val="00F20140"/>
    <w:rsid w:val="00F20382"/>
    <w:rsid w:val="00F2055F"/>
    <w:rsid w:val="00F206BA"/>
    <w:rsid w:val="00F207C7"/>
    <w:rsid w:val="00F20B56"/>
    <w:rsid w:val="00F20B5A"/>
    <w:rsid w:val="00F2160A"/>
    <w:rsid w:val="00F21798"/>
    <w:rsid w:val="00F21AB9"/>
    <w:rsid w:val="00F21E75"/>
    <w:rsid w:val="00F21FC3"/>
    <w:rsid w:val="00F220F0"/>
    <w:rsid w:val="00F223D1"/>
    <w:rsid w:val="00F224AE"/>
    <w:rsid w:val="00F224FE"/>
    <w:rsid w:val="00F22518"/>
    <w:rsid w:val="00F22777"/>
    <w:rsid w:val="00F2286F"/>
    <w:rsid w:val="00F22F2E"/>
    <w:rsid w:val="00F23073"/>
    <w:rsid w:val="00F2343A"/>
    <w:rsid w:val="00F23788"/>
    <w:rsid w:val="00F23896"/>
    <w:rsid w:val="00F23E5A"/>
    <w:rsid w:val="00F24261"/>
    <w:rsid w:val="00F24585"/>
    <w:rsid w:val="00F246B8"/>
    <w:rsid w:val="00F24CC0"/>
    <w:rsid w:val="00F24F43"/>
    <w:rsid w:val="00F253ED"/>
    <w:rsid w:val="00F256F2"/>
    <w:rsid w:val="00F260D3"/>
    <w:rsid w:val="00F26714"/>
    <w:rsid w:val="00F26770"/>
    <w:rsid w:val="00F26A23"/>
    <w:rsid w:val="00F26A79"/>
    <w:rsid w:val="00F26ABA"/>
    <w:rsid w:val="00F26AEA"/>
    <w:rsid w:val="00F26B6A"/>
    <w:rsid w:val="00F277F1"/>
    <w:rsid w:val="00F27845"/>
    <w:rsid w:val="00F27856"/>
    <w:rsid w:val="00F27A2C"/>
    <w:rsid w:val="00F27E63"/>
    <w:rsid w:val="00F30098"/>
    <w:rsid w:val="00F302F7"/>
    <w:rsid w:val="00F30359"/>
    <w:rsid w:val="00F30929"/>
    <w:rsid w:val="00F3092B"/>
    <w:rsid w:val="00F30975"/>
    <w:rsid w:val="00F30D5A"/>
    <w:rsid w:val="00F30DC7"/>
    <w:rsid w:val="00F30F2B"/>
    <w:rsid w:val="00F311B2"/>
    <w:rsid w:val="00F31790"/>
    <w:rsid w:val="00F3202B"/>
    <w:rsid w:val="00F32255"/>
    <w:rsid w:val="00F32AE7"/>
    <w:rsid w:val="00F32B07"/>
    <w:rsid w:val="00F32C8B"/>
    <w:rsid w:val="00F33600"/>
    <w:rsid w:val="00F3385A"/>
    <w:rsid w:val="00F33D07"/>
    <w:rsid w:val="00F33F50"/>
    <w:rsid w:val="00F33FE2"/>
    <w:rsid w:val="00F3478F"/>
    <w:rsid w:val="00F35538"/>
    <w:rsid w:val="00F35BB7"/>
    <w:rsid w:val="00F35E95"/>
    <w:rsid w:val="00F362D6"/>
    <w:rsid w:val="00F367EA"/>
    <w:rsid w:val="00F36A74"/>
    <w:rsid w:val="00F36C2A"/>
    <w:rsid w:val="00F3724F"/>
    <w:rsid w:val="00F373FE"/>
    <w:rsid w:val="00F3745A"/>
    <w:rsid w:val="00F3771C"/>
    <w:rsid w:val="00F3774B"/>
    <w:rsid w:val="00F377AC"/>
    <w:rsid w:val="00F37974"/>
    <w:rsid w:val="00F4010A"/>
    <w:rsid w:val="00F402FE"/>
    <w:rsid w:val="00F40331"/>
    <w:rsid w:val="00F4034E"/>
    <w:rsid w:val="00F40552"/>
    <w:rsid w:val="00F408B0"/>
    <w:rsid w:val="00F40F8C"/>
    <w:rsid w:val="00F40FAA"/>
    <w:rsid w:val="00F41068"/>
    <w:rsid w:val="00F416EF"/>
    <w:rsid w:val="00F41960"/>
    <w:rsid w:val="00F41977"/>
    <w:rsid w:val="00F419D2"/>
    <w:rsid w:val="00F41A97"/>
    <w:rsid w:val="00F41BFB"/>
    <w:rsid w:val="00F420E8"/>
    <w:rsid w:val="00F42249"/>
    <w:rsid w:val="00F423A6"/>
    <w:rsid w:val="00F429FA"/>
    <w:rsid w:val="00F42A35"/>
    <w:rsid w:val="00F42D07"/>
    <w:rsid w:val="00F436F3"/>
    <w:rsid w:val="00F437E8"/>
    <w:rsid w:val="00F43B94"/>
    <w:rsid w:val="00F43EBB"/>
    <w:rsid w:val="00F445F0"/>
    <w:rsid w:val="00F446AF"/>
    <w:rsid w:val="00F4497F"/>
    <w:rsid w:val="00F44F25"/>
    <w:rsid w:val="00F4516D"/>
    <w:rsid w:val="00F45269"/>
    <w:rsid w:val="00F453F2"/>
    <w:rsid w:val="00F45692"/>
    <w:rsid w:val="00F45944"/>
    <w:rsid w:val="00F46089"/>
    <w:rsid w:val="00F461C4"/>
    <w:rsid w:val="00F4660B"/>
    <w:rsid w:val="00F46A95"/>
    <w:rsid w:val="00F46ADB"/>
    <w:rsid w:val="00F46D62"/>
    <w:rsid w:val="00F46DDB"/>
    <w:rsid w:val="00F47001"/>
    <w:rsid w:val="00F471F3"/>
    <w:rsid w:val="00F473A0"/>
    <w:rsid w:val="00F473F5"/>
    <w:rsid w:val="00F47740"/>
    <w:rsid w:val="00F47878"/>
    <w:rsid w:val="00F47C9E"/>
    <w:rsid w:val="00F500C4"/>
    <w:rsid w:val="00F50A98"/>
    <w:rsid w:val="00F50E42"/>
    <w:rsid w:val="00F50ED9"/>
    <w:rsid w:val="00F518E6"/>
    <w:rsid w:val="00F51C43"/>
    <w:rsid w:val="00F51F1A"/>
    <w:rsid w:val="00F5240C"/>
    <w:rsid w:val="00F526AB"/>
    <w:rsid w:val="00F52733"/>
    <w:rsid w:val="00F52B75"/>
    <w:rsid w:val="00F52B80"/>
    <w:rsid w:val="00F52FD5"/>
    <w:rsid w:val="00F534BD"/>
    <w:rsid w:val="00F534F9"/>
    <w:rsid w:val="00F53523"/>
    <w:rsid w:val="00F536C0"/>
    <w:rsid w:val="00F54097"/>
    <w:rsid w:val="00F5410C"/>
    <w:rsid w:val="00F5411F"/>
    <w:rsid w:val="00F54AD7"/>
    <w:rsid w:val="00F55139"/>
    <w:rsid w:val="00F55B9E"/>
    <w:rsid w:val="00F55C18"/>
    <w:rsid w:val="00F55E7A"/>
    <w:rsid w:val="00F5609D"/>
    <w:rsid w:val="00F56126"/>
    <w:rsid w:val="00F566E8"/>
    <w:rsid w:val="00F570F5"/>
    <w:rsid w:val="00F5732D"/>
    <w:rsid w:val="00F574FA"/>
    <w:rsid w:val="00F5763C"/>
    <w:rsid w:val="00F5791E"/>
    <w:rsid w:val="00F60319"/>
    <w:rsid w:val="00F6055E"/>
    <w:rsid w:val="00F605BA"/>
    <w:rsid w:val="00F60799"/>
    <w:rsid w:val="00F60828"/>
    <w:rsid w:val="00F618E6"/>
    <w:rsid w:val="00F619BD"/>
    <w:rsid w:val="00F61E71"/>
    <w:rsid w:val="00F62849"/>
    <w:rsid w:val="00F62A01"/>
    <w:rsid w:val="00F62A1E"/>
    <w:rsid w:val="00F62BE3"/>
    <w:rsid w:val="00F62DA5"/>
    <w:rsid w:val="00F62DD5"/>
    <w:rsid w:val="00F62F6B"/>
    <w:rsid w:val="00F634E7"/>
    <w:rsid w:val="00F63D0D"/>
    <w:rsid w:val="00F64075"/>
    <w:rsid w:val="00F64128"/>
    <w:rsid w:val="00F64537"/>
    <w:rsid w:val="00F6490D"/>
    <w:rsid w:val="00F64DCA"/>
    <w:rsid w:val="00F651E0"/>
    <w:rsid w:val="00F65226"/>
    <w:rsid w:val="00F6566A"/>
    <w:rsid w:val="00F65C56"/>
    <w:rsid w:val="00F6619C"/>
    <w:rsid w:val="00F66298"/>
    <w:rsid w:val="00F66373"/>
    <w:rsid w:val="00F663E8"/>
    <w:rsid w:val="00F667A5"/>
    <w:rsid w:val="00F667D5"/>
    <w:rsid w:val="00F66835"/>
    <w:rsid w:val="00F668C6"/>
    <w:rsid w:val="00F66BBD"/>
    <w:rsid w:val="00F66FF9"/>
    <w:rsid w:val="00F67F38"/>
    <w:rsid w:val="00F70004"/>
    <w:rsid w:val="00F70021"/>
    <w:rsid w:val="00F702E9"/>
    <w:rsid w:val="00F70383"/>
    <w:rsid w:val="00F706E6"/>
    <w:rsid w:val="00F70C15"/>
    <w:rsid w:val="00F70DD2"/>
    <w:rsid w:val="00F71353"/>
    <w:rsid w:val="00F71803"/>
    <w:rsid w:val="00F71A2B"/>
    <w:rsid w:val="00F71F75"/>
    <w:rsid w:val="00F72083"/>
    <w:rsid w:val="00F721FA"/>
    <w:rsid w:val="00F725B8"/>
    <w:rsid w:val="00F72611"/>
    <w:rsid w:val="00F7292E"/>
    <w:rsid w:val="00F72A12"/>
    <w:rsid w:val="00F72CF5"/>
    <w:rsid w:val="00F72D80"/>
    <w:rsid w:val="00F72ED8"/>
    <w:rsid w:val="00F72FFF"/>
    <w:rsid w:val="00F73352"/>
    <w:rsid w:val="00F73436"/>
    <w:rsid w:val="00F7365C"/>
    <w:rsid w:val="00F7389F"/>
    <w:rsid w:val="00F739EA"/>
    <w:rsid w:val="00F73A74"/>
    <w:rsid w:val="00F73F4D"/>
    <w:rsid w:val="00F74181"/>
    <w:rsid w:val="00F74A8D"/>
    <w:rsid w:val="00F74B76"/>
    <w:rsid w:val="00F74BFD"/>
    <w:rsid w:val="00F74EC7"/>
    <w:rsid w:val="00F7591A"/>
    <w:rsid w:val="00F75AAC"/>
    <w:rsid w:val="00F75C91"/>
    <w:rsid w:val="00F75CFA"/>
    <w:rsid w:val="00F76A8D"/>
    <w:rsid w:val="00F77014"/>
    <w:rsid w:val="00F774AD"/>
    <w:rsid w:val="00F778DA"/>
    <w:rsid w:val="00F77B97"/>
    <w:rsid w:val="00F8026B"/>
    <w:rsid w:val="00F8077A"/>
    <w:rsid w:val="00F80881"/>
    <w:rsid w:val="00F80A14"/>
    <w:rsid w:val="00F8126B"/>
    <w:rsid w:val="00F81324"/>
    <w:rsid w:val="00F813AB"/>
    <w:rsid w:val="00F814E9"/>
    <w:rsid w:val="00F81A8F"/>
    <w:rsid w:val="00F81F2B"/>
    <w:rsid w:val="00F82B39"/>
    <w:rsid w:val="00F833B4"/>
    <w:rsid w:val="00F837FB"/>
    <w:rsid w:val="00F83898"/>
    <w:rsid w:val="00F83A48"/>
    <w:rsid w:val="00F83B38"/>
    <w:rsid w:val="00F83D1D"/>
    <w:rsid w:val="00F83DA5"/>
    <w:rsid w:val="00F83EAE"/>
    <w:rsid w:val="00F83ED3"/>
    <w:rsid w:val="00F845A8"/>
    <w:rsid w:val="00F84650"/>
    <w:rsid w:val="00F84B53"/>
    <w:rsid w:val="00F84BC7"/>
    <w:rsid w:val="00F84BF6"/>
    <w:rsid w:val="00F84F34"/>
    <w:rsid w:val="00F8525A"/>
    <w:rsid w:val="00F85486"/>
    <w:rsid w:val="00F8577D"/>
    <w:rsid w:val="00F85A7D"/>
    <w:rsid w:val="00F85CF2"/>
    <w:rsid w:val="00F8604A"/>
    <w:rsid w:val="00F86082"/>
    <w:rsid w:val="00F860C2"/>
    <w:rsid w:val="00F86855"/>
    <w:rsid w:val="00F86D58"/>
    <w:rsid w:val="00F8714C"/>
    <w:rsid w:val="00F873E0"/>
    <w:rsid w:val="00F87BB1"/>
    <w:rsid w:val="00F87BF7"/>
    <w:rsid w:val="00F87D0F"/>
    <w:rsid w:val="00F87E1F"/>
    <w:rsid w:val="00F9096B"/>
    <w:rsid w:val="00F90E93"/>
    <w:rsid w:val="00F90F7A"/>
    <w:rsid w:val="00F9129A"/>
    <w:rsid w:val="00F915F6"/>
    <w:rsid w:val="00F9187D"/>
    <w:rsid w:val="00F919B0"/>
    <w:rsid w:val="00F91AC3"/>
    <w:rsid w:val="00F91FEE"/>
    <w:rsid w:val="00F92438"/>
    <w:rsid w:val="00F929D2"/>
    <w:rsid w:val="00F92ABE"/>
    <w:rsid w:val="00F938E0"/>
    <w:rsid w:val="00F93F3D"/>
    <w:rsid w:val="00F94311"/>
    <w:rsid w:val="00F9476F"/>
    <w:rsid w:val="00F94E03"/>
    <w:rsid w:val="00F952BF"/>
    <w:rsid w:val="00F9558F"/>
    <w:rsid w:val="00F95704"/>
    <w:rsid w:val="00F957D5"/>
    <w:rsid w:val="00F95EC2"/>
    <w:rsid w:val="00F9616B"/>
    <w:rsid w:val="00F963C4"/>
    <w:rsid w:val="00F965F7"/>
    <w:rsid w:val="00F96859"/>
    <w:rsid w:val="00F96AF1"/>
    <w:rsid w:val="00F96D7B"/>
    <w:rsid w:val="00F97179"/>
    <w:rsid w:val="00F975EE"/>
    <w:rsid w:val="00F97731"/>
    <w:rsid w:val="00F979B5"/>
    <w:rsid w:val="00F97A0E"/>
    <w:rsid w:val="00F97AA0"/>
    <w:rsid w:val="00F97ABD"/>
    <w:rsid w:val="00F97F27"/>
    <w:rsid w:val="00FA03C0"/>
    <w:rsid w:val="00FA052C"/>
    <w:rsid w:val="00FA09FA"/>
    <w:rsid w:val="00FA0D3C"/>
    <w:rsid w:val="00FA14A9"/>
    <w:rsid w:val="00FA15A6"/>
    <w:rsid w:val="00FA15B6"/>
    <w:rsid w:val="00FA15F3"/>
    <w:rsid w:val="00FA16A7"/>
    <w:rsid w:val="00FA19D4"/>
    <w:rsid w:val="00FA225E"/>
    <w:rsid w:val="00FA232D"/>
    <w:rsid w:val="00FA2465"/>
    <w:rsid w:val="00FA2651"/>
    <w:rsid w:val="00FA281B"/>
    <w:rsid w:val="00FA28D1"/>
    <w:rsid w:val="00FA2BD7"/>
    <w:rsid w:val="00FA3074"/>
    <w:rsid w:val="00FA3152"/>
    <w:rsid w:val="00FA31E9"/>
    <w:rsid w:val="00FA3275"/>
    <w:rsid w:val="00FA3FF0"/>
    <w:rsid w:val="00FA43CA"/>
    <w:rsid w:val="00FA445D"/>
    <w:rsid w:val="00FA4792"/>
    <w:rsid w:val="00FA47F2"/>
    <w:rsid w:val="00FA4B07"/>
    <w:rsid w:val="00FA51D0"/>
    <w:rsid w:val="00FA539F"/>
    <w:rsid w:val="00FA53B6"/>
    <w:rsid w:val="00FA5672"/>
    <w:rsid w:val="00FA5CCF"/>
    <w:rsid w:val="00FA5E8C"/>
    <w:rsid w:val="00FA5FA4"/>
    <w:rsid w:val="00FA613F"/>
    <w:rsid w:val="00FA62BD"/>
    <w:rsid w:val="00FA6370"/>
    <w:rsid w:val="00FA6417"/>
    <w:rsid w:val="00FA675E"/>
    <w:rsid w:val="00FA7738"/>
    <w:rsid w:val="00FA7C36"/>
    <w:rsid w:val="00FA7E68"/>
    <w:rsid w:val="00FB015B"/>
    <w:rsid w:val="00FB03C8"/>
    <w:rsid w:val="00FB05E1"/>
    <w:rsid w:val="00FB079D"/>
    <w:rsid w:val="00FB07FA"/>
    <w:rsid w:val="00FB0D03"/>
    <w:rsid w:val="00FB0DD4"/>
    <w:rsid w:val="00FB0E62"/>
    <w:rsid w:val="00FB1084"/>
    <w:rsid w:val="00FB1901"/>
    <w:rsid w:val="00FB1940"/>
    <w:rsid w:val="00FB1AB6"/>
    <w:rsid w:val="00FB1AFE"/>
    <w:rsid w:val="00FB1C72"/>
    <w:rsid w:val="00FB1CED"/>
    <w:rsid w:val="00FB1E37"/>
    <w:rsid w:val="00FB1EB5"/>
    <w:rsid w:val="00FB1F02"/>
    <w:rsid w:val="00FB2061"/>
    <w:rsid w:val="00FB25B9"/>
    <w:rsid w:val="00FB2F1C"/>
    <w:rsid w:val="00FB3624"/>
    <w:rsid w:val="00FB363E"/>
    <w:rsid w:val="00FB3646"/>
    <w:rsid w:val="00FB3949"/>
    <w:rsid w:val="00FB3CD1"/>
    <w:rsid w:val="00FB3D6A"/>
    <w:rsid w:val="00FB3D86"/>
    <w:rsid w:val="00FB418D"/>
    <w:rsid w:val="00FB447B"/>
    <w:rsid w:val="00FB4BE5"/>
    <w:rsid w:val="00FB5AB9"/>
    <w:rsid w:val="00FB5ACC"/>
    <w:rsid w:val="00FB6AA1"/>
    <w:rsid w:val="00FB6E76"/>
    <w:rsid w:val="00FB711F"/>
    <w:rsid w:val="00FB729B"/>
    <w:rsid w:val="00FB74D1"/>
    <w:rsid w:val="00FB75F2"/>
    <w:rsid w:val="00FB7F5B"/>
    <w:rsid w:val="00FC064B"/>
    <w:rsid w:val="00FC07FC"/>
    <w:rsid w:val="00FC082F"/>
    <w:rsid w:val="00FC119D"/>
    <w:rsid w:val="00FC1C42"/>
    <w:rsid w:val="00FC1D8C"/>
    <w:rsid w:val="00FC1D8D"/>
    <w:rsid w:val="00FC1F98"/>
    <w:rsid w:val="00FC25C0"/>
    <w:rsid w:val="00FC28D3"/>
    <w:rsid w:val="00FC2EFA"/>
    <w:rsid w:val="00FC313A"/>
    <w:rsid w:val="00FC31B9"/>
    <w:rsid w:val="00FC364A"/>
    <w:rsid w:val="00FC3D02"/>
    <w:rsid w:val="00FC3EC4"/>
    <w:rsid w:val="00FC3FD0"/>
    <w:rsid w:val="00FC4685"/>
    <w:rsid w:val="00FC48B6"/>
    <w:rsid w:val="00FC4BBF"/>
    <w:rsid w:val="00FC6087"/>
    <w:rsid w:val="00FC6314"/>
    <w:rsid w:val="00FC6962"/>
    <w:rsid w:val="00FC69E4"/>
    <w:rsid w:val="00FC781F"/>
    <w:rsid w:val="00FC7FD8"/>
    <w:rsid w:val="00FD066E"/>
    <w:rsid w:val="00FD09AE"/>
    <w:rsid w:val="00FD09B8"/>
    <w:rsid w:val="00FD0B68"/>
    <w:rsid w:val="00FD0BBC"/>
    <w:rsid w:val="00FD0F06"/>
    <w:rsid w:val="00FD1871"/>
    <w:rsid w:val="00FD1DB0"/>
    <w:rsid w:val="00FD21E2"/>
    <w:rsid w:val="00FD23BE"/>
    <w:rsid w:val="00FD2772"/>
    <w:rsid w:val="00FD2AFE"/>
    <w:rsid w:val="00FD305D"/>
    <w:rsid w:val="00FD31D2"/>
    <w:rsid w:val="00FD32F9"/>
    <w:rsid w:val="00FD3769"/>
    <w:rsid w:val="00FD3950"/>
    <w:rsid w:val="00FD3982"/>
    <w:rsid w:val="00FD3E4F"/>
    <w:rsid w:val="00FD43FF"/>
    <w:rsid w:val="00FD4A94"/>
    <w:rsid w:val="00FD510F"/>
    <w:rsid w:val="00FD57D4"/>
    <w:rsid w:val="00FD5E8B"/>
    <w:rsid w:val="00FD5F54"/>
    <w:rsid w:val="00FD6B2E"/>
    <w:rsid w:val="00FD6CA7"/>
    <w:rsid w:val="00FD705A"/>
    <w:rsid w:val="00FD7343"/>
    <w:rsid w:val="00FD7CFE"/>
    <w:rsid w:val="00FE0706"/>
    <w:rsid w:val="00FE0915"/>
    <w:rsid w:val="00FE0DA1"/>
    <w:rsid w:val="00FE10A4"/>
    <w:rsid w:val="00FE13B4"/>
    <w:rsid w:val="00FE13CE"/>
    <w:rsid w:val="00FE19F1"/>
    <w:rsid w:val="00FE1BBA"/>
    <w:rsid w:val="00FE1BEB"/>
    <w:rsid w:val="00FE1F7E"/>
    <w:rsid w:val="00FE256E"/>
    <w:rsid w:val="00FE2E3B"/>
    <w:rsid w:val="00FE2E3C"/>
    <w:rsid w:val="00FE2FD4"/>
    <w:rsid w:val="00FE328B"/>
    <w:rsid w:val="00FE3683"/>
    <w:rsid w:val="00FE47B9"/>
    <w:rsid w:val="00FE4C52"/>
    <w:rsid w:val="00FE4EC6"/>
    <w:rsid w:val="00FE5F6B"/>
    <w:rsid w:val="00FE6490"/>
    <w:rsid w:val="00FE6595"/>
    <w:rsid w:val="00FE65A1"/>
    <w:rsid w:val="00FE65BE"/>
    <w:rsid w:val="00FE665B"/>
    <w:rsid w:val="00FE66CD"/>
    <w:rsid w:val="00FE6AD7"/>
    <w:rsid w:val="00FE6C5C"/>
    <w:rsid w:val="00FE6F76"/>
    <w:rsid w:val="00FE7090"/>
    <w:rsid w:val="00FE72F7"/>
    <w:rsid w:val="00FE7399"/>
    <w:rsid w:val="00FE7708"/>
    <w:rsid w:val="00FE79C0"/>
    <w:rsid w:val="00FF01FD"/>
    <w:rsid w:val="00FF0211"/>
    <w:rsid w:val="00FF0AE4"/>
    <w:rsid w:val="00FF1389"/>
    <w:rsid w:val="00FF1BA2"/>
    <w:rsid w:val="00FF1E4A"/>
    <w:rsid w:val="00FF229E"/>
    <w:rsid w:val="00FF2450"/>
    <w:rsid w:val="00FF2653"/>
    <w:rsid w:val="00FF29F6"/>
    <w:rsid w:val="00FF30D2"/>
    <w:rsid w:val="00FF3137"/>
    <w:rsid w:val="00FF31C0"/>
    <w:rsid w:val="00FF333E"/>
    <w:rsid w:val="00FF3437"/>
    <w:rsid w:val="00FF34C5"/>
    <w:rsid w:val="00FF3528"/>
    <w:rsid w:val="00FF3613"/>
    <w:rsid w:val="00FF3BF4"/>
    <w:rsid w:val="00FF3ED1"/>
    <w:rsid w:val="00FF4057"/>
    <w:rsid w:val="00FF452F"/>
    <w:rsid w:val="00FF4E58"/>
    <w:rsid w:val="00FF51A0"/>
    <w:rsid w:val="00FF6454"/>
    <w:rsid w:val="00FF666B"/>
    <w:rsid w:val="00FF6823"/>
    <w:rsid w:val="00FF6E00"/>
    <w:rsid w:val="00FF6E58"/>
    <w:rsid w:val="00FF7006"/>
    <w:rsid w:val="00FF7F7F"/>
    <w:rsid w:val="03B573F9"/>
    <w:rsid w:val="0669BF15"/>
    <w:rsid w:val="08205BF9"/>
    <w:rsid w:val="083DA71B"/>
    <w:rsid w:val="0A109BD5"/>
    <w:rsid w:val="0A3168BC"/>
    <w:rsid w:val="0C3323A9"/>
    <w:rsid w:val="0CAA3E9D"/>
    <w:rsid w:val="0D4DABFE"/>
    <w:rsid w:val="1111BA19"/>
    <w:rsid w:val="115AA6A3"/>
    <w:rsid w:val="11879ECB"/>
    <w:rsid w:val="130937F3"/>
    <w:rsid w:val="15B6B0CB"/>
    <w:rsid w:val="173C3CC1"/>
    <w:rsid w:val="1857542C"/>
    <w:rsid w:val="18E15FD0"/>
    <w:rsid w:val="1909F7AB"/>
    <w:rsid w:val="19A4764B"/>
    <w:rsid w:val="1C2D5C8F"/>
    <w:rsid w:val="1D5F8AAC"/>
    <w:rsid w:val="1D633276"/>
    <w:rsid w:val="1D736059"/>
    <w:rsid w:val="1E26992A"/>
    <w:rsid w:val="1E97C81D"/>
    <w:rsid w:val="1F07E8CA"/>
    <w:rsid w:val="214727E1"/>
    <w:rsid w:val="21C40A19"/>
    <w:rsid w:val="23263E81"/>
    <w:rsid w:val="28530050"/>
    <w:rsid w:val="292996FF"/>
    <w:rsid w:val="2C6953E8"/>
    <w:rsid w:val="2CBE103F"/>
    <w:rsid w:val="2D64D846"/>
    <w:rsid w:val="2DD21C53"/>
    <w:rsid w:val="2E7F6CC9"/>
    <w:rsid w:val="2F35DCBC"/>
    <w:rsid w:val="32B223E5"/>
    <w:rsid w:val="34A55573"/>
    <w:rsid w:val="355F7408"/>
    <w:rsid w:val="3824EA9D"/>
    <w:rsid w:val="3B755548"/>
    <w:rsid w:val="3CBE68B2"/>
    <w:rsid w:val="3D102A14"/>
    <w:rsid w:val="42CF582B"/>
    <w:rsid w:val="42FD6866"/>
    <w:rsid w:val="42FEA8AC"/>
    <w:rsid w:val="45F57338"/>
    <w:rsid w:val="46F163B3"/>
    <w:rsid w:val="4788E059"/>
    <w:rsid w:val="48A06620"/>
    <w:rsid w:val="4AFD3B46"/>
    <w:rsid w:val="4BB711B1"/>
    <w:rsid w:val="4C2DD176"/>
    <w:rsid w:val="4D241126"/>
    <w:rsid w:val="4E5C01AA"/>
    <w:rsid w:val="4E9A4309"/>
    <w:rsid w:val="4EDC3079"/>
    <w:rsid w:val="4F58715D"/>
    <w:rsid w:val="5192E535"/>
    <w:rsid w:val="52C8AAB2"/>
    <w:rsid w:val="53DB8E58"/>
    <w:rsid w:val="54B6C460"/>
    <w:rsid w:val="5679E2A1"/>
    <w:rsid w:val="57042F04"/>
    <w:rsid w:val="57343AFA"/>
    <w:rsid w:val="58FF52CA"/>
    <w:rsid w:val="5C18D476"/>
    <w:rsid w:val="5C7AA67E"/>
    <w:rsid w:val="5DA3B857"/>
    <w:rsid w:val="5E1EC71D"/>
    <w:rsid w:val="5F33400F"/>
    <w:rsid w:val="5F5DA43F"/>
    <w:rsid w:val="5FF2667F"/>
    <w:rsid w:val="61D18389"/>
    <w:rsid w:val="680E2FE6"/>
    <w:rsid w:val="6855F387"/>
    <w:rsid w:val="69CF221B"/>
    <w:rsid w:val="69D71680"/>
    <w:rsid w:val="6A012FB0"/>
    <w:rsid w:val="6A1DF0EC"/>
    <w:rsid w:val="6ABE6361"/>
    <w:rsid w:val="6AC0EB81"/>
    <w:rsid w:val="75C78BA8"/>
    <w:rsid w:val="76F416EF"/>
    <w:rsid w:val="77ADF575"/>
    <w:rsid w:val="78E06000"/>
    <w:rsid w:val="78E514BA"/>
    <w:rsid w:val="795835A1"/>
    <w:rsid w:val="7C7B80A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776ED"/>
  <w15:chartTrackingRefBased/>
  <w15:docId w15:val="{8B58CD73-EDF6-45F1-9169-66EBD85FC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iPriority="1" w:unhideWhenUsed="1"/>
    <w:lsdException w:name="List Number 4" w:semiHidden="1" w:uiPriority="1" w:unhideWhenUsed="1"/>
    <w:lsdException w:name="List Number 5" w:semiHidden="1" w:uiPriority="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265"/>
    <w:pPr>
      <w:spacing w:after="120" w:line="276" w:lineRule="auto"/>
    </w:pPr>
    <w:rPr>
      <w:rFonts w:ascii="Calibri" w:hAnsi="Calibri"/>
    </w:rPr>
  </w:style>
  <w:style w:type="paragraph" w:styleId="Heading1">
    <w:name w:val="heading 1"/>
    <w:basedOn w:val="Normal"/>
    <w:next w:val="Normal"/>
    <w:link w:val="Heading1Char"/>
    <w:uiPriority w:val="9"/>
    <w:qFormat/>
    <w:rsid w:val="00A659D0"/>
    <w:pPr>
      <w:keepNext/>
      <w:keepLines/>
      <w:pageBreakBefore/>
      <w:spacing w:after="240" w:line="240" w:lineRule="auto"/>
      <w:outlineLvl w:val="0"/>
    </w:pPr>
    <w:rPr>
      <w:rFonts w:asciiTheme="majorHAnsi" w:eastAsiaTheme="majorEastAsia" w:hAnsiTheme="majorHAnsi" w:cstheme="majorBidi"/>
      <w:b/>
      <w:color w:val="7B5E05" w:themeColor="accent1"/>
      <w:sz w:val="40"/>
      <w:szCs w:val="40"/>
    </w:rPr>
  </w:style>
  <w:style w:type="paragraph" w:styleId="Heading2">
    <w:name w:val="heading 2"/>
    <w:basedOn w:val="Normal"/>
    <w:next w:val="Normal"/>
    <w:link w:val="Heading2Char"/>
    <w:uiPriority w:val="9"/>
    <w:qFormat/>
    <w:rsid w:val="007B7D3A"/>
    <w:pPr>
      <w:keepNext/>
      <w:keepLines/>
      <w:spacing w:before="120" w:after="240"/>
      <w:outlineLvl w:val="1"/>
    </w:pPr>
    <w:rPr>
      <w:rFonts w:asciiTheme="majorHAnsi" w:eastAsiaTheme="majorEastAsia" w:hAnsiTheme="majorHAnsi" w:cstheme="majorBidi"/>
      <w:b/>
      <w:color w:val="7B5E05" w:themeColor="accent1"/>
      <w:sz w:val="32"/>
      <w:szCs w:val="32"/>
    </w:rPr>
  </w:style>
  <w:style w:type="paragraph" w:styleId="Heading3">
    <w:name w:val="heading 3"/>
    <w:basedOn w:val="Normal"/>
    <w:next w:val="Normal"/>
    <w:link w:val="Heading3Char"/>
    <w:uiPriority w:val="9"/>
    <w:qFormat/>
    <w:rsid w:val="007B7D3A"/>
    <w:pPr>
      <w:keepNext/>
      <w:keepLines/>
      <w:spacing w:before="40" w:after="240"/>
      <w:outlineLvl w:val="2"/>
    </w:pPr>
    <w:rPr>
      <w:rFonts w:asciiTheme="majorHAnsi" w:eastAsiaTheme="majorEastAsia" w:hAnsiTheme="majorHAnsi" w:cstheme="majorBidi"/>
      <w:b/>
      <w:color w:val="403151" w:themeColor="accent2"/>
      <w:sz w:val="28"/>
      <w:szCs w:val="24"/>
    </w:rPr>
  </w:style>
  <w:style w:type="paragraph" w:styleId="Heading4">
    <w:name w:val="heading 4"/>
    <w:basedOn w:val="Normal"/>
    <w:next w:val="Normal"/>
    <w:link w:val="Heading4Char"/>
    <w:uiPriority w:val="9"/>
    <w:qFormat/>
    <w:rsid w:val="007B7D3A"/>
    <w:pPr>
      <w:keepNext/>
      <w:keepLines/>
      <w:spacing w:before="240" w:after="240" w:line="240" w:lineRule="auto"/>
      <w:outlineLvl w:val="3"/>
    </w:pPr>
    <w:rPr>
      <w:rFonts w:asciiTheme="majorHAnsi" w:eastAsiaTheme="majorEastAsia" w:hAnsiTheme="majorHAnsi" w:cstheme="majorBidi"/>
      <w:b/>
      <w:iCs/>
      <w:color w:val="403152"/>
      <w:sz w:val="24"/>
    </w:rPr>
  </w:style>
  <w:style w:type="paragraph" w:styleId="Heading5">
    <w:name w:val="heading 5"/>
    <w:aliases w:val="Level 1 Numbered"/>
    <w:basedOn w:val="Normal"/>
    <w:next w:val="Normal"/>
    <w:link w:val="Heading5Char"/>
    <w:uiPriority w:val="9"/>
    <w:qFormat/>
    <w:rsid w:val="00BD4A8E"/>
    <w:pPr>
      <w:keepNext/>
      <w:keepLines/>
      <w:pageBreakBefore/>
      <w:numPr>
        <w:numId w:val="3"/>
      </w:numPr>
      <w:spacing w:before="360" w:after="240" w:line="240" w:lineRule="auto"/>
      <w:outlineLvl w:val="4"/>
    </w:pPr>
    <w:rPr>
      <w:rFonts w:eastAsiaTheme="majorEastAsia" w:cstheme="majorBidi"/>
      <w:b/>
      <w:color w:val="1B263C"/>
      <w:sz w:val="36"/>
    </w:rPr>
  </w:style>
  <w:style w:type="paragraph" w:styleId="Heading6">
    <w:name w:val="heading 6"/>
    <w:aliases w:val="Level 2 Numbered"/>
    <w:basedOn w:val="Normal"/>
    <w:next w:val="Normal"/>
    <w:link w:val="Heading6Char"/>
    <w:uiPriority w:val="9"/>
    <w:qFormat/>
    <w:rsid w:val="001912CA"/>
    <w:pPr>
      <w:keepNext/>
      <w:keepLines/>
      <w:numPr>
        <w:ilvl w:val="1"/>
        <w:numId w:val="3"/>
      </w:numPr>
      <w:spacing w:before="240" w:after="240" w:line="240" w:lineRule="auto"/>
      <w:outlineLvl w:val="5"/>
    </w:pPr>
    <w:rPr>
      <w:rFonts w:eastAsiaTheme="majorEastAsia" w:cstheme="majorBidi"/>
      <w:b/>
      <w:color w:val="374E7A"/>
    </w:rPr>
  </w:style>
  <w:style w:type="paragraph" w:styleId="Heading7">
    <w:name w:val="heading 7"/>
    <w:aliases w:val="Level 3 Numbered"/>
    <w:basedOn w:val="Normal"/>
    <w:next w:val="Normal"/>
    <w:link w:val="Heading7Char"/>
    <w:uiPriority w:val="9"/>
    <w:qFormat/>
    <w:rsid w:val="001912CA"/>
    <w:pPr>
      <w:keepNext/>
      <w:keepLines/>
      <w:numPr>
        <w:ilvl w:val="2"/>
        <w:numId w:val="3"/>
      </w:numPr>
      <w:spacing w:before="240"/>
      <w:outlineLvl w:val="6"/>
    </w:pPr>
    <w:rPr>
      <w:rFonts w:eastAsiaTheme="majorEastAsia" w:cstheme="majorBidi"/>
      <w:b/>
      <w:iCs/>
      <w:color w:val="374E7A"/>
    </w:rPr>
  </w:style>
  <w:style w:type="paragraph" w:styleId="Heading8">
    <w:name w:val="heading 8"/>
    <w:aliases w:val="Level 4 Numbered"/>
    <w:basedOn w:val="Heading2"/>
    <w:next w:val="Normal"/>
    <w:link w:val="Heading8Char"/>
    <w:uiPriority w:val="9"/>
    <w:qFormat/>
    <w:rsid w:val="007B7D3A"/>
    <w:pPr>
      <w:numPr>
        <w:ilvl w:val="3"/>
        <w:numId w:val="3"/>
      </w:numPr>
      <w:outlineLvl w:val="7"/>
    </w:pPr>
    <w:rPr>
      <w:color w:val="403152"/>
      <w:sz w:val="24"/>
    </w:rPr>
  </w:style>
  <w:style w:type="paragraph" w:styleId="Heading9">
    <w:name w:val="heading 9"/>
    <w:basedOn w:val="Normal"/>
    <w:next w:val="Normal"/>
    <w:link w:val="Heading9Char"/>
    <w:uiPriority w:val="9"/>
    <w:qFormat/>
    <w:rsid w:val="007B7D3A"/>
    <w:pPr>
      <w:keepNext/>
      <w:keepLines/>
      <w:pageBreakBefore/>
      <w:numPr>
        <w:ilvl w:val="8"/>
        <w:numId w:val="3"/>
      </w:numPr>
      <w:spacing w:before="40" w:after="0"/>
      <w:outlineLvl w:val="8"/>
    </w:pPr>
    <w:rPr>
      <w:rFonts w:asciiTheme="majorHAnsi" w:eastAsiaTheme="majorEastAsia" w:hAnsiTheme="majorHAnsi" w:cstheme="majorBidi"/>
      <w:b/>
      <w:iCs/>
      <w:color w:val="7B5E05" w:themeColor="accent1"/>
      <w:sz w:val="4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F02428"/>
    <w:pPr>
      <w:pBdr>
        <w:bottom w:val="single" w:sz="4" w:space="18" w:color="7B5E05" w:themeColor="accent1"/>
      </w:pBdr>
      <w:spacing w:before="2640" w:line="240" w:lineRule="auto"/>
      <w:contextualSpacing/>
    </w:pPr>
    <w:rPr>
      <w:rFonts w:asciiTheme="majorHAnsi" w:eastAsiaTheme="majorEastAsia" w:hAnsiTheme="majorHAnsi" w:cstheme="majorBidi"/>
      <w:color w:val="000000" w:themeColor="text1"/>
      <w:spacing w:val="-10"/>
      <w:kern w:val="28"/>
      <w:sz w:val="48"/>
      <w:szCs w:val="56"/>
    </w:rPr>
  </w:style>
  <w:style w:type="character" w:customStyle="1" w:styleId="TitleChar">
    <w:name w:val="Title Char"/>
    <w:basedOn w:val="DefaultParagraphFont"/>
    <w:link w:val="Title"/>
    <w:uiPriority w:val="99"/>
    <w:rsid w:val="005B0EB4"/>
    <w:rPr>
      <w:rFonts w:asciiTheme="majorHAnsi" w:eastAsiaTheme="majorEastAsia" w:hAnsiTheme="majorHAnsi" w:cstheme="majorBidi"/>
      <w:color w:val="000000" w:themeColor="text1"/>
      <w:spacing w:val="-10"/>
      <w:kern w:val="28"/>
      <w:sz w:val="48"/>
      <w:szCs w:val="56"/>
    </w:rPr>
  </w:style>
  <w:style w:type="paragraph" w:styleId="Subtitle">
    <w:name w:val="Subtitle"/>
    <w:basedOn w:val="Normal"/>
    <w:next w:val="Normal"/>
    <w:link w:val="SubtitleChar"/>
    <w:uiPriority w:val="99"/>
    <w:qFormat/>
    <w:rsid w:val="00F02428"/>
    <w:pPr>
      <w:numPr>
        <w:ilvl w:val="1"/>
      </w:numPr>
      <w:spacing w:before="360" w:after="840"/>
    </w:pPr>
    <w:rPr>
      <w:rFonts w:eastAsiaTheme="minorEastAsia"/>
      <w:color w:val="404040" w:themeColor="text1" w:themeTint="BF"/>
      <w:spacing w:val="15"/>
      <w:sz w:val="32"/>
    </w:rPr>
  </w:style>
  <w:style w:type="character" w:customStyle="1" w:styleId="SubtitleChar">
    <w:name w:val="Subtitle Char"/>
    <w:basedOn w:val="DefaultParagraphFont"/>
    <w:link w:val="Subtitle"/>
    <w:uiPriority w:val="99"/>
    <w:rsid w:val="005B0EB4"/>
    <w:rPr>
      <w:rFonts w:eastAsiaTheme="minorEastAsia"/>
      <w:color w:val="404040" w:themeColor="text1" w:themeTint="BF"/>
      <w:spacing w:val="15"/>
      <w:sz w:val="32"/>
    </w:rPr>
  </w:style>
  <w:style w:type="character" w:customStyle="1" w:styleId="Purple">
    <w:name w:val="Purple"/>
    <w:basedOn w:val="DefaultParagraphFont"/>
    <w:uiPriority w:val="99"/>
    <w:qFormat/>
    <w:rsid w:val="00C425F2"/>
    <w:rPr>
      <w:color w:val="403151" w:themeColor="accent2"/>
    </w:rPr>
  </w:style>
  <w:style w:type="character" w:customStyle="1" w:styleId="Heading1Char">
    <w:name w:val="Heading 1 Char"/>
    <w:basedOn w:val="DefaultParagraphFont"/>
    <w:link w:val="Heading1"/>
    <w:uiPriority w:val="9"/>
    <w:rsid w:val="00A659D0"/>
    <w:rPr>
      <w:rFonts w:asciiTheme="majorHAnsi" w:eastAsiaTheme="majorEastAsia" w:hAnsiTheme="majorHAnsi" w:cstheme="majorBidi"/>
      <w:b/>
      <w:noProof/>
      <w:color w:val="7B5E05" w:themeColor="accent1"/>
      <w:sz w:val="40"/>
      <w:szCs w:val="40"/>
    </w:rPr>
  </w:style>
  <w:style w:type="character" w:customStyle="1" w:styleId="Heading2Char">
    <w:name w:val="Heading 2 Char"/>
    <w:basedOn w:val="DefaultParagraphFont"/>
    <w:link w:val="Heading2"/>
    <w:uiPriority w:val="9"/>
    <w:rsid w:val="007B7D3A"/>
    <w:rPr>
      <w:rFonts w:asciiTheme="majorHAnsi" w:eastAsiaTheme="majorEastAsia" w:hAnsiTheme="majorHAnsi" w:cstheme="majorBidi"/>
      <w:b/>
      <w:color w:val="7B5E05" w:themeColor="accent1"/>
      <w:sz w:val="32"/>
      <w:szCs w:val="32"/>
    </w:rPr>
  </w:style>
  <w:style w:type="character" w:customStyle="1" w:styleId="Heading3Char">
    <w:name w:val="Heading 3 Char"/>
    <w:basedOn w:val="DefaultParagraphFont"/>
    <w:link w:val="Heading3"/>
    <w:uiPriority w:val="9"/>
    <w:rsid w:val="007B7D3A"/>
    <w:rPr>
      <w:rFonts w:asciiTheme="majorHAnsi" w:eastAsiaTheme="majorEastAsia" w:hAnsiTheme="majorHAnsi" w:cstheme="majorBidi"/>
      <w:b/>
      <w:color w:val="403151" w:themeColor="accent2"/>
      <w:sz w:val="28"/>
      <w:szCs w:val="24"/>
    </w:rPr>
  </w:style>
  <w:style w:type="character" w:customStyle="1" w:styleId="Heading4Char">
    <w:name w:val="Heading 4 Char"/>
    <w:basedOn w:val="DefaultParagraphFont"/>
    <w:link w:val="Heading4"/>
    <w:uiPriority w:val="9"/>
    <w:rsid w:val="007B7D3A"/>
    <w:rPr>
      <w:rFonts w:asciiTheme="majorHAnsi" w:eastAsiaTheme="majorEastAsia" w:hAnsiTheme="majorHAnsi" w:cstheme="majorBidi"/>
      <w:b/>
      <w:iCs/>
      <w:color w:val="403152"/>
      <w:sz w:val="24"/>
    </w:rPr>
  </w:style>
  <w:style w:type="character" w:customStyle="1" w:styleId="Heading5Char">
    <w:name w:val="Heading 5 Char"/>
    <w:aliases w:val="Level 1 Numbered Char"/>
    <w:basedOn w:val="DefaultParagraphFont"/>
    <w:link w:val="Heading5"/>
    <w:uiPriority w:val="9"/>
    <w:rsid w:val="00BD4A8E"/>
    <w:rPr>
      <w:rFonts w:ascii="Calibri" w:eastAsiaTheme="majorEastAsia" w:hAnsi="Calibri" w:cstheme="majorBidi"/>
      <w:b/>
      <w:color w:val="1B263C"/>
      <w:sz w:val="36"/>
    </w:rPr>
  </w:style>
  <w:style w:type="character" w:customStyle="1" w:styleId="Heading6Char">
    <w:name w:val="Heading 6 Char"/>
    <w:aliases w:val="Level 2 Numbered Char"/>
    <w:basedOn w:val="DefaultParagraphFont"/>
    <w:link w:val="Heading6"/>
    <w:uiPriority w:val="9"/>
    <w:rsid w:val="001912CA"/>
    <w:rPr>
      <w:rFonts w:ascii="Calibri" w:eastAsiaTheme="majorEastAsia" w:hAnsi="Calibri" w:cstheme="majorBidi"/>
      <w:b/>
      <w:color w:val="374E7A"/>
    </w:rPr>
  </w:style>
  <w:style w:type="character" w:customStyle="1" w:styleId="Heading7Char">
    <w:name w:val="Heading 7 Char"/>
    <w:aliases w:val="Level 3 Numbered Char"/>
    <w:basedOn w:val="DefaultParagraphFont"/>
    <w:link w:val="Heading7"/>
    <w:uiPriority w:val="9"/>
    <w:rsid w:val="001912CA"/>
    <w:rPr>
      <w:rFonts w:ascii="Calibri" w:eastAsiaTheme="majorEastAsia" w:hAnsi="Calibri" w:cstheme="majorBidi"/>
      <w:b/>
      <w:iCs/>
      <w:color w:val="374E7A"/>
    </w:rPr>
  </w:style>
  <w:style w:type="character" w:customStyle="1" w:styleId="Heading8Char">
    <w:name w:val="Heading 8 Char"/>
    <w:aliases w:val="Level 4 Numbered Char"/>
    <w:basedOn w:val="DefaultParagraphFont"/>
    <w:link w:val="Heading8"/>
    <w:uiPriority w:val="9"/>
    <w:rsid w:val="007B7D3A"/>
    <w:rPr>
      <w:rFonts w:asciiTheme="majorHAnsi" w:eastAsiaTheme="majorEastAsia" w:hAnsiTheme="majorHAnsi" w:cstheme="majorBidi"/>
      <w:b/>
      <w:color w:val="403152"/>
      <w:sz w:val="24"/>
      <w:szCs w:val="32"/>
    </w:rPr>
  </w:style>
  <w:style w:type="character" w:customStyle="1" w:styleId="Heading9Char">
    <w:name w:val="Heading 9 Char"/>
    <w:basedOn w:val="DefaultParagraphFont"/>
    <w:link w:val="Heading9"/>
    <w:uiPriority w:val="9"/>
    <w:rsid w:val="007B7D3A"/>
    <w:rPr>
      <w:rFonts w:asciiTheme="majorHAnsi" w:eastAsiaTheme="majorEastAsia" w:hAnsiTheme="majorHAnsi" w:cstheme="majorBidi"/>
      <w:b/>
      <w:iCs/>
      <w:color w:val="7B5E05" w:themeColor="accent1"/>
      <w:sz w:val="40"/>
      <w:szCs w:val="21"/>
    </w:rPr>
  </w:style>
  <w:style w:type="paragraph" w:styleId="ListNumber">
    <w:name w:val="List Number"/>
    <w:basedOn w:val="Normal"/>
    <w:uiPriority w:val="1"/>
    <w:rsid w:val="00A659D0"/>
    <w:pPr>
      <w:numPr>
        <w:numId w:val="2"/>
      </w:numPr>
      <w:spacing w:after="240" w:line="240" w:lineRule="auto"/>
    </w:pPr>
  </w:style>
  <w:style w:type="paragraph" w:styleId="ListBullet">
    <w:name w:val="List Bullet"/>
    <w:basedOn w:val="Normal"/>
    <w:uiPriority w:val="2"/>
    <w:rsid w:val="00A659D0"/>
    <w:pPr>
      <w:spacing w:after="40"/>
      <w:ind w:left="992" w:hanging="425"/>
    </w:pPr>
  </w:style>
  <w:style w:type="paragraph" w:styleId="Quote">
    <w:name w:val="Quote"/>
    <w:next w:val="Normal"/>
    <w:link w:val="QuoteChar"/>
    <w:uiPriority w:val="31"/>
    <w:qFormat/>
    <w:rsid w:val="00DE7098"/>
    <w:pPr>
      <w:spacing w:after="240" w:line="240" w:lineRule="auto"/>
      <w:ind w:left="567" w:right="510"/>
    </w:pPr>
    <w:rPr>
      <w:iCs/>
      <w:color w:val="595959" w:themeColor="text1" w:themeTint="A6"/>
      <w:sz w:val="20"/>
    </w:rPr>
  </w:style>
  <w:style w:type="character" w:customStyle="1" w:styleId="QuoteChar">
    <w:name w:val="Quote Char"/>
    <w:basedOn w:val="DefaultParagraphFont"/>
    <w:link w:val="Quote"/>
    <w:uiPriority w:val="31"/>
    <w:rsid w:val="00532EAC"/>
    <w:rPr>
      <w:iCs/>
      <w:color w:val="595959" w:themeColor="text1" w:themeTint="A6"/>
      <w:sz w:val="20"/>
    </w:rPr>
  </w:style>
  <w:style w:type="paragraph" w:customStyle="1" w:styleId="OutlineBox">
    <w:name w:val="Outline Box"/>
    <w:basedOn w:val="Normal"/>
    <w:uiPriority w:val="13"/>
    <w:qFormat/>
    <w:rsid w:val="00A659D0"/>
    <w:pPr>
      <w:pBdr>
        <w:top w:val="single" w:sz="4" w:space="12" w:color="7B5E05" w:themeColor="accent1"/>
        <w:left w:val="single" w:sz="4" w:space="10" w:color="7B5E05" w:themeColor="accent1"/>
        <w:bottom w:val="single" w:sz="4" w:space="12" w:color="7B5E05" w:themeColor="accent1"/>
        <w:right w:val="single" w:sz="4" w:space="4" w:color="7B5E05" w:themeColor="accent1"/>
      </w:pBdr>
      <w:spacing w:after="0" w:line="240" w:lineRule="auto"/>
      <w:ind w:left="805" w:right="805"/>
    </w:pPr>
  </w:style>
  <w:style w:type="paragraph" w:customStyle="1" w:styleId="OutlineBoxBullets">
    <w:name w:val="Outline Box Bullets"/>
    <w:basedOn w:val="OutlineBox"/>
    <w:uiPriority w:val="13"/>
    <w:qFormat/>
    <w:rsid w:val="00CD771B"/>
    <w:pPr>
      <w:numPr>
        <w:ilvl w:val="2"/>
        <w:numId w:val="1"/>
      </w:numPr>
    </w:pPr>
  </w:style>
  <w:style w:type="character" w:styleId="Strong">
    <w:name w:val="Strong"/>
    <w:basedOn w:val="DefaultParagraphFont"/>
    <w:qFormat/>
    <w:rsid w:val="00573BB0"/>
    <w:rPr>
      <w:b/>
      <w:bCs/>
    </w:rPr>
  </w:style>
  <w:style w:type="table" w:styleId="TableGrid">
    <w:name w:val="Table Grid"/>
    <w:basedOn w:val="TableNormal"/>
    <w:uiPriority w:val="59"/>
    <w:rsid w:val="004F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apereTable">
    <w:name w:val="Sapere Table"/>
    <w:basedOn w:val="TableNormal"/>
    <w:uiPriority w:val="99"/>
    <w:rsid w:val="0065008B"/>
    <w:pPr>
      <w:spacing w:after="0" w:line="240" w:lineRule="auto"/>
    </w:pPr>
    <w:tblPr>
      <w:tblBorders>
        <w:top w:val="single" w:sz="4" w:space="0" w:color="7B5E05" w:themeColor="accent1"/>
        <w:bottom w:val="single" w:sz="4" w:space="0" w:color="7B5E05" w:themeColor="accent1"/>
        <w:insideH w:val="single" w:sz="4" w:space="0" w:color="7B5E05" w:themeColor="accent1"/>
        <w:insideV w:val="single" w:sz="4" w:space="0" w:color="7B5E05" w:themeColor="accent1"/>
      </w:tblBorders>
      <w:tblCellMar>
        <w:top w:w="28" w:type="dxa"/>
        <w:bottom w:w="28" w:type="dxa"/>
      </w:tblCellMar>
    </w:tblPr>
    <w:tblStylePr w:type="firstRow">
      <w:rPr>
        <w:b/>
        <w:color w:val="7B5E05" w:themeColor="accent1"/>
      </w:rPr>
    </w:tblStylePr>
    <w:tblStylePr w:type="lastRow">
      <w:rPr>
        <w:b/>
      </w:rPr>
      <w:tblPr/>
      <w:tcPr>
        <w:tcBorders>
          <w:top w:val="single" w:sz="18" w:space="0" w:color="7B5E05" w:themeColor="accent1"/>
        </w:tcBorders>
      </w:tcPr>
    </w:tblStylePr>
    <w:tblStylePr w:type="firstCol">
      <w:rPr>
        <w:b/>
        <w:color w:val="7B5E05" w:themeColor="accent1"/>
      </w:rPr>
    </w:tblStylePr>
  </w:style>
  <w:style w:type="paragraph" w:customStyle="1" w:styleId="TableTopRowHeading">
    <w:name w:val="Table Top Row Heading"/>
    <w:basedOn w:val="Normal"/>
    <w:uiPriority w:val="9"/>
    <w:qFormat/>
    <w:rsid w:val="004F6B2D"/>
    <w:pPr>
      <w:spacing w:after="0" w:line="240" w:lineRule="auto"/>
    </w:pPr>
    <w:rPr>
      <w:b/>
      <w:color w:val="7B5E05" w:themeColor="accent1"/>
    </w:rPr>
  </w:style>
  <w:style w:type="paragraph" w:styleId="Header">
    <w:name w:val="header"/>
    <w:basedOn w:val="Normal"/>
    <w:link w:val="HeaderChar"/>
    <w:uiPriority w:val="99"/>
    <w:unhideWhenUsed/>
    <w:rsid w:val="00476995"/>
    <w:pPr>
      <w:tabs>
        <w:tab w:val="center" w:pos="4513"/>
        <w:tab w:val="right" w:pos="9026"/>
      </w:tabs>
      <w:spacing w:after="1080" w:line="240" w:lineRule="auto"/>
      <w:ind w:right="3402"/>
    </w:pPr>
    <w:rPr>
      <w:caps/>
      <w:color w:val="6C6C6C" w:themeColor="accent3" w:themeShade="80"/>
    </w:rPr>
  </w:style>
  <w:style w:type="character" w:customStyle="1" w:styleId="HeaderChar">
    <w:name w:val="Header Char"/>
    <w:basedOn w:val="DefaultParagraphFont"/>
    <w:link w:val="Header"/>
    <w:uiPriority w:val="99"/>
    <w:rsid w:val="00476995"/>
    <w:rPr>
      <w:caps/>
      <w:color w:val="6C6C6C" w:themeColor="accent3" w:themeShade="80"/>
      <w:sz w:val="20"/>
    </w:rPr>
  </w:style>
  <w:style w:type="paragraph" w:styleId="Footer">
    <w:name w:val="footer"/>
    <w:basedOn w:val="Normal"/>
    <w:link w:val="FooterChar"/>
    <w:uiPriority w:val="99"/>
    <w:unhideWhenUsed/>
    <w:rsid w:val="00A659D0"/>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A659D0"/>
    <w:rPr>
      <w:noProof/>
      <w:sz w:val="18"/>
    </w:rPr>
  </w:style>
  <w:style w:type="paragraph" w:customStyle="1" w:styleId="CalloutHeading">
    <w:name w:val="Callout Heading"/>
    <w:basedOn w:val="Normal"/>
    <w:next w:val="CalloutText"/>
    <w:uiPriority w:val="13"/>
    <w:qFormat/>
    <w:rsid w:val="00A659D0"/>
    <w:pPr>
      <w:spacing w:after="60"/>
    </w:pPr>
    <w:rPr>
      <w:b/>
      <w:color w:val="000000" w:themeColor="text1"/>
      <w:lang w:val="en-US"/>
    </w:rPr>
  </w:style>
  <w:style w:type="paragraph" w:customStyle="1" w:styleId="CalloutText">
    <w:name w:val="Callout Text"/>
    <w:basedOn w:val="CalloutHeading"/>
    <w:uiPriority w:val="13"/>
    <w:qFormat/>
    <w:rsid w:val="00BE6A04"/>
    <w:rPr>
      <w:b w:val="0"/>
    </w:rPr>
  </w:style>
  <w:style w:type="paragraph" w:styleId="TOC1">
    <w:name w:val="toc 1"/>
    <w:basedOn w:val="Normal"/>
    <w:next w:val="Normal"/>
    <w:autoRedefine/>
    <w:uiPriority w:val="39"/>
    <w:rsid w:val="007F2115"/>
    <w:pPr>
      <w:tabs>
        <w:tab w:val="left" w:pos="709"/>
        <w:tab w:val="right" w:leader="dot" w:pos="9016"/>
      </w:tabs>
      <w:spacing w:after="60" w:line="240" w:lineRule="auto"/>
    </w:pPr>
  </w:style>
  <w:style w:type="paragraph" w:styleId="TOC2">
    <w:name w:val="toc 2"/>
    <w:basedOn w:val="Normal"/>
    <w:next w:val="Normal"/>
    <w:autoRedefine/>
    <w:uiPriority w:val="39"/>
    <w:rsid w:val="00A659D0"/>
    <w:pPr>
      <w:tabs>
        <w:tab w:val="right" w:leader="dot" w:pos="9016"/>
      </w:tabs>
      <w:spacing w:line="240" w:lineRule="auto"/>
      <w:ind w:left="425" w:hanging="425"/>
    </w:pPr>
  </w:style>
  <w:style w:type="character" w:styleId="Hyperlink">
    <w:name w:val="Hyperlink"/>
    <w:basedOn w:val="DefaultParagraphFont"/>
    <w:uiPriority w:val="99"/>
    <w:unhideWhenUsed/>
    <w:rsid w:val="002C727E"/>
    <w:rPr>
      <w:color w:val="7B5E05" w:themeColor="hyperlink"/>
      <w:u w:val="single"/>
    </w:rPr>
  </w:style>
  <w:style w:type="paragraph" w:styleId="TOCHeading">
    <w:name w:val="TOC Heading"/>
    <w:basedOn w:val="Normal"/>
    <w:next w:val="Normal"/>
    <w:uiPriority w:val="39"/>
    <w:qFormat/>
    <w:rsid w:val="0056113C"/>
    <w:pPr>
      <w:spacing w:before="480" w:after="60"/>
    </w:pPr>
    <w:rPr>
      <w:b/>
      <w:color w:val="7B5E05" w:themeColor="accent1"/>
      <w:sz w:val="24"/>
    </w:rPr>
  </w:style>
  <w:style w:type="paragraph" w:styleId="TOC3">
    <w:name w:val="toc 3"/>
    <w:basedOn w:val="Normal"/>
    <w:next w:val="Normal"/>
    <w:autoRedefine/>
    <w:uiPriority w:val="39"/>
    <w:rsid w:val="00F67F38"/>
    <w:pPr>
      <w:tabs>
        <w:tab w:val="left" w:pos="1276"/>
        <w:tab w:val="right" w:leader="dot" w:pos="9016"/>
      </w:tabs>
      <w:spacing w:after="60" w:line="240" w:lineRule="auto"/>
      <w:ind w:left="1276" w:hanging="425"/>
    </w:pPr>
  </w:style>
  <w:style w:type="paragraph" w:styleId="TableofFigures">
    <w:name w:val="table of figures"/>
    <w:basedOn w:val="Normal"/>
    <w:next w:val="Normal"/>
    <w:uiPriority w:val="99"/>
    <w:rsid w:val="00760098"/>
    <w:pPr>
      <w:spacing w:after="0"/>
    </w:pPr>
  </w:style>
  <w:style w:type="table" w:customStyle="1" w:styleId="zGlossaryTable">
    <w:name w:val="zGlossary Table"/>
    <w:basedOn w:val="TableNormal"/>
    <w:uiPriority w:val="99"/>
    <w:rsid w:val="009757C5"/>
    <w:pPr>
      <w:spacing w:after="0" w:line="240" w:lineRule="auto"/>
    </w:pPr>
    <w:rPr>
      <w:sz w:val="20"/>
    </w:rPr>
    <w:tblPr>
      <w:tblCellMar>
        <w:top w:w="57" w:type="dxa"/>
        <w:left w:w="0" w:type="dxa"/>
        <w:bottom w:w="57" w:type="dxa"/>
        <w:right w:w="0" w:type="dxa"/>
      </w:tblCellMar>
    </w:tblPr>
    <w:tcPr>
      <w:vAlign w:val="center"/>
    </w:tcPr>
    <w:tblStylePr w:type="firstRow">
      <w:rPr>
        <w:b/>
      </w:rPr>
    </w:tblStylePr>
  </w:style>
  <w:style w:type="paragraph" w:customStyle="1" w:styleId="TableTitle">
    <w:name w:val="Table Title"/>
    <w:basedOn w:val="TableofFigures"/>
    <w:uiPriority w:val="11"/>
    <w:semiHidden/>
    <w:qFormat/>
    <w:rsid w:val="00A212AE"/>
    <w:pPr>
      <w:spacing w:after="240"/>
    </w:pPr>
    <w:rPr>
      <w:b/>
      <w:color w:val="000000" w:themeColor="text1"/>
    </w:rPr>
  </w:style>
  <w:style w:type="table" w:customStyle="1" w:styleId="GreyTable">
    <w:name w:val="Grey Table"/>
    <w:basedOn w:val="TableNormal"/>
    <w:uiPriority w:val="99"/>
    <w:rsid w:val="0065008B"/>
    <w:pPr>
      <w:spacing w:after="0" w:line="240" w:lineRule="auto"/>
    </w:pPr>
    <w:tblPr>
      <w:jc w:val="center"/>
      <w:tblCellMar>
        <w:top w:w="113" w:type="dxa"/>
        <w:left w:w="85" w:type="dxa"/>
        <w:bottom w:w="113" w:type="dxa"/>
        <w:right w:w="85" w:type="dxa"/>
      </w:tblCellMar>
    </w:tblPr>
    <w:trPr>
      <w:jc w:val="center"/>
    </w:trPr>
    <w:tcPr>
      <w:shd w:val="clear" w:color="auto" w:fill="D9D9D9" w:themeFill="accent3"/>
    </w:tcPr>
  </w:style>
  <w:style w:type="paragraph" w:customStyle="1" w:styleId="TableText">
    <w:name w:val="Table Text"/>
    <w:basedOn w:val="Normal"/>
    <w:uiPriority w:val="10"/>
    <w:qFormat/>
    <w:rsid w:val="007160C6"/>
    <w:pPr>
      <w:spacing w:after="0" w:line="240" w:lineRule="auto"/>
    </w:pPr>
  </w:style>
  <w:style w:type="paragraph" w:customStyle="1" w:styleId="Source">
    <w:name w:val="Source"/>
    <w:basedOn w:val="Normal"/>
    <w:next w:val="Normal"/>
    <w:uiPriority w:val="38"/>
    <w:qFormat/>
    <w:rsid w:val="003C167F"/>
    <w:pPr>
      <w:spacing w:after="240"/>
    </w:pPr>
    <w:rPr>
      <w:iCs/>
      <w:color w:val="000000" w:themeColor="text1"/>
      <w:sz w:val="16"/>
      <w:szCs w:val="16"/>
    </w:rPr>
  </w:style>
  <w:style w:type="table" w:customStyle="1" w:styleId="zEndPageTable">
    <w:name w:val="zEnd Page Table"/>
    <w:basedOn w:val="TableNormal"/>
    <w:uiPriority w:val="99"/>
    <w:rsid w:val="00136121"/>
    <w:pPr>
      <w:spacing w:after="0" w:line="240" w:lineRule="auto"/>
    </w:pPr>
    <w:tblPr>
      <w:tblBorders>
        <w:insideH w:val="single" w:sz="4" w:space="0" w:color="7B5E05" w:themeColor="accent1"/>
        <w:insideV w:val="single" w:sz="4" w:space="0" w:color="7B5E05" w:themeColor="accent1"/>
      </w:tblBorders>
    </w:tblPr>
  </w:style>
  <w:style w:type="paragraph" w:customStyle="1" w:styleId="Gap">
    <w:name w:val="Gap"/>
    <w:basedOn w:val="Normal"/>
    <w:semiHidden/>
    <w:qFormat/>
    <w:rsid w:val="00671F44"/>
    <w:pPr>
      <w:spacing w:after="1080"/>
    </w:pPr>
    <w:rPr>
      <w:lang w:eastAsia="en-NZ"/>
    </w:rPr>
  </w:style>
  <w:style w:type="paragraph" w:styleId="TOAHeading">
    <w:name w:val="toa heading"/>
    <w:basedOn w:val="Normal"/>
    <w:next w:val="Normal"/>
    <w:uiPriority w:val="99"/>
    <w:semiHidden/>
    <w:unhideWhenUsed/>
    <w:rsid w:val="00671F44"/>
    <w:pPr>
      <w:spacing w:before="120"/>
    </w:pPr>
    <w:rPr>
      <w:rFonts w:asciiTheme="majorHAnsi" w:eastAsiaTheme="majorEastAsia" w:hAnsiTheme="majorHAnsi" w:cstheme="majorBidi"/>
      <w:b/>
      <w:bCs/>
      <w:sz w:val="24"/>
      <w:szCs w:val="24"/>
    </w:rPr>
  </w:style>
  <w:style w:type="paragraph" w:styleId="ListParagraph">
    <w:name w:val="List Paragraph"/>
    <w:basedOn w:val="Normal"/>
    <w:uiPriority w:val="34"/>
    <w:qFormat/>
    <w:rsid w:val="00636428"/>
    <w:pPr>
      <w:ind w:left="720"/>
      <w:contextualSpacing/>
    </w:pPr>
  </w:style>
  <w:style w:type="paragraph" w:styleId="TOC4">
    <w:name w:val="toc 4"/>
    <w:basedOn w:val="Normal"/>
    <w:next w:val="Normal"/>
    <w:autoRedefine/>
    <w:uiPriority w:val="39"/>
    <w:rsid w:val="004E428D"/>
    <w:pPr>
      <w:tabs>
        <w:tab w:val="right" w:leader="dot" w:pos="9016"/>
      </w:tabs>
      <w:spacing w:after="240" w:line="240" w:lineRule="auto"/>
      <w:ind w:left="1588" w:hanging="567"/>
      <w:contextualSpacing/>
    </w:pPr>
  </w:style>
  <w:style w:type="table" w:customStyle="1" w:styleId="zBlank">
    <w:name w:val="zBlank"/>
    <w:basedOn w:val="TableNormal"/>
    <w:uiPriority w:val="99"/>
    <w:rsid w:val="00566167"/>
    <w:pPr>
      <w:spacing w:after="0" w:line="240" w:lineRule="auto"/>
    </w:pPr>
    <w:tblPr>
      <w:tblCellMar>
        <w:left w:w="0" w:type="dxa"/>
        <w:right w:w="0" w:type="dxa"/>
      </w:tblCellMar>
    </w:tblPr>
  </w:style>
  <w:style w:type="table" w:customStyle="1" w:styleId="zStyle1">
    <w:name w:val="zStyle1"/>
    <w:basedOn w:val="TableNormal"/>
    <w:uiPriority w:val="99"/>
    <w:rsid w:val="002C1220"/>
    <w:pPr>
      <w:spacing w:after="0" w:line="240" w:lineRule="auto"/>
    </w:pPr>
    <w:rPr>
      <w:sz w:val="16"/>
    </w:rPr>
    <w:tblPr>
      <w:tblBorders>
        <w:insideV w:val="single" w:sz="4" w:space="0" w:color="000000" w:themeColor="text1"/>
      </w:tblBorders>
    </w:tblPr>
    <w:tblStylePr w:type="firstRow">
      <w:rPr>
        <w:b/>
      </w:rPr>
    </w:tblStylePr>
  </w:style>
  <w:style w:type="paragraph" w:styleId="IntenseQuote">
    <w:name w:val="Intense Quote"/>
    <w:basedOn w:val="Normal"/>
    <w:next w:val="Normal"/>
    <w:link w:val="IntenseQuoteChar"/>
    <w:uiPriority w:val="30"/>
    <w:semiHidden/>
    <w:qFormat/>
    <w:rsid w:val="002C1220"/>
    <w:pPr>
      <w:spacing w:before="840"/>
      <w:jc w:val="center"/>
    </w:pPr>
    <w:rPr>
      <w:sz w:val="32"/>
      <w:szCs w:val="32"/>
    </w:rPr>
  </w:style>
  <w:style w:type="character" w:customStyle="1" w:styleId="IntenseQuoteChar">
    <w:name w:val="Intense Quote Char"/>
    <w:basedOn w:val="DefaultParagraphFont"/>
    <w:link w:val="IntenseQuote"/>
    <w:uiPriority w:val="30"/>
    <w:semiHidden/>
    <w:rsid w:val="002C1220"/>
    <w:rPr>
      <w:sz w:val="32"/>
      <w:szCs w:val="32"/>
    </w:rPr>
  </w:style>
  <w:style w:type="paragraph" w:customStyle="1" w:styleId="Draftingnote">
    <w:name w:val="Drafting note"/>
    <w:basedOn w:val="Normal"/>
    <w:next w:val="Normal"/>
    <w:semiHidden/>
    <w:qFormat/>
    <w:rsid w:val="00074940"/>
    <w:rPr>
      <w:i/>
      <w:color w:val="E36C0A" w:themeColor="accent6"/>
    </w:rPr>
  </w:style>
  <w:style w:type="paragraph" w:styleId="FootnoteText">
    <w:name w:val="footnote text"/>
    <w:aliases w:val="F1,ft"/>
    <w:basedOn w:val="Normal"/>
    <w:link w:val="FootnoteTextChar"/>
    <w:rsid w:val="00A659D0"/>
    <w:pPr>
      <w:spacing w:after="0" w:line="240" w:lineRule="auto"/>
      <w:ind w:left="113" w:hanging="113"/>
    </w:pPr>
    <w:rPr>
      <w:sz w:val="18"/>
      <w:szCs w:val="20"/>
    </w:rPr>
  </w:style>
  <w:style w:type="character" w:customStyle="1" w:styleId="FootnoteTextChar">
    <w:name w:val="Footnote Text Char"/>
    <w:aliases w:val="F1 Char,ft Char"/>
    <w:basedOn w:val="DefaultParagraphFont"/>
    <w:link w:val="FootnoteText"/>
    <w:rsid w:val="00A659D0"/>
    <w:rPr>
      <w:noProof/>
      <w:sz w:val="18"/>
      <w:szCs w:val="20"/>
    </w:rPr>
  </w:style>
  <w:style w:type="table" w:customStyle="1" w:styleId="ValuationTable">
    <w:name w:val="Valuation Table"/>
    <w:basedOn w:val="TableNormal"/>
    <w:uiPriority w:val="99"/>
    <w:rsid w:val="007B7D3A"/>
    <w:pPr>
      <w:spacing w:after="0" w:line="240" w:lineRule="auto"/>
    </w:pPr>
    <w:tblPr>
      <w:tblBorders>
        <w:bottom w:val="single" w:sz="4" w:space="0" w:color="000000" w:themeColor="text1"/>
      </w:tblBorders>
      <w:tblCellMar>
        <w:left w:w="0" w:type="dxa"/>
        <w:right w:w="0" w:type="dxa"/>
      </w:tblCellMar>
    </w:tblPr>
    <w:tcPr>
      <w:shd w:val="clear" w:color="auto" w:fill="E8E4DC"/>
    </w:tcPr>
    <w:tblStylePr w:type="firstRow">
      <w:rPr>
        <w:rFonts w:asciiTheme="minorHAnsi" w:hAnsiTheme="minorHAnsi"/>
        <w:b w:val="0"/>
        <w:color w:val="EEECE1" w:themeColor="background2"/>
        <w:sz w:val="20"/>
      </w:rPr>
      <w:tblPr/>
      <w:tcPr>
        <w:tcBorders>
          <w:top w:val="nil"/>
          <w:left w:val="nil"/>
          <w:bottom w:val="nil"/>
          <w:right w:val="nil"/>
          <w:insideH w:val="nil"/>
          <w:insideV w:val="nil"/>
        </w:tcBorders>
        <w:shd w:val="clear" w:color="auto" w:fill="7B5E05" w:themeFill="accent1"/>
      </w:tcPr>
    </w:tblStylePr>
  </w:style>
  <w:style w:type="paragraph" w:styleId="ListNumber2">
    <w:name w:val="List Number 2"/>
    <w:basedOn w:val="Normal"/>
    <w:uiPriority w:val="1"/>
    <w:rsid w:val="00A659D0"/>
    <w:pPr>
      <w:numPr>
        <w:ilvl w:val="1"/>
        <w:numId w:val="2"/>
      </w:numPr>
      <w:spacing w:after="60"/>
      <w:contextualSpacing/>
    </w:pPr>
  </w:style>
  <w:style w:type="paragraph" w:styleId="ListNumber3">
    <w:name w:val="List Number 3"/>
    <w:basedOn w:val="Normal"/>
    <w:uiPriority w:val="1"/>
    <w:rsid w:val="00A659D0"/>
    <w:pPr>
      <w:numPr>
        <w:ilvl w:val="2"/>
        <w:numId w:val="2"/>
      </w:numPr>
      <w:spacing w:after="60"/>
      <w:contextualSpacing/>
    </w:pPr>
  </w:style>
  <w:style w:type="paragraph" w:styleId="ListNumber4">
    <w:name w:val="List Number 4"/>
    <w:basedOn w:val="Normal"/>
    <w:uiPriority w:val="1"/>
    <w:rsid w:val="00A659D0"/>
    <w:pPr>
      <w:numPr>
        <w:ilvl w:val="3"/>
        <w:numId w:val="2"/>
      </w:numPr>
      <w:spacing w:after="60"/>
      <w:contextualSpacing/>
    </w:pPr>
  </w:style>
  <w:style w:type="paragraph" w:styleId="ListNumber5">
    <w:name w:val="List Number 5"/>
    <w:basedOn w:val="Normal"/>
    <w:uiPriority w:val="1"/>
    <w:rsid w:val="00A659D0"/>
    <w:pPr>
      <w:numPr>
        <w:ilvl w:val="4"/>
        <w:numId w:val="2"/>
      </w:numPr>
      <w:spacing w:after="60"/>
      <w:ind w:left="1798" w:hanging="335"/>
      <w:contextualSpacing/>
    </w:pPr>
  </w:style>
  <w:style w:type="paragraph" w:customStyle="1" w:styleId="Quote2">
    <w:name w:val="Quote 2"/>
    <w:uiPriority w:val="31"/>
    <w:qFormat/>
    <w:rsid w:val="00D01DD1"/>
    <w:pPr>
      <w:spacing w:before="60" w:after="120" w:line="276" w:lineRule="auto"/>
      <w:ind w:left="720"/>
    </w:pPr>
    <w:rPr>
      <w:rFonts w:ascii="Calibri" w:hAnsi="Calibri"/>
      <w:i/>
      <w:iCs/>
      <w:color w:val="8B70A9" w:themeColor="accent2" w:themeTint="99"/>
      <w:sz w:val="20"/>
    </w:rPr>
  </w:style>
  <w:style w:type="character" w:styleId="FootnoteReference">
    <w:name w:val="footnote reference"/>
    <w:aliases w:val="fr"/>
    <w:basedOn w:val="DefaultParagraphFont"/>
    <w:unhideWhenUsed/>
    <w:rsid w:val="00C130EF"/>
    <w:rPr>
      <w:vertAlign w:val="superscript"/>
    </w:rPr>
  </w:style>
  <w:style w:type="paragraph" w:styleId="ListBullet2">
    <w:name w:val="List Bullet 2"/>
    <w:basedOn w:val="Normal"/>
    <w:uiPriority w:val="2"/>
    <w:rsid w:val="00A659D0"/>
    <w:pPr>
      <w:numPr>
        <w:ilvl w:val="1"/>
        <w:numId w:val="1"/>
      </w:numPr>
      <w:spacing w:after="40"/>
    </w:pPr>
  </w:style>
  <w:style w:type="paragraph" w:customStyle="1" w:styleId="OutlineBoxQuote">
    <w:name w:val="Outline Box Quote"/>
    <w:basedOn w:val="Quote"/>
    <w:uiPriority w:val="13"/>
    <w:qFormat/>
    <w:rsid w:val="00B36931"/>
    <w:pPr>
      <w:pBdr>
        <w:top w:val="single" w:sz="4" w:space="12" w:color="7B5E05" w:themeColor="accent1"/>
        <w:left w:val="single" w:sz="4" w:space="10" w:color="7B5E05" w:themeColor="accent1"/>
        <w:bottom w:val="single" w:sz="4" w:space="12" w:color="7B5E05" w:themeColor="accent1"/>
        <w:right w:val="single" w:sz="4" w:space="4" w:color="7B5E05" w:themeColor="accent1"/>
      </w:pBdr>
      <w:spacing w:before="240"/>
      <w:ind w:left="805" w:right="805"/>
    </w:pPr>
  </w:style>
  <w:style w:type="numbering" w:customStyle="1" w:styleId="Captions">
    <w:name w:val="Captions"/>
    <w:uiPriority w:val="99"/>
    <w:rsid w:val="0032475A"/>
    <w:pPr>
      <w:numPr>
        <w:numId w:val="4"/>
      </w:numPr>
    </w:pPr>
  </w:style>
  <w:style w:type="paragraph" w:customStyle="1" w:styleId="FigureCaption">
    <w:name w:val="Figure Caption"/>
    <w:basedOn w:val="Normal"/>
    <w:next w:val="Normal"/>
    <w:uiPriority w:val="37"/>
    <w:semiHidden/>
    <w:qFormat/>
    <w:rsid w:val="00B74F96"/>
    <w:pPr>
      <w:keepNext/>
      <w:spacing w:before="120" w:after="60"/>
    </w:pPr>
    <w:rPr>
      <w:iCs/>
      <w:color w:val="404040" w:themeColor="text2" w:themeTint="BF"/>
      <w:sz w:val="18"/>
      <w:szCs w:val="20"/>
    </w:rPr>
  </w:style>
  <w:style w:type="paragraph" w:customStyle="1" w:styleId="TableCaption">
    <w:name w:val="Table Caption"/>
    <w:basedOn w:val="FigureCaption"/>
    <w:next w:val="Normal"/>
    <w:uiPriority w:val="37"/>
    <w:semiHidden/>
    <w:qFormat/>
    <w:rsid w:val="000D6BA7"/>
  </w:style>
  <w:style w:type="paragraph" w:styleId="TOC5">
    <w:name w:val="toc 5"/>
    <w:basedOn w:val="Normal"/>
    <w:next w:val="Normal"/>
    <w:autoRedefine/>
    <w:uiPriority w:val="39"/>
    <w:rsid w:val="00A659D0"/>
    <w:pPr>
      <w:tabs>
        <w:tab w:val="left" w:pos="851"/>
        <w:tab w:val="right" w:leader="dot" w:pos="9016"/>
      </w:tabs>
      <w:spacing w:after="100"/>
    </w:pPr>
  </w:style>
  <w:style w:type="paragraph" w:customStyle="1" w:styleId="AppendixHeading2">
    <w:name w:val="Appendix Heading 2"/>
    <w:basedOn w:val="Heading2"/>
    <w:next w:val="Normal"/>
    <w:uiPriority w:val="10"/>
    <w:qFormat/>
    <w:rsid w:val="0009727C"/>
  </w:style>
  <w:style w:type="paragraph" w:customStyle="1" w:styleId="AppendixHeading3">
    <w:name w:val="Appendix Heading 3"/>
    <w:basedOn w:val="Heading3"/>
    <w:next w:val="Normal"/>
    <w:uiPriority w:val="10"/>
    <w:qFormat/>
    <w:rsid w:val="00532EAC"/>
  </w:style>
  <w:style w:type="paragraph" w:customStyle="1" w:styleId="AppendixHeading4">
    <w:name w:val="Appendix Heading 4"/>
    <w:basedOn w:val="Heading4"/>
    <w:next w:val="Normal"/>
    <w:uiPriority w:val="10"/>
    <w:qFormat/>
    <w:rsid w:val="00532EAC"/>
  </w:style>
  <w:style w:type="paragraph" w:styleId="Caption">
    <w:name w:val="caption"/>
    <w:basedOn w:val="FigureCaption"/>
    <w:next w:val="Normal"/>
    <w:uiPriority w:val="35"/>
    <w:qFormat/>
    <w:rsid w:val="00B74F96"/>
  </w:style>
  <w:style w:type="paragraph" w:styleId="BalloonText">
    <w:name w:val="Balloon Text"/>
    <w:basedOn w:val="Normal"/>
    <w:link w:val="BalloonTextChar"/>
    <w:uiPriority w:val="99"/>
    <w:semiHidden/>
    <w:unhideWhenUsed/>
    <w:rsid w:val="001040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0E8"/>
    <w:rPr>
      <w:rFonts w:ascii="Segoe UI" w:hAnsi="Segoe UI" w:cs="Segoe UI"/>
      <w:sz w:val="18"/>
      <w:szCs w:val="18"/>
    </w:rPr>
  </w:style>
  <w:style w:type="paragraph" w:customStyle="1" w:styleId="TableTextNoSpacing">
    <w:name w:val="Table Text (No Spacing)"/>
    <w:basedOn w:val="Normal"/>
    <w:uiPriority w:val="11"/>
    <w:qFormat/>
    <w:rsid w:val="00B42F62"/>
    <w:pPr>
      <w:spacing w:after="0" w:line="240" w:lineRule="auto"/>
    </w:pPr>
    <w:rPr>
      <w:rFonts w:ascii="Segoe UI" w:eastAsia="Segoe UI" w:hAnsi="Segoe UI" w:cs="Times New Roman"/>
    </w:rPr>
  </w:style>
  <w:style w:type="paragraph" w:customStyle="1" w:styleId="IntableHeading">
    <w:name w:val="Intable Heading"/>
    <w:basedOn w:val="Normal"/>
    <w:uiPriority w:val="11"/>
    <w:qFormat/>
    <w:rsid w:val="00B42F62"/>
    <w:pPr>
      <w:spacing w:after="0"/>
    </w:pPr>
    <w:rPr>
      <w:rFonts w:ascii="Segoe UI" w:eastAsia="Segoe UI" w:hAnsi="Segoe UI" w:cs="Times New Roman"/>
      <w:b/>
      <w:color w:val="7B5E05"/>
    </w:rPr>
  </w:style>
  <w:style w:type="paragraph" w:customStyle="1" w:styleId="NumberedParagraphs">
    <w:name w:val="Numbered Paragraphs"/>
    <w:basedOn w:val="Normal"/>
    <w:qFormat/>
    <w:rsid w:val="00783FC7"/>
    <w:pPr>
      <w:numPr>
        <w:numId w:val="5"/>
      </w:numPr>
    </w:pPr>
    <w:rPr>
      <w:noProof/>
    </w:rPr>
  </w:style>
  <w:style w:type="character" w:styleId="UnresolvedMention">
    <w:name w:val="Unresolved Mention"/>
    <w:basedOn w:val="DefaultParagraphFont"/>
    <w:uiPriority w:val="99"/>
    <w:semiHidden/>
    <w:unhideWhenUsed/>
    <w:rsid w:val="002B324C"/>
    <w:rPr>
      <w:color w:val="605E5C"/>
      <w:shd w:val="clear" w:color="auto" w:fill="E1DFDD"/>
    </w:rPr>
  </w:style>
  <w:style w:type="character" w:styleId="FollowedHyperlink">
    <w:name w:val="FollowedHyperlink"/>
    <w:basedOn w:val="DefaultParagraphFont"/>
    <w:uiPriority w:val="99"/>
    <w:semiHidden/>
    <w:unhideWhenUsed/>
    <w:rsid w:val="00C70D36"/>
    <w:rPr>
      <w:color w:val="7B5E05" w:themeColor="followedHyperlink"/>
      <w:u w:val="single"/>
    </w:rPr>
  </w:style>
  <w:style w:type="paragraph" w:styleId="NormalWeb">
    <w:name w:val="Normal (Web)"/>
    <w:basedOn w:val="Normal"/>
    <w:uiPriority w:val="99"/>
    <w:unhideWhenUsed/>
    <w:rsid w:val="00235F3F"/>
    <w:rPr>
      <w:rFonts w:ascii="Times New Roman" w:hAnsi="Times New Roman" w:cs="Times New Roman"/>
      <w:sz w:val="24"/>
      <w:szCs w:val="24"/>
    </w:rPr>
  </w:style>
  <w:style w:type="paragraph" w:customStyle="1" w:styleId="Heading5plain">
    <w:name w:val="Heading 5 plain"/>
    <w:basedOn w:val="Normal"/>
    <w:next w:val="Normal"/>
    <w:qFormat/>
    <w:rsid w:val="00102637"/>
    <w:pPr>
      <w:spacing w:before="120" w:after="60"/>
    </w:pPr>
    <w:rPr>
      <w:rFonts w:cs="Times New Roman (Body CS)"/>
      <w:color w:val="2F243C" w:themeColor="accent2" w:themeShade="BF"/>
    </w:rPr>
  </w:style>
  <w:style w:type="paragraph" w:customStyle="1" w:styleId="Bullet">
    <w:name w:val="Bullet"/>
    <w:basedOn w:val="Normal"/>
    <w:qFormat/>
    <w:rsid w:val="00811611"/>
    <w:pPr>
      <w:keepLines/>
      <w:numPr>
        <w:numId w:val="7"/>
      </w:numPr>
      <w:spacing w:before="80" w:after="80" w:line="240" w:lineRule="auto"/>
    </w:pPr>
    <w:rPr>
      <w:rFonts w:cs="Times New Roman"/>
    </w:rPr>
  </w:style>
  <w:style w:type="paragraph" w:customStyle="1" w:styleId="Bulletlevel2">
    <w:name w:val="Bullet level 2"/>
    <w:basedOn w:val="Normal"/>
    <w:uiPriority w:val="1"/>
    <w:semiHidden/>
    <w:rsid w:val="00811611"/>
    <w:pPr>
      <w:keepLines/>
      <w:numPr>
        <w:ilvl w:val="1"/>
        <w:numId w:val="7"/>
      </w:numPr>
      <w:tabs>
        <w:tab w:val="num" w:pos="360"/>
      </w:tabs>
      <w:spacing w:before="80" w:after="80" w:line="240" w:lineRule="auto"/>
      <w:ind w:left="0" w:firstLine="0"/>
    </w:pPr>
    <w:rPr>
      <w:rFonts w:cs="Times New Roman"/>
      <w:sz w:val="24"/>
      <w:szCs w:val="24"/>
    </w:rPr>
  </w:style>
  <w:style w:type="paragraph" w:customStyle="1" w:styleId="Bulletlevel3">
    <w:name w:val="Bullet level 3"/>
    <w:basedOn w:val="Normal"/>
    <w:uiPriority w:val="1"/>
    <w:semiHidden/>
    <w:rsid w:val="00811611"/>
    <w:pPr>
      <w:keepLines/>
      <w:numPr>
        <w:ilvl w:val="2"/>
        <w:numId w:val="7"/>
      </w:numPr>
      <w:tabs>
        <w:tab w:val="num" w:pos="360"/>
      </w:tabs>
      <w:spacing w:before="80" w:after="80" w:line="240" w:lineRule="auto"/>
      <w:ind w:left="0" w:firstLine="0"/>
    </w:pPr>
    <w:rPr>
      <w:rFonts w:cs="Times New Roman"/>
      <w:sz w:val="24"/>
      <w:szCs w:val="24"/>
    </w:rPr>
  </w:style>
  <w:style w:type="paragraph" w:styleId="Revision">
    <w:name w:val="Revision"/>
    <w:hidden/>
    <w:uiPriority w:val="99"/>
    <w:semiHidden/>
    <w:rsid w:val="00474C33"/>
    <w:pPr>
      <w:spacing w:after="0" w:line="240" w:lineRule="auto"/>
    </w:pPr>
    <w:rPr>
      <w:sz w:val="20"/>
    </w:rPr>
  </w:style>
  <w:style w:type="paragraph" w:customStyle="1" w:styleId="Bulleted">
    <w:name w:val="Bulleted"/>
    <w:basedOn w:val="Normal"/>
    <w:link w:val="BulletedChar"/>
    <w:uiPriority w:val="5"/>
    <w:qFormat/>
    <w:rsid w:val="00EA1D2D"/>
    <w:pPr>
      <w:numPr>
        <w:numId w:val="8"/>
      </w:numPr>
      <w:spacing w:after="60"/>
      <w:ind w:left="714" w:hanging="357"/>
    </w:pPr>
    <w:rPr>
      <w:rFonts w:eastAsia="Times New Roman" w:cs="Times New Roman"/>
      <w:color w:val="000000"/>
      <w:lang w:eastAsia="en-NZ"/>
    </w:rPr>
  </w:style>
  <w:style w:type="character" w:customStyle="1" w:styleId="BulletedChar">
    <w:name w:val="Bulleted Char"/>
    <w:link w:val="Bulleted"/>
    <w:uiPriority w:val="5"/>
    <w:rsid w:val="00EA1D2D"/>
    <w:rPr>
      <w:rFonts w:ascii="Calibri" w:eastAsia="Times New Roman" w:hAnsi="Calibri" w:cs="Times New Roman"/>
      <w:color w:val="000000"/>
      <w:lang w:eastAsia="en-NZ"/>
    </w:rPr>
  </w:style>
  <w:style w:type="paragraph" w:customStyle="1" w:styleId="Second-levelbullets">
    <w:name w:val="Second-level bullets"/>
    <w:basedOn w:val="Bulleted"/>
    <w:uiPriority w:val="3"/>
    <w:qFormat/>
    <w:rsid w:val="00FA2BD7"/>
    <w:pPr>
      <w:numPr>
        <w:ilvl w:val="1"/>
      </w:numPr>
      <w:tabs>
        <w:tab w:val="num" w:pos="360"/>
      </w:tabs>
      <w:spacing w:after="0"/>
      <w:ind w:left="1134" w:hanging="425"/>
    </w:pPr>
  </w:style>
  <w:style w:type="paragraph" w:customStyle="1" w:styleId="MIBullets">
    <w:name w:val="MI Bullets"/>
    <w:basedOn w:val="Normal"/>
    <w:link w:val="MIBulletsChar"/>
    <w:qFormat/>
    <w:rsid w:val="00FA2BD7"/>
    <w:pPr>
      <w:spacing w:after="60"/>
      <w:ind w:left="720" w:hanging="360"/>
    </w:pPr>
    <w:rPr>
      <w:rFonts w:eastAsia="Times New Roman" w:cs="Times New Roman"/>
      <w:color w:val="000000"/>
      <w:lang w:eastAsia="en-GB"/>
    </w:rPr>
  </w:style>
  <w:style w:type="character" w:customStyle="1" w:styleId="MIBulletsChar">
    <w:name w:val="MI Bullets Char"/>
    <w:link w:val="MIBullets"/>
    <w:rsid w:val="00FA2BD7"/>
    <w:rPr>
      <w:rFonts w:ascii="Calibri" w:eastAsia="Times New Roman" w:hAnsi="Calibri" w:cs="Times New Roman"/>
      <w:color w:val="000000"/>
      <w:lang w:eastAsia="en-GB"/>
    </w:rPr>
  </w:style>
  <w:style w:type="paragraph" w:customStyle="1" w:styleId="Default">
    <w:name w:val="Default"/>
    <w:rsid w:val="00256CD4"/>
    <w:pPr>
      <w:autoSpaceDE w:val="0"/>
      <w:autoSpaceDN w:val="0"/>
      <w:adjustRightInd w:val="0"/>
      <w:spacing w:after="0" w:line="240" w:lineRule="auto"/>
    </w:pPr>
    <w:rPr>
      <w:rFonts w:ascii="Arial" w:hAnsi="Arial" w:cs="Arial"/>
      <w:color w:val="000000"/>
      <w:sz w:val="24"/>
      <w:szCs w:val="24"/>
    </w:rPr>
  </w:style>
  <w:style w:type="paragraph" w:styleId="Bibliography">
    <w:name w:val="Bibliography"/>
    <w:basedOn w:val="Normal"/>
    <w:next w:val="Normal"/>
    <w:uiPriority w:val="37"/>
    <w:unhideWhenUsed/>
    <w:rsid w:val="00C718F0"/>
    <w:pPr>
      <w:spacing w:after="0" w:line="480" w:lineRule="auto"/>
      <w:ind w:left="720" w:hanging="720"/>
    </w:pPr>
  </w:style>
  <w:style w:type="character" w:styleId="CommentReference">
    <w:name w:val="annotation reference"/>
    <w:basedOn w:val="DefaultParagraphFont"/>
    <w:uiPriority w:val="99"/>
    <w:semiHidden/>
    <w:unhideWhenUsed/>
    <w:rsid w:val="00DB41EF"/>
    <w:rPr>
      <w:sz w:val="16"/>
      <w:szCs w:val="16"/>
    </w:rPr>
  </w:style>
  <w:style w:type="paragraph" w:styleId="CommentText">
    <w:name w:val="annotation text"/>
    <w:basedOn w:val="Normal"/>
    <w:link w:val="CommentTextChar"/>
    <w:uiPriority w:val="99"/>
    <w:unhideWhenUsed/>
    <w:rsid w:val="00DB41EF"/>
    <w:pPr>
      <w:spacing w:line="240" w:lineRule="auto"/>
    </w:pPr>
    <w:rPr>
      <w:szCs w:val="20"/>
    </w:rPr>
  </w:style>
  <w:style w:type="character" w:customStyle="1" w:styleId="CommentTextChar">
    <w:name w:val="Comment Text Char"/>
    <w:basedOn w:val="DefaultParagraphFont"/>
    <w:link w:val="CommentText"/>
    <w:uiPriority w:val="99"/>
    <w:rsid w:val="00DB41EF"/>
    <w:rPr>
      <w:sz w:val="20"/>
      <w:szCs w:val="20"/>
    </w:rPr>
  </w:style>
  <w:style w:type="paragraph" w:styleId="CommentSubject">
    <w:name w:val="annotation subject"/>
    <w:basedOn w:val="CommentText"/>
    <w:next w:val="CommentText"/>
    <w:link w:val="CommentSubjectChar"/>
    <w:uiPriority w:val="99"/>
    <w:semiHidden/>
    <w:unhideWhenUsed/>
    <w:rsid w:val="00DB41EF"/>
    <w:rPr>
      <w:b/>
      <w:bCs/>
    </w:rPr>
  </w:style>
  <w:style w:type="character" w:customStyle="1" w:styleId="CommentSubjectChar">
    <w:name w:val="Comment Subject Char"/>
    <w:basedOn w:val="CommentTextChar"/>
    <w:link w:val="CommentSubject"/>
    <w:uiPriority w:val="99"/>
    <w:semiHidden/>
    <w:rsid w:val="00DB41EF"/>
    <w:rPr>
      <w:b/>
      <w:bCs/>
      <w:sz w:val="20"/>
      <w:szCs w:val="20"/>
    </w:rPr>
  </w:style>
  <w:style w:type="character" w:styleId="Mention">
    <w:name w:val="Mention"/>
    <w:basedOn w:val="DefaultParagraphFont"/>
    <w:uiPriority w:val="99"/>
    <w:unhideWhenUsed/>
    <w:rsid w:val="00DB41EF"/>
    <w:rPr>
      <w:color w:val="2B579A"/>
      <w:shd w:val="clear" w:color="auto" w:fill="E1DFDD"/>
    </w:rPr>
  </w:style>
  <w:style w:type="character" w:customStyle="1" w:styleId="cf01">
    <w:name w:val="cf01"/>
    <w:basedOn w:val="DefaultParagraphFont"/>
    <w:rsid w:val="004313DD"/>
    <w:rPr>
      <w:rFonts w:ascii="Segoe UI" w:hAnsi="Segoe UI" w:cs="Segoe UI" w:hint="default"/>
      <w:sz w:val="18"/>
      <w:szCs w:val="18"/>
    </w:rPr>
  </w:style>
  <w:style w:type="character" w:styleId="Emphasis">
    <w:name w:val="Emphasis"/>
    <w:basedOn w:val="DefaultParagraphFont"/>
    <w:uiPriority w:val="20"/>
    <w:qFormat/>
    <w:rsid w:val="009C6DF5"/>
    <w:rPr>
      <w:i/>
      <w:iCs/>
    </w:rPr>
  </w:style>
  <w:style w:type="paragraph" w:customStyle="1" w:styleId="Quotes">
    <w:name w:val="Quotes"/>
    <w:basedOn w:val="Normal"/>
    <w:link w:val="QuotesChar"/>
    <w:qFormat/>
    <w:rsid w:val="00BD4A8E"/>
    <w:pPr>
      <w:spacing w:before="60"/>
    </w:pPr>
    <w:rPr>
      <w:rFonts w:eastAsia="Times New Roman" w:cs="Times New Roman"/>
      <w:i/>
      <w:noProof/>
      <w:color w:val="632423"/>
      <w:szCs w:val="20"/>
      <w:lang w:eastAsia="en-NZ"/>
    </w:rPr>
  </w:style>
  <w:style w:type="character" w:customStyle="1" w:styleId="QuotesChar">
    <w:name w:val="Quotes Char"/>
    <w:link w:val="Quotes"/>
    <w:rsid w:val="00BD4A8E"/>
    <w:rPr>
      <w:rFonts w:ascii="Calibri" w:eastAsia="Times New Roman" w:hAnsi="Calibri" w:cs="Times New Roman"/>
      <w:i/>
      <w:noProof/>
      <w:color w:val="632423"/>
      <w:sz w:val="20"/>
      <w:szCs w:val="20"/>
      <w:lang w:eastAsia="en-NZ"/>
    </w:rPr>
  </w:style>
  <w:style w:type="table" w:customStyle="1" w:styleId="MITableClassic">
    <w:name w:val="MI Table (Classic)"/>
    <w:basedOn w:val="TableNormal"/>
    <w:uiPriority w:val="99"/>
    <w:rsid w:val="00731374"/>
    <w:pPr>
      <w:spacing w:after="0" w:line="276" w:lineRule="auto"/>
    </w:pPr>
    <w:rPr>
      <w:rFonts w:ascii="Calibri" w:eastAsia="Times New Roman" w:hAnsi="Calibri" w:cs="Times New Roman"/>
      <w:szCs w:val="24"/>
    </w:rPr>
    <w:tblPr>
      <w:jc w:val="center"/>
      <w:tblBorders>
        <w:insideH w:val="single" w:sz="4" w:space="0" w:color="FFFFFF" w:themeColor="background1"/>
        <w:insideV w:val="single" w:sz="4"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9D9D9" w:themeFill="background1" w:themeFillShade="D9"/>
      </w:tcPr>
    </w:tblStylePr>
    <w:tblStylePr w:type="firstCol">
      <w:pPr>
        <w:wordWrap/>
        <w:spacing w:beforeLines="0" w:before="0" w:beforeAutospacing="0" w:afterLines="0" w:after="0" w:afterAutospacing="0"/>
        <w:contextualSpacing w:val="0"/>
      </w:pPr>
      <w:rPr>
        <w:rFonts w:ascii="Calibri" w:hAnsi="Calibri"/>
        <w:color w:val="auto"/>
        <w:sz w:val="22"/>
      </w:rPr>
      <w:tblPr/>
      <w:tcPr>
        <w:shd w:val="clear" w:color="auto" w:fill="D3E2F1"/>
      </w:tcPr>
    </w:tblStylePr>
    <w:tblStylePr w:type="nwCell">
      <w:tblPr/>
      <w:tcPr>
        <w:shd w:val="clear" w:color="auto" w:fill="D3E2F1"/>
      </w:tcPr>
    </w:tblStylePr>
  </w:style>
  <w:style w:type="paragraph" w:customStyle="1" w:styleId="Bulletpointindented">
    <w:name w:val="Bullet point (indented)"/>
    <w:basedOn w:val="ListParagraph"/>
    <w:link w:val="BulletpointindentedChar"/>
    <w:uiPriority w:val="3"/>
    <w:qFormat/>
    <w:rsid w:val="00A57B44"/>
    <w:pPr>
      <w:numPr>
        <w:numId w:val="22"/>
      </w:numPr>
      <w:spacing w:before="60"/>
    </w:pPr>
    <w:rPr>
      <w:rFonts w:eastAsia="Times New Roman" w:cs="Times New Roman"/>
      <w:color w:val="000000"/>
      <w:lang w:val="mi-NZ" w:eastAsia="en-NZ"/>
    </w:rPr>
  </w:style>
  <w:style w:type="character" w:customStyle="1" w:styleId="BulletpointindentedChar">
    <w:name w:val="Bullet point (indented) Char"/>
    <w:basedOn w:val="BulletedChar"/>
    <w:link w:val="Bulletpointindented"/>
    <w:uiPriority w:val="3"/>
    <w:rsid w:val="00A57B44"/>
    <w:rPr>
      <w:rFonts w:ascii="Calibri" w:eastAsia="Times New Roman" w:hAnsi="Calibri" w:cs="Times New Roman"/>
      <w:color w:val="000000"/>
      <w:sz w:val="20"/>
      <w:lang w:val="mi-NZ" w:eastAsia="en-NZ"/>
    </w:rPr>
  </w:style>
  <w:style w:type="character" w:styleId="EndnoteReference">
    <w:name w:val="endnote reference"/>
    <w:basedOn w:val="DefaultParagraphFont"/>
    <w:uiPriority w:val="99"/>
    <w:semiHidden/>
    <w:unhideWhenUsed/>
    <w:rsid w:val="00BC1E28"/>
    <w:rPr>
      <w:vertAlign w:val="superscript"/>
    </w:rPr>
  </w:style>
  <w:style w:type="paragraph" w:customStyle="1" w:styleId="pf0">
    <w:name w:val="pf0"/>
    <w:basedOn w:val="Normal"/>
    <w:rsid w:val="0025076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f11">
    <w:name w:val="cf11"/>
    <w:basedOn w:val="DefaultParagraphFont"/>
    <w:rsid w:val="0020451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6217">
      <w:bodyDiv w:val="1"/>
      <w:marLeft w:val="0"/>
      <w:marRight w:val="0"/>
      <w:marTop w:val="0"/>
      <w:marBottom w:val="0"/>
      <w:divBdr>
        <w:top w:val="none" w:sz="0" w:space="0" w:color="auto"/>
        <w:left w:val="none" w:sz="0" w:space="0" w:color="auto"/>
        <w:bottom w:val="none" w:sz="0" w:space="0" w:color="auto"/>
        <w:right w:val="none" w:sz="0" w:space="0" w:color="auto"/>
      </w:divBdr>
    </w:div>
    <w:div w:id="25761947">
      <w:bodyDiv w:val="1"/>
      <w:marLeft w:val="0"/>
      <w:marRight w:val="0"/>
      <w:marTop w:val="0"/>
      <w:marBottom w:val="0"/>
      <w:divBdr>
        <w:top w:val="none" w:sz="0" w:space="0" w:color="auto"/>
        <w:left w:val="none" w:sz="0" w:space="0" w:color="auto"/>
        <w:bottom w:val="none" w:sz="0" w:space="0" w:color="auto"/>
        <w:right w:val="none" w:sz="0" w:space="0" w:color="auto"/>
      </w:divBdr>
    </w:div>
    <w:div w:id="123087342">
      <w:bodyDiv w:val="1"/>
      <w:marLeft w:val="0"/>
      <w:marRight w:val="0"/>
      <w:marTop w:val="0"/>
      <w:marBottom w:val="0"/>
      <w:divBdr>
        <w:top w:val="none" w:sz="0" w:space="0" w:color="auto"/>
        <w:left w:val="none" w:sz="0" w:space="0" w:color="auto"/>
        <w:bottom w:val="none" w:sz="0" w:space="0" w:color="auto"/>
        <w:right w:val="none" w:sz="0" w:space="0" w:color="auto"/>
      </w:divBdr>
    </w:div>
    <w:div w:id="152919558">
      <w:bodyDiv w:val="1"/>
      <w:marLeft w:val="0"/>
      <w:marRight w:val="0"/>
      <w:marTop w:val="0"/>
      <w:marBottom w:val="0"/>
      <w:divBdr>
        <w:top w:val="none" w:sz="0" w:space="0" w:color="auto"/>
        <w:left w:val="none" w:sz="0" w:space="0" w:color="auto"/>
        <w:bottom w:val="none" w:sz="0" w:space="0" w:color="auto"/>
        <w:right w:val="none" w:sz="0" w:space="0" w:color="auto"/>
      </w:divBdr>
    </w:div>
    <w:div w:id="172888541">
      <w:bodyDiv w:val="1"/>
      <w:marLeft w:val="0"/>
      <w:marRight w:val="0"/>
      <w:marTop w:val="0"/>
      <w:marBottom w:val="0"/>
      <w:divBdr>
        <w:top w:val="none" w:sz="0" w:space="0" w:color="auto"/>
        <w:left w:val="none" w:sz="0" w:space="0" w:color="auto"/>
        <w:bottom w:val="none" w:sz="0" w:space="0" w:color="auto"/>
        <w:right w:val="none" w:sz="0" w:space="0" w:color="auto"/>
      </w:divBdr>
    </w:div>
    <w:div w:id="192689599">
      <w:bodyDiv w:val="1"/>
      <w:marLeft w:val="0"/>
      <w:marRight w:val="0"/>
      <w:marTop w:val="0"/>
      <w:marBottom w:val="0"/>
      <w:divBdr>
        <w:top w:val="none" w:sz="0" w:space="0" w:color="auto"/>
        <w:left w:val="none" w:sz="0" w:space="0" w:color="auto"/>
        <w:bottom w:val="none" w:sz="0" w:space="0" w:color="auto"/>
        <w:right w:val="none" w:sz="0" w:space="0" w:color="auto"/>
      </w:divBdr>
    </w:div>
    <w:div w:id="232205836">
      <w:bodyDiv w:val="1"/>
      <w:marLeft w:val="0"/>
      <w:marRight w:val="0"/>
      <w:marTop w:val="0"/>
      <w:marBottom w:val="0"/>
      <w:divBdr>
        <w:top w:val="none" w:sz="0" w:space="0" w:color="auto"/>
        <w:left w:val="none" w:sz="0" w:space="0" w:color="auto"/>
        <w:bottom w:val="none" w:sz="0" w:space="0" w:color="auto"/>
        <w:right w:val="none" w:sz="0" w:space="0" w:color="auto"/>
      </w:divBdr>
    </w:div>
    <w:div w:id="429929117">
      <w:bodyDiv w:val="1"/>
      <w:marLeft w:val="0"/>
      <w:marRight w:val="0"/>
      <w:marTop w:val="0"/>
      <w:marBottom w:val="0"/>
      <w:divBdr>
        <w:top w:val="none" w:sz="0" w:space="0" w:color="auto"/>
        <w:left w:val="none" w:sz="0" w:space="0" w:color="auto"/>
        <w:bottom w:val="none" w:sz="0" w:space="0" w:color="auto"/>
        <w:right w:val="none" w:sz="0" w:space="0" w:color="auto"/>
      </w:divBdr>
    </w:div>
    <w:div w:id="488903584">
      <w:bodyDiv w:val="1"/>
      <w:marLeft w:val="0"/>
      <w:marRight w:val="0"/>
      <w:marTop w:val="0"/>
      <w:marBottom w:val="0"/>
      <w:divBdr>
        <w:top w:val="none" w:sz="0" w:space="0" w:color="auto"/>
        <w:left w:val="none" w:sz="0" w:space="0" w:color="auto"/>
        <w:bottom w:val="none" w:sz="0" w:space="0" w:color="auto"/>
        <w:right w:val="none" w:sz="0" w:space="0" w:color="auto"/>
      </w:divBdr>
    </w:div>
    <w:div w:id="802119177">
      <w:bodyDiv w:val="1"/>
      <w:marLeft w:val="0"/>
      <w:marRight w:val="0"/>
      <w:marTop w:val="0"/>
      <w:marBottom w:val="0"/>
      <w:divBdr>
        <w:top w:val="none" w:sz="0" w:space="0" w:color="auto"/>
        <w:left w:val="none" w:sz="0" w:space="0" w:color="auto"/>
        <w:bottom w:val="none" w:sz="0" w:space="0" w:color="auto"/>
        <w:right w:val="none" w:sz="0" w:space="0" w:color="auto"/>
      </w:divBdr>
    </w:div>
    <w:div w:id="817843545">
      <w:bodyDiv w:val="1"/>
      <w:marLeft w:val="0"/>
      <w:marRight w:val="0"/>
      <w:marTop w:val="0"/>
      <w:marBottom w:val="0"/>
      <w:divBdr>
        <w:top w:val="none" w:sz="0" w:space="0" w:color="auto"/>
        <w:left w:val="none" w:sz="0" w:space="0" w:color="auto"/>
        <w:bottom w:val="none" w:sz="0" w:space="0" w:color="auto"/>
        <w:right w:val="none" w:sz="0" w:space="0" w:color="auto"/>
      </w:divBdr>
    </w:div>
    <w:div w:id="1066958313">
      <w:bodyDiv w:val="1"/>
      <w:marLeft w:val="0"/>
      <w:marRight w:val="0"/>
      <w:marTop w:val="0"/>
      <w:marBottom w:val="0"/>
      <w:divBdr>
        <w:top w:val="none" w:sz="0" w:space="0" w:color="auto"/>
        <w:left w:val="none" w:sz="0" w:space="0" w:color="auto"/>
        <w:bottom w:val="none" w:sz="0" w:space="0" w:color="auto"/>
        <w:right w:val="none" w:sz="0" w:space="0" w:color="auto"/>
      </w:divBdr>
    </w:div>
    <w:div w:id="1090128304">
      <w:bodyDiv w:val="1"/>
      <w:marLeft w:val="0"/>
      <w:marRight w:val="0"/>
      <w:marTop w:val="0"/>
      <w:marBottom w:val="0"/>
      <w:divBdr>
        <w:top w:val="none" w:sz="0" w:space="0" w:color="auto"/>
        <w:left w:val="none" w:sz="0" w:space="0" w:color="auto"/>
        <w:bottom w:val="none" w:sz="0" w:space="0" w:color="auto"/>
        <w:right w:val="none" w:sz="0" w:space="0" w:color="auto"/>
      </w:divBdr>
    </w:div>
    <w:div w:id="1114325984">
      <w:bodyDiv w:val="1"/>
      <w:marLeft w:val="0"/>
      <w:marRight w:val="0"/>
      <w:marTop w:val="0"/>
      <w:marBottom w:val="0"/>
      <w:divBdr>
        <w:top w:val="none" w:sz="0" w:space="0" w:color="auto"/>
        <w:left w:val="none" w:sz="0" w:space="0" w:color="auto"/>
        <w:bottom w:val="none" w:sz="0" w:space="0" w:color="auto"/>
        <w:right w:val="none" w:sz="0" w:space="0" w:color="auto"/>
      </w:divBdr>
    </w:div>
    <w:div w:id="1166939417">
      <w:bodyDiv w:val="1"/>
      <w:marLeft w:val="0"/>
      <w:marRight w:val="0"/>
      <w:marTop w:val="0"/>
      <w:marBottom w:val="0"/>
      <w:divBdr>
        <w:top w:val="none" w:sz="0" w:space="0" w:color="auto"/>
        <w:left w:val="none" w:sz="0" w:space="0" w:color="auto"/>
        <w:bottom w:val="none" w:sz="0" w:space="0" w:color="auto"/>
        <w:right w:val="none" w:sz="0" w:space="0" w:color="auto"/>
      </w:divBdr>
    </w:div>
    <w:div w:id="1250042906">
      <w:bodyDiv w:val="1"/>
      <w:marLeft w:val="0"/>
      <w:marRight w:val="0"/>
      <w:marTop w:val="0"/>
      <w:marBottom w:val="0"/>
      <w:divBdr>
        <w:top w:val="none" w:sz="0" w:space="0" w:color="auto"/>
        <w:left w:val="none" w:sz="0" w:space="0" w:color="auto"/>
        <w:bottom w:val="none" w:sz="0" w:space="0" w:color="auto"/>
        <w:right w:val="none" w:sz="0" w:space="0" w:color="auto"/>
      </w:divBdr>
    </w:div>
    <w:div w:id="1353530637">
      <w:bodyDiv w:val="1"/>
      <w:marLeft w:val="0"/>
      <w:marRight w:val="0"/>
      <w:marTop w:val="0"/>
      <w:marBottom w:val="0"/>
      <w:divBdr>
        <w:top w:val="none" w:sz="0" w:space="0" w:color="auto"/>
        <w:left w:val="none" w:sz="0" w:space="0" w:color="auto"/>
        <w:bottom w:val="none" w:sz="0" w:space="0" w:color="auto"/>
        <w:right w:val="none" w:sz="0" w:space="0" w:color="auto"/>
      </w:divBdr>
    </w:div>
    <w:div w:id="1368792496">
      <w:bodyDiv w:val="1"/>
      <w:marLeft w:val="0"/>
      <w:marRight w:val="0"/>
      <w:marTop w:val="0"/>
      <w:marBottom w:val="0"/>
      <w:divBdr>
        <w:top w:val="none" w:sz="0" w:space="0" w:color="auto"/>
        <w:left w:val="none" w:sz="0" w:space="0" w:color="auto"/>
        <w:bottom w:val="none" w:sz="0" w:space="0" w:color="auto"/>
        <w:right w:val="none" w:sz="0" w:space="0" w:color="auto"/>
      </w:divBdr>
    </w:div>
    <w:div w:id="1489519835">
      <w:bodyDiv w:val="1"/>
      <w:marLeft w:val="0"/>
      <w:marRight w:val="0"/>
      <w:marTop w:val="0"/>
      <w:marBottom w:val="0"/>
      <w:divBdr>
        <w:top w:val="none" w:sz="0" w:space="0" w:color="auto"/>
        <w:left w:val="none" w:sz="0" w:space="0" w:color="auto"/>
        <w:bottom w:val="none" w:sz="0" w:space="0" w:color="auto"/>
        <w:right w:val="none" w:sz="0" w:space="0" w:color="auto"/>
      </w:divBdr>
    </w:div>
    <w:div w:id="1535725821">
      <w:bodyDiv w:val="1"/>
      <w:marLeft w:val="0"/>
      <w:marRight w:val="0"/>
      <w:marTop w:val="0"/>
      <w:marBottom w:val="0"/>
      <w:divBdr>
        <w:top w:val="none" w:sz="0" w:space="0" w:color="auto"/>
        <w:left w:val="none" w:sz="0" w:space="0" w:color="auto"/>
        <w:bottom w:val="none" w:sz="0" w:space="0" w:color="auto"/>
        <w:right w:val="none" w:sz="0" w:space="0" w:color="auto"/>
      </w:divBdr>
    </w:div>
    <w:div w:id="1572740062">
      <w:bodyDiv w:val="1"/>
      <w:marLeft w:val="0"/>
      <w:marRight w:val="0"/>
      <w:marTop w:val="0"/>
      <w:marBottom w:val="0"/>
      <w:divBdr>
        <w:top w:val="none" w:sz="0" w:space="0" w:color="auto"/>
        <w:left w:val="none" w:sz="0" w:space="0" w:color="auto"/>
        <w:bottom w:val="none" w:sz="0" w:space="0" w:color="auto"/>
        <w:right w:val="none" w:sz="0" w:space="0" w:color="auto"/>
      </w:divBdr>
    </w:div>
    <w:div w:id="1590307442">
      <w:bodyDiv w:val="1"/>
      <w:marLeft w:val="0"/>
      <w:marRight w:val="0"/>
      <w:marTop w:val="0"/>
      <w:marBottom w:val="0"/>
      <w:divBdr>
        <w:top w:val="none" w:sz="0" w:space="0" w:color="auto"/>
        <w:left w:val="none" w:sz="0" w:space="0" w:color="auto"/>
        <w:bottom w:val="none" w:sz="0" w:space="0" w:color="auto"/>
        <w:right w:val="none" w:sz="0" w:space="0" w:color="auto"/>
      </w:divBdr>
    </w:div>
    <w:div w:id="1592394427">
      <w:bodyDiv w:val="1"/>
      <w:marLeft w:val="0"/>
      <w:marRight w:val="0"/>
      <w:marTop w:val="0"/>
      <w:marBottom w:val="0"/>
      <w:divBdr>
        <w:top w:val="none" w:sz="0" w:space="0" w:color="auto"/>
        <w:left w:val="none" w:sz="0" w:space="0" w:color="auto"/>
        <w:bottom w:val="none" w:sz="0" w:space="0" w:color="auto"/>
        <w:right w:val="none" w:sz="0" w:space="0" w:color="auto"/>
      </w:divBdr>
    </w:div>
    <w:div w:id="1632590645">
      <w:bodyDiv w:val="1"/>
      <w:marLeft w:val="0"/>
      <w:marRight w:val="0"/>
      <w:marTop w:val="0"/>
      <w:marBottom w:val="0"/>
      <w:divBdr>
        <w:top w:val="none" w:sz="0" w:space="0" w:color="auto"/>
        <w:left w:val="none" w:sz="0" w:space="0" w:color="auto"/>
        <w:bottom w:val="none" w:sz="0" w:space="0" w:color="auto"/>
        <w:right w:val="none" w:sz="0" w:space="0" w:color="auto"/>
      </w:divBdr>
    </w:div>
    <w:div w:id="1652634240">
      <w:bodyDiv w:val="1"/>
      <w:marLeft w:val="0"/>
      <w:marRight w:val="0"/>
      <w:marTop w:val="0"/>
      <w:marBottom w:val="0"/>
      <w:divBdr>
        <w:top w:val="none" w:sz="0" w:space="0" w:color="auto"/>
        <w:left w:val="none" w:sz="0" w:space="0" w:color="auto"/>
        <w:bottom w:val="none" w:sz="0" w:space="0" w:color="auto"/>
        <w:right w:val="none" w:sz="0" w:space="0" w:color="auto"/>
      </w:divBdr>
    </w:div>
    <w:div w:id="1703282985">
      <w:bodyDiv w:val="1"/>
      <w:marLeft w:val="0"/>
      <w:marRight w:val="0"/>
      <w:marTop w:val="0"/>
      <w:marBottom w:val="0"/>
      <w:divBdr>
        <w:top w:val="none" w:sz="0" w:space="0" w:color="auto"/>
        <w:left w:val="none" w:sz="0" w:space="0" w:color="auto"/>
        <w:bottom w:val="none" w:sz="0" w:space="0" w:color="auto"/>
        <w:right w:val="none" w:sz="0" w:space="0" w:color="auto"/>
      </w:divBdr>
    </w:div>
    <w:div w:id="1774128306">
      <w:bodyDiv w:val="1"/>
      <w:marLeft w:val="0"/>
      <w:marRight w:val="0"/>
      <w:marTop w:val="0"/>
      <w:marBottom w:val="0"/>
      <w:divBdr>
        <w:top w:val="none" w:sz="0" w:space="0" w:color="auto"/>
        <w:left w:val="none" w:sz="0" w:space="0" w:color="auto"/>
        <w:bottom w:val="none" w:sz="0" w:space="0" w:color="auto"/>
        <w:right w:val="none" w:sz="0" w:space="0" w:color="auto"/>
      </w:divBdr>
    </w:div>
    <w:div w:id="1813129816">
      <w:bodyDiv w:val="1"/>
      <w:marLeft w:val="0"/>
      <w:marRight w:val="0"/>
      <w:marTop w:val="0"/>
      <w:marBottom w:val="0"/>
      <w:divBdr>
        <w:top w:val="none" w:sz="0" w:space="0" w:color="auto"/>
        <w:left w:val="none" w:sz="0" w:space="0" w:color="auto"/>
        <w:bottom w:val="none" w:sz="0" w:space="0" w:color="auto"/>
        <w:right w:val="none" w:sz="0" w:space="0" w:color="auto"/>
      </w:divBdr>
    </w:div>
    <w:div w:id="1966931999">
      <w:bodyDiv w:val="1"/>
      <w:marLeft w:val="0"/>
      <w:marRight w:val="0"/>
      <w:marTop w:val="0"/>
      <w:marBottom w:val="0"/>
      <w:divBdr>
        <w:top w:val="none" w:sz="0" w:space="0" w:color="auto"/>
        <w:left w:val="none" w:sz="0" w:space="0" w:color="auto"/>
        <w:bottom w:val="none" w:sz="0" w:space="0" w:color="auto"/>
        <w:right w:val="none" w:sz="0" w:space="0" w:color="auto"/>
      </w:divBdr>
    </w:div>
    <w:div w:id="197113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hyperlink" Target="https://www.gamblinglaw.co.nz/Gambling-Act-Sections/part-2-gambling-subpart-1-prohibitions-and-authorisations.aspx" TargetMode="External"/><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sv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svg"/><Relationship Id="rId41" Type="http://schemas.openxmlformats.org/officeDocument/2006/relationships/image" Target="media/image28.sv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oter" Target="footer4.xml"/><Relationship Id="rId9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sv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sv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s://www.gamblingcommission.govt.nz/GCwebsite.nsf/wpg_URL/Reports-Publications-Problem-Gambling-Levy-2022-2025!OpenDocumen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svg"/><Relationship Id="rId39" Type="http://schemas.openxmlformats.org/officeDocument/2006/relationships/image" Target="media/image26.sv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sv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hyperlink" Target="https://www.health.govt.nz/publication/pasifika-youth-online-gaming-and-gambling-research-are-online-video-games-gateway-problem-gambling" TargetMode="Externa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www.thinkSapere.com" TargetMode="External"/><Relationship Id="rId2" Type="http://schemas.openxmlformats.org/officeDocument/2006/relationships/hyperlink" Target="http://www.malatest-intl.com" TargetMode="External"/><Relationship Id="rId1" Type="http://schemas.openxmlformats.org/officeDocument/2006/relationships/image" Target="media/image73.jpe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t.nz/system/files/documents/publications/informing-2015-gambling-harm-needs-assessmnt-jul15.pdf" TargetMode="External"/><Relationship Id="rId13" Type="http://schemas.openxmlformats.org/officeDocument/2006/relationships/hyperlink" Target="https://www.ird.govt.nz/gst/gst-for-overseas-businesses/supplying-remote-services-into-new-zealand" TargetMode="External"/><Relationship Id="rId18" Type="http://schemas.openxmlformats.org/officeDocument/2006/relationships/hyperlink" Target="https://tuturu.org.nz/" TargetMode="External"/><Relationship Id="rId3" Type="http://schemas.openxmlformats.org/officeDocument/2006/relationships/hyperlink" Target="https://www.health.govt.nz/system/files/documents/publications/informing-2015-gambling-harm-needs-assessmnt-jul15.pdf" TargetMode="External"/><Relationship Id="rId7" Type="http://schemas.openxmlformats.org/officeDocument/2006/relationships/hyperlink" Target="http://www.health.govt.nz/system/files/documents/publications/gambling-harm-report-jul2012.pdf" TargetMode="External"/><Relationship Id="rId12" Type="http://schemas.openxmlformats.org/officeDocument/2006/relationships/hyperlink" Target="https://en.wikipedia.org/wiki/Christchurch_Casino" TargetMode="External"/><Relationship Id="rId17" Type="http://schemas.openxmlformats.org/officeDocument/2006/relationships/hyperlink" Target="https://www.treasury.govt.nz/publications/risa/cost-recovery-impact-statement-problem-gambling-levy-2022-23-2024-25" TargetMode="External"/><Relationship Id="rId2" Type="http://schemas.openxmlformats.org/officeDocument/2006/relationships/hyperlink" Target="http://www.health.govt.nz/system/files/documents/publications/gambling-harm-report-jul2012.pdf" TargetMode="External"/><Relationship Id="rId16" Type="http://schemas.openxmlformats.org/officeDocument/2006/relationships/hyperlink" Target="https://www.dia.govt.nz/onlinegamblingconsultation" TargetMode="External"/><Relationship Id="rId1" Type="http://schemas.openxmlformats.org/officeDocument/2006/relationships/hyperlink" Target="http://www.health.govt.nz/publication/informing-2009-problem-gambling-needs-assessment-report-ministry-health-0" TargetMode="External"/><Relationship Id="rId6" Type="http://schemas.openxmlformats.org/officeDocument/2006/relationships/hyperlink" Target="http://www.health.govt.nz/publication/informing-2009-problem-gambling-needs-assessment-report-ministry-health-0" TargetMode="External"/><Relationship Id="rId11" Type="http://schemas.openxmlformats.org/officeDocument/2006/relationships/hyperlink" Target="https://www.gamblingcommission.govt.nz/GCwebsite.nsf/wpg_URL/Reports-Publications-Problem-Gambling-Levy-2022-2025!OpenDocument" TargetMode="External"/><Relationship Id="rId5" Type="http://schemas.openxmlformats.org/officeDocument/2006/relationships/hyperlink" Target="https://www.health.govt.nz/system/files/documents/publications/gambling-harm-needs-assessment-2021.pdf" TargetMode="External"/><Relationship Id="rId15" Type="http://schemas.openxmlformats.org/officeDocument/2006/relationships/hyperlink" Target="https://www.nzherald.co.nz/nz/google-pulls-bet22-gambling-ad-featuring-brendon-mccullum-from-youtube/I6ACWB7YHFCZ5LTC5V4YUAITBE/" TargetMode="External"/><Relationship Id="rId10" Type="http://schemas.openxmlformats.org/officeDocument/2006/relationships/hyperlink" Target="https://www.health.govt.nz/system/files/documents/publications/gambling-harm-needs-assessment-2021.pdf" TargetMode="External"/><Relationship Id="rId4" Type="http://schemas.openxmlformats.org/officeDocument/2006/relationships/hyperlink" Target="https://www.health.govt.nz/publication/gambling-harm-reduction-needs-assessment" TargetMode="External"/><Relationship Id="rId9" Type="http://schemas.openxmlformats.org/officeDocument/2006/relationships/hyperlink" Target="https://www.health.govt.nz/publication/gambling-harm-reduction-needs-assessment" TargetMode="External"/><Relationship Id="rId14" Type="http://schemas.openxmlformats.org/officeDocument/2006/relationships/hyperlink" Target="https://www.parliament.nz/en/pb/order-paper-questions/written-questions/document/WQ_19699_2023/19699-2023-andrew-bayly-to-the-associate-minister-o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lates\Sapere\Wellington\Generic%20document%20template.dotx" TargetMode="External"/></Relationships>
</file>

<file path=word/theme/theme1.xml><?xml version="1.0" encoding="utf-8"?>
<a:theme xmlns:a="http://schemas.openxmlformats.org/drawingml/2006/main" name="Office Theme">
  <a:themeElements>
    <a:clrScheme name="Sapere">
      <a:dk1>
        <a:sysClr val="windowText" lastClr="000000"/>
      </a:dk1>
      <a:lt1>
        <a:sysClr val="window" lastClr="FFFFFF"/>
      </a:lt1>
      <a:dk2>
        <a:srgbClr val="000000"/>
      </a:dk2>
      <a:lt2>
        <a:srgbClr val="EEECE1"/>
      </a:lt2>
      <a:accent1>
        <a:srgbClr val="7B5E05"/>
      </a:accent1>
      <a:accent2>
        <a:srgbClr val="403151"/>
      </a:accent2>
      <a:accent3>
        <a:srgbClr val="D9D9D9"/>
      </a:accent3>
      <a:accent4>
        <a:srgbClr val="404040"/>
      </a:accent4>
      <a:accent5>
        <a:srgbClr val="92CDDC"/>
      </a:accent5>
      <a:accent6>
        <a:srgbClr val="E36C0A"/>
      </a:accent6>
      <a:hlink>
        <a:srgbClr val="7B5E05"/>
      </a:hlink>
      <a:folHlink>
        <a:srgbClr val="7B5E05"/>
      </a:folHlink>
    </a:clrScheme>
    <a:fontScheme name="Sapere">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w="28575">
          <a:solidFill>
            <a:schemeClr val="accent3"/>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8A3713-8849-44A8-A595-F201EBF31C90}">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A28230263C7D7A4FB197614F88F6A462" ma:contentTypeVersion="249" ma:contentTypeDescription="Create a new document." ma:contentTypeScope="" ma:versionID="bee1d29c67ab6bb5282dd1013999878d">
  <xsd:schema xmlns:xsd="http://www.w3.org/2001/XMLSchema" xmlns:xs="http://www.w3.org/2001/XMLSchema" xmlns:p="http://schemas.microsoft.com/office/2006/metadata/properties" xmlns:ns2="c5b47098-0215-444c-9096-523bda4ac5c6" xmlns:ns3="4f9c820c-e7e2-444d-97ee-45f2b3485c1d" xmlns:ns4="15ffb055-6eb4-45a1-bc20-bf2ac0d420da" xmlns:ns5="725c79e5-42ce-4aa0-ac78-b6418001f0d2" xmlns:ns6="c91a514c-9034-4fa3-897a-8352025b26ed" xmlns:ns7="d0b61010-d6f3-4072-b934-7bbb13e97771" xmlns:ns8="184c05c4-c568-455d-94a4-7e009b164348" xmlns:ns9="54904628-6268-4ac5-9416-97794f1d508d" targetNamespace="http://schemas.microsoft.com/office/2006/metadata/properties" ma:root="true" ma:fieldsID="870b4d023e6b60fe012b63a4806e0a7a" ns2:_="" ns3:_="" ns4:_="" ns5:_="" ns6:_="" ns7:_="" ns8:_="" ns9:_="">
    <xsd:import namespace="c5b47098-0215-444c-9096-523bda4ac5c6"/>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GenerationTime" minOccurs="0"/>
                <xsd:element ref="ns9:MediaServiceEventHashCode" minOccurs="0"/>
                <xsd:element ref="ns9:MediaServiceOCR" minOccurs="0"/>
                <xsd:element ref="ns9:MediaServiceDateTaken" minOccurs="0"/>
                <xsd:element ref="ns9:MediaServiceLocation" minOccurs="0"/>
                <xsd:element ref="ns9:MediaLengthInSeconds" minOccurs="0"/>
                <xsd:element ref="ns9:MediaServiceObjectDetectorVersions"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a88c282-f265-4c5d-a6ef-f1d25373d578}"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Strategy Policy and Legislative Development" ma:hidden="true" ma:internalName="FunctionGroup" ma:readOnly="false">
      <xsd:simpleType>
        <xsd:restriction base="dms:Text">
          <xsd:maxLength value="255"/>
        </xsd:restriction>
      </xsd:simpleType>
    </xsd:element>
    <xsd:element name="Function" ma:index="22" nillable="true" ma:displayName="Function" ma:default="Mental Health and Addiction Programme"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Mental Health and Addiction Programme"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OCR" ma:index="60" nillable="true" ma:displayName="Extracted Text" ma:internalName="MediaServiceOCR" ma:readOnly="true">
      <xsd:simpleType>
        <xsd:restriction base="dms:Note">
          <xsd:maxLength value="255"/>
        </xsd:restriction>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b47098-0215-444c-9096-523bda4ac5c6" xsi:nil="true"/>
    <lcf76f155ced4ddcb4097134ff3c332f xmlns="54904628-6268-4ac5-9416-97794f1d508d">
      <Terms xmlns="http://schemas.microsoft.com/office/infopath/2007/PartnerControls"/>
    </lcf76f155ced4ddcb4097134ff3c332f>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ggregationStatus xmlns="4f9c820c-e7e2-444d-97ee-45f2b3485c1d">Normal</AggregationStatus>
    <OverrideLabel xmlns="d0b61010-d6f3-4072-b934-7bbb13e97771" xsi:nil="true"/>
    <CategoryValue xmlns="4f9c820c-e7e2-444d-97ee-45f2b3485c1d">Strategy</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Mental Health and Addiction Programme</Team>
    <Project xmlns="4f9c820c-e7e2-444d-97ee-45f2b3485c1d">NA</Project>
    <HasNHI xmlns="184c05c4-c568-455d-94a4-7e009b164348">false</HasNHI>
    <FunctionGroup xmlns="4f9c820c-e7e2-444d-97ee-45f2b3485c1d">Strategy Policy and Legislative Development</FunctionGroup>
    <Function xmlns="4f9c820c-e7e2-444d-97ee-45f2b3485c1d">Mental Health and Addiction Programme</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Preventing &amp; Minimising Gambling Harm</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Strategy and policy</CategoryName>
    <PRADateTrigger xmlns="4f9c820c-e7e2-444d-97ee-45f2b3485c1d" xsi:nil="true"/>
    <PRAText2 xmlns="4f9c820c-e7e2-444d-97ee-45f2b3485c1d" xsi:nil="true"/>
    <zLegacyID xmlns="184c05c4-c568-455d-94a4-7e009b164348" xsi:nil="true"/>
    <_dlc_DocId xmlns="c5b47098-0215-444c-9096-523bda4ac5c6">MOHECM-952532665-22135</_dlc_DocId>
    <_dlc_DocIdUrl xmlns="c5b47098-0215-444c-9096-523bda4ac5c6">
      <Url>https://mohgovtnz.sharepoint.com/sites/moh-ecm-MentHealSPL/_layouts/15/DocIdRedir.aspx?ID=MOHECM-952532665-22135</Url>
      <Description>MOHECM-952532665-22135</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52CE1B7-1945-47CA-AF93-C4820F849E27}"/>
</file>

<file path=customXml/itemProps2.xml><?xml version="1.0" encoding="utf-8"?>
<ds:datastoreItem xmlns:ds="http://schemas.openxmlformats.org/officeDocument/2006/customXml" ds:itemID="{7A2E14CC-AA25-4F56-93AA-79AF39EB5E2B}">
  <ds:schemaRefs>
    <ds:schemaRef ds:uri="http://schemas.microsoft.com/sharepoint/v3/contenttype/forms"/>
  </ds:schemaRefs>
</ds:datastoreItem>
</file>

<file path=customXml/itemProps3.xml><?xml version="1.0" encoding="utf-8"?>
<ds:datastoreItem xmlns:ds="http://schemas.openxmlformats.org/officeDocument/2006/customXml" ds:itemID="{398DBA7D-27E6-45DF-BAD9-C10CF95165C4}">
  <ds:schemaRefs>
    <ds:schemaRef ds:uri="http://schemas.microsoft.com/office/2006/metadata/properties"/>
    <ds:schemaRef ds:uri="http://schemas.microsoft.com/office/infopath/2007/PartnerControls"/>
    <ds:schemaRef ds:uri="fe711059-3473-4d0a-bf90-08974e90274a"/>
    <ds:schemaRef ds:uri="610edd1d-c37b-469a-931b-7a7fbdbef28d"/>
  </ds:schemaRefs>
</ds:datastoreItem>
</file>

<file path=customXml/itemProps4.xml><?xml version="1.0" encoding="utf-8"?>
<ds:datastoreItem xmlns:ds="http://schemas.openxmlformats.org/officeDocument/2006/customXml" ds:itemID="{04D10C4A-D3BB-441E-AA22-FE8E34B295A5}">
  <ds:schemaRefs>
    <ds:schemaRef ds:uri="http://schemas.openxmlformats.org/officeDocument/2006/bibliography"/>
  </ds:schemaRefs>
</ds:datastoreItem>
</file>

<file path=customXml/itemProps5.xml><?xml version="1.0" encoding="utf-8"?>
<ds:datastoreItem xmlns:ds="http://schemas.openxmlformats.org/officeDocument/2006/customXml" ds:itemID="{1D4DD71C-560A-43A2-9FAE-F0C6DA18C321}"/>
</file>

<file path=docProps/app.xml><?xml version="1.0" encoding="utf-8"?>
<Properties xmlns="http://schemas.openxmlformats.org/officeDocument/2006/extended-properties" xmlns:vt="http://schemas.openxmlformats.org/officeDocument/2006/docPropsVTypes">
  <Template>Generic document template.dotx</Template>
  <TotalTime>35</TotalTime>
  <Pages>89</Pages>
  <Words>44901</Words>
  <Characters>255936</Characters>
  <Application>Microsoft Office Word</Application>
  <DocSecurity>0</DocSecurity>
  <Lines>2132</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300237</CharactersWithSpaces>
  <SharedDoc>false</SharedDoc>
  <HLinks>
    <vt:vector size="642" baseType="variant">
      <vt:variant>
        <vt:i4>2883698</vt:i4>
      </vt:variant>
      <vt:variant>
        <vt:i4>855</vt:i4>
      </vt:variant>
      <vt:variant>
        <vt:i4>0</vt:i4>
      </vt:variant>
      <vt:variant>
        <vt:i4>5</vt:i4>
      </vt:variant>
      <vt:variant>
        <vt:lpwstr>https://www.dia.govt.nz/onlinegamblingconsultation</vt:lpwstr>
      </vt:variant>
      <vt:variant>
        <vt:lpwstr/>
      </vt:variant>
      <vt:variant>
        <vt:i4>3997741</vt:i4>
      </vt:variant>
      <vt:variant>
        <vt:i4>852</vt:i4>
      </vt:variant>
      <vt:variant>
        <vt:i4>0</vt:i4>
      </vt:variant>
      <vt:variant>
        <vt:i4>5</vt:i4>
      </vt:variant>
      <vt:variant>
        <vt:lpwstr>https://www.gamblinglaw.co.nz/Gambling-Act-Sections/part-2-gambling-subpart-1-prohibitions-and-authorisations.aspx</vt:lpwstr>
      </vt:variant>
      <vt:variant>
        <vt:lpwstr>40292</vt:lpwstr>
      </vt:variant>
      <vt:variant>
        <vt:i4>1310774</vt:i4>
      </vt:variant>
      <vt:variant>
        <vt:i4>437</vt:i4>
      </vt:variant>
      <vt:variant>
        <vt:i4>0</vt:i4>
      </vt:variant>
      <vt:variant>
        <vt:i4>5</vt:i4>
      </vt:variant>
      <vt:variant>
        <vt:lpwstr/>
      </vt:variant>
      <vt:variant>
        <vt:lpwstr>_Toc157763621</vt:lpwstr>
      </vt:variant>
      <vt:variant>
        <vt:i4>1310774</vt:i4>
      </vt:variant>
      <vt:variant>
        <vt:i4>431</vt:i4>
      </vt:variant>
      <vt:variant>
        <vt:i4>0</vt:i4>
      </vt:variant>
      <vt:variant>
        <vt:i4>5</vt:i4>
      </vt:variant>
      <vt:variant>
        <vt:lpwstr/>
      </vt:variant>
      <vt:variant>
        <vt:lpwstr>_Toc157763620</vt:lpwstr>
      </vt:variant>
      <vt:variant>
        <vt:i4>1507382</vt:i4>
      </vt:variant>
      <vt:variant>
        <vt:i4>425</vt:i4>
      </vt:variant>
      <vt:variant>
        <vt:i4>0</vt:i4>
      </vt:variant>
      <vt:variant>
        <vt:i4>5</vt:i4>
      </vt:variant>
      <vt:variant>
        <vt:lpwstr/>
      </vt:variant>
      <vt:variant>
        <vt:lpwstr>_Toc157763619</vt:lpwstr>
      </vt:variant>
      <vt:variant>
        <vt:i4>1507382</vt:i4>
      </vt:variant>
      <vt:variant>
        <vt:i4>419</vt:i4>
      </vt:variant>
      <vt:variant>
        <vt:i4>0</vt:i4>
      </vt:variant>
      <vt:variant>
        <vt:i4>5</vt:i4>
      </vt:variant>
      <vt:variant>
        <vt:lpwstr/>
      </vt:variant>
      <vt:variant>
        <vt:lpwstr>_Toc157763618</vt:lpwstr>
      </vt:variant>
      <vt:variant>
        <vt:i4>1507382</vt:i4>
      </vt:variant>
      <vt:variant>
        <vt:i4>413</vt:i4>
      </vt:variant>
      <vt:variant>
        <vt:i4>0</vt:i4>
      </vt:variant>
      <vt:variant>
        <vt:i4>5</vt:i4>
      </vt:variant>
      <vt:variant>
        <vt:lpwstr/>
      </vt:variant>
      <vt:variant>
        <vt:lpwstr>_Toc157763617</vt:lpwstr>
      </vt:variant>
      <vt:variant>
        <vt:i4>1507382</vt:i4>
      </vt:variant>
      <vt:variant>
        <vt:i4>407</vt:i4>
      </vt:variant>
      <vt:variant>
        <vt:i4>0</vt:i4>
      </vt:variant>
      <vt:variant>
        <vt:i4>5</vt:i4>
      </vt:variant>
      <vt:variant>
        <vt:lpwstr/>
      </vt:variant>
      <vt:variant>
        <vt:lpwstr>_Toc157763616</vt:lpwstr>
      </vt:variant>
      <vt:variant>
        <vt:i4>1507382</vt:i4>
      </vt:variant>
      <vt:variant>
        <vt:i4>401</vt:i4>
      </vt:variant>
      <vt:variant>
        <vt:i4>0</vt:i4>
      </vt:variant>
      <vt:variant>
        <vt:i4>5</vt:i4>
      </vt:variant>
      <vt:variant>
        <vt:lpwstr/>
      </vt:variant>
      <vt:variant>
        <vt:lpwstr>_Toc157763615</vt:lpwstr>
      </vt:variant>
      <vt:variant>
        <vt:i4>1507382</vt:i4>
      </vt:variant>
      <vt:variant>
        <vt:i4>395</vt:i4>
      </vt:variant>
      <vt:variant>
        <vt:i4>0</vt:i4>
      </vt:variant>
      <vt:variant>
        <vt:i4>5</vt:i4>
      </vt:variant>
      <vt:variant>
        <vt:lpwstr/>
      </vt:variant>
      <vt:variant>
        <vt:lpwstr>_Toc157763614</vt:lpwstr>
      </vt:variant>
      <vt:variant>
        <vt:i4>1507382</vt:i4>
      </vt:variant>
      <vt:variant>
        <vt:i4>389</vt:i4>
      </vt:variant>
      <vt:variant>
        <vt:i4>0</vt:i4>
      </vt:variant>
      <vt:variant>
        <vt:i4>5</vt:i4>
      </vt:variant>
      <vt:variant>
        <vt:lpwstr/>
      </vt:variant>
      <vt:variant>
        <vt:lpwstr>_Toc157763613</vt:lpwstr>
      </vt:variant>
      <vt:variant>
        <vt:i4>1507382</vt:i4>
      </vt:variant>
      <vt:variant>
        <vt:i4>383</vt:i4>
      </vt:variant>
      <vt:variant>
        <vt:i4>0</vt:i4>
      </vt:variant>
      <vt:variant>
        <vt:i4>5</vt:i4>
      </vt:variant>
      <vt:variant>
        <vt:lpwstr/>
      </vt:variant>
      <vt:variant>
        <vt:lpwstr>_Toc157763612</vt:lpwstr>
      </vt:variant>
      <vt:variant>
        <vt:i4>1507382</vt:i4>
      </vt:variant>
      <vt:variant>
        <vt:i4>377</vt:i4>
      </vt:variant>
      <vt:variant>
        <vt:i4>0</vt:i4>
      </vt:variant>
      <vt:variant>
        <vt:i4>5</vt:i4>
      </vt:variant>
      <vt:variant>
        <vt:lpwstr/>
      </vt:variant>
      <vt:variant>
        <vt:lpwstr>_Toc157763611</vt:lpwstr>
      </vt:variant>
      <vt:variant>
        <vt:i4>1507382</vt:i4>
      </vt:variant>
      <vt:variant>
        <vt:i4>371</vt:i4>
      </vt:variant>
      <vt:variant>
        <vt:i4>0</vt:i4>
      </vt:variant>
      <vt:variant>
        <vt:i4>5</vt:i4>
      </vt:variant>
      <vt:variant>
        <vt:lpwstr/>
      </vt:variant>
      <vt:variant>
        <vt:lpwstr>_Toc157763610</vt:lpwstr>
      </vt:variant>
      <vt:variant>
        <vt:i4>1769521</vt:i4>
      </vt:variant>
      <vt:variant>
        <vt:i4>362</vt:i4>
      </vt:variant>
      <vt:variant>
        <vt:i4>0</vt:i4>
      </vt:variant>
      <vt:variant>
        <vt:i4>5</vt:i4>
      </vt:variant>
      <vt:variant>
        <vt:lpwstr/>
      </vt:variant>
      <vt:variant>
        <vt:lpwstr>_Toc163654683</vt:lpwstr>
      </vt:variant>
      <vt:variant>
        <vt:i4>1769521</vt:i4>
      </vt:variant>
      <vt:variant>
        <vt:i4>356</vt:i4>
      </vt:variant>
      <vt:variant>
        <vt:i4>0</vt:i4>
      </vt:variant>
      <vt:variant>
        <vt:i4>5</vt:i4>
      </vt:variant>
      <vt:variant>
        <vt:lpwstr/>
      </vt:variant>
      <vt:variant>
        <vt:lpwstr>_Toc163654682</vt:lpwstr>
      </vt:variant>
      <vt:variant>
        <vt:i4>1769521</vt:i4>
      </vt:variant>
      <vt:variant>
        <vt:i4>350</vt:i4>
      </vt:variant>
      <vt:variant>
        <vt:i4>0</vt:i4>
      </vt:variant>
      <vt:variant>
        <vt:i4>5</vt:i4>
      </vt:variant>
      <vt:variant>
        <vt:lpwstr/>
      </vt:variant>
      <vt:variant>
        <vt:lpwstr>_Toc163654681</vt:lpwstr>
      </vt:variant>
      <vt:variant>
        <vt:i4>1769521</vt:i4>
      </vt:variant>
      <vt:variant>
        <vt:i4>344</vt:i4>
      </vt:variant>
      <vt:variant>
        <vt:i4>0</vt:i4>
      </vt:variant>
      <vt:variant>
        <vt:i4>5</vt:i4>
      </vt:variant>
      <vt:variant>
        <vt:lpwstr/>
      </vt:variant>
      <vt:variant>
        <vt:lpwstr>_Toc163654680</vt:lpwstr>
      </vt:variant>
      <vt:variant>
        <vt:i4>1310769</vt:i4>
      </vt:variant>
      <vt:variant>
        <vt:i4>338</vt:i4>
      </vt:variant>
      <vt:variant>
        <vt:i4>0</vt:i4>
      </vt:variant>
      <vt:variant>
        <vt:i4>5</vt:i4>
      </vt:variant>
      <vt:variant>
        <vt:lpwstr/>
      </vt:variant>
      <vt:variant>
        <vt:lpwstr>_Toc163654679</vt:lpwstr>
      </vt:variant>
      <vt:variant>
        <vt:i4>1310769</vt:i4>
      </vt:variant>
      <vt:variant>
        <vt:i4>332</vt:i4>
      </vt:variant>
      <vt:variant>
        <vt:i4>0</vt:i4>
      </vt:variant>
      <vt:variant>
        <vt:i4>5</vt:i4>
      </vt:variant>
      <vt:variant>
        <vt:lpwstr/>
      </vt:variant>
      <vt:variant>
        <vt:lpwstr>_Toc163654678</vt:lpwstr>
      </vt:variant>
      <vt:variant>
        <vt:i4>1310769</vt:i4>
      </vt:variant>
      <vt:variant>
        <vt:i4>326</vt:i4>
      </vt:variant>
      <vt:variant>
        <vt:i4>0</vt:i4>
      </vt:variant>
      <vt:variant>
        <vt:i4>5</vt:i4>
      </vt:variant>
      <vt:variant>
        <vt:lpwstr/>
      </vt:variant>
      <vt:variant>
        <vt:lpwstr>_Toc163654677</vt:lpwstr>
      </vt:variant>
      <vt:variant>
        <vt:i4>1310769</vt:i4>
      </vt:variant>
      <vt:variant>
        <vt:i4>320</vt:i4>
      </vt:variant>
      <vt:variant>
        <vt:i4>0</vt:i4>
      </vt:variant>
      <vt:variant>
        <vt:i4>5</vt:i4>
      </vt:variant>
      <vt:variant>
        <vt:lpwstr/>
      </vt:variant>
      <vt:variant>
        <vt:lpwstr>_Toc163654676</vt:lpwstr>
      </vt:variant>
      <vt:variant>
        <vt:i4>1310769</vt:i4>
      </vt:variant>
      <vt:variant>
        <vt:i4>314</vt:i4>
      </vt:variant>
      <vt:variant>
        <vt:i4>0</vt:i4>
      </vt:variant>
      <vt:variant>
        <vt:i4>5</vt:i4>
      </vt:variant>
      <vt:variant>
        <vt:lpwstr/>
      </vt:variant>
      <vt:variant>
        <vt:lpwstr>_Toc163654675</vt:lpwstr>
      </vt:variant>
      <vt:variant>
        <vt:i4>1310769</vt:i4>
      </vt:variant>
      <vt:variant>
        <vt:i4>308</vt:i4>
      </vt:variant>
      <vt:variant>
        <vt:i4>0</vt:i4>
      </vt:variant>
      <vt:variant>
        <vt:i4>5</vt:i4>
      </vt:variant>
      <vt:variant>
        <vt:lpwstr/>
      </vt:variant>
      <vt:variant>
        <vt:lpwstr>_Toc163654674</vt:lpwstr>
      </vt:variant>
      <vt:variant>
        <vt:i4>1310769</vt:i4>
      </vt:variant>
      <vt:variant>
        <vt:i4>302</vt:i4>
      </vt:variant>
      <vt:variant>
        <vt:i4>0</vt:i4>
      </vt:variant>
      <vt:variant>
        <vt:i4>5</vt:i4>
      </vt:variant>
      <vt:variant>
        <vt:lpwstr/>
      </vt:variant>
      <vt:variant>
        <vt:lpwstr>_Toc163654673</vt:lpwstr>
      </vt:variant>
      <vt:variant>
        <vt:i4>1310769</vt:i4>
      </vt:variant>
      <vt:variant>
        <vt:i4>296</vt:i4>
      </vt:variant>
      <vt:variant>
        <vt:i4>0</vt:i4>
      </vt:variant>
      <vt:variant>
        <vt:i4>5</vt:i4>
      </vt:variant>
      <vt:variant>
        <vt:lpwstr/>
      </vt:variant>
      <vt:variant>
        <vt:lpwstr>_Toc163654672</vt:lpwstr>
      </vt:variant>
      <vt:variant>
        <vt:i4>1310769</vt:i4>
      </vt:variant>
      <vt:variant>
        <vt:i4>290</vt:i4>
      </vt:variant>
      <vt:variant>
        <vt:i4>0</vt:i4>
      </vt:variant>
      <vt:variant>
        <vt:i4>5</vt:i4>
      </vt:variant>
      <vt:variant>
        <vt:lpwstr/>
      </vt:variant>
      <vt:variant>
        <vt:lpwstr>_Toc163654671</vt:lpwstr>
      </vt:variant>
      <vt:variant>
        <vt:i4>1310769</vt:i4>
      </vt:variant>
      <vt:variant>
        <vt:i4>284</vt:i4>
      </vt:variant>
      <vt:variant>
        <vt:i4>0</vt:i4>
      </vt:variant>
      <vt:variant>
        <vt:i4>5</vt:i4>
      </vt:variant>
      <vt:variant>
        <vt:lpwstr/>
      </vt:variant>
      <vt:variant>
        <vt:lpwstr>_Toc163654670</vt:lpwstr>
      </vt:variant>
      <vt:variant>
        <vt:i4>1376305</vt:i4>
      </vt:variant>
      <vt:variant>
        <vt:i4>278</vt:i4>
      </vt:variant>
      <vt:variant>
        <vt:i4>0</vt:i4>
      </vt:variant>
      <vt:variant>
        <vt:i4>5</vt:i4>
      </vt:variant>
      <vt:variant>
        <vt:lpwstr/>
      </vt:variant>
      <vt:variant>
        <vt:lpwstr>_Toc163654669</vt:lpwstr>
      </vt:variant>
      <vt:variant>
        <vt:i4>1376305</vt:i4>
      </vt:variant>
      <vt:variant>
        <vt:i4>272</vt:i4>
      </vt:variant>
      <vt:variant>
        <vt:i4>0</vt:i4>
      </vt:variant>
      <vt:variant>
        <vt:i4>5</vt:i4>
      </vt:variant>
      <vt:variant>
        <vt:lpwstr/>
      </vt:variant>
      <vt:variant>
        <vt:lpwstr>_Toc163654668</vt:lpwstr>
      </vt:variant>
      <vt:variant>
        <vt:i4>1376305</vt:i4>
      </vt:variant>
      <vt:variant>
        <vt:i4>266</vt:i4>
      </vt:variant>
      <vt:variant>
        <vt:i4>0</vt:i4>
      </vt:variant>
      <vt:variant>
        <vt:i4>5</vt:i4>
      </vt:variant>
      <vt:variant>
        <vt:lpwstr/>
      </vt:variant>
      <vt:variant>
        <vt:lpwstr>_Toc163654667</vt:lpwstr>
      </vt:variant>
      <vt:variant>
        <vt:i4>1376305</vt:i4>
      </vt:variant>
      <vt:variant>
        <vt:i4>260</vt:i4>
      </vt:variant>
      <vt:variant>
        <vt:i4>0</vt:i4>
      </vt:variant>
      <vt:variant>
        <vt:i4>5</vt:i4>
      </vt:variant>
      <vt:variant>
        <vt:lpwstr/>
      </vt:variant>
      <vt:variant>
        <vt:lpwstr>_Toc163654666</vt:lpwstr>
      </vt:variant>
      <vt:variant>
        <vt:i4>1376305</vt:i4>
      </vt:variant>
      <vt:variant>
        <vt:i4>254</vt:i4>
      </vt:variant>
      <vt:variant>
        <vt:i4>0</vt:i4>
      </vt:variant>
      <vt:variant>
        <vt:i4>5</vt:i4>
      </vt:variant>
      <vt:variant>
        <vt:lpwstr/>
      </vt:variant>
      <vt:variant>
        <vt:lpwstr>_Toc163654665</vt:lpwstr>
      </vt:variant>
      <vt:variant>
        <vt:i4>1376305</vt:i4>
      </vt:variant>
      <vt:variant>
        <vt:i4>248</vt:i4>
      </vt:variant>
      <vt:variant>
        <vt:i4>0</vt:i4>
      </vt:variant>
      <vt:variant>
        <vt:i4>5</vt:i4>
      </vt:variant>
      <vt:variant>
        <vt:lpwstr/>
      </vt:variant>
      <vt:variant>
        <vt:lpwstr>_Toc163654664</vt:lpwstr>
      </vt:variant>
      <vt:variant>
        <vt:i4>1376305</vt:i4>
      </vt:variant>
      <vt:variant>
        <vt:i4>242</vt:i4>
      </vt:variant>
      <vt:variant>
        <vt:i4>0</vt:i4>
      </vt:variant>
      <vt:variant>
        <vt:i4>5</vt:i4>
      </vt:variant>
      <vt:variant>
        <vt:lpwstr/>
      </vt:variant>
      <vt:variant>
        <vt:lpwstr>_Toc163654663</vt:lpwstr>
      </vt:variant>
      <vt:variant>
        <vt:i4>1376305</vt:i4>
      </vt:variant>
      <vt:variant>
        <vt:i4>236</vt:i4>
      </vt:variant>
      <vt:variant>
        <vt:i4>0</vt:i4>
      </vt:variant>
      <vt:variant>
        <vt:i4>5</vt:i4>
      </vt:variant>
      <vt:variant>
        <vt:lpwstr/>
      </vt:variant>
      <vt:variant>
        <vt:lpwstr>_Toc163654662</vt:lpwstr>
      </vt:variant>
      <vt:variant>
        <vt:i4>1376305</vt:i4>
      </vt:variant>
      <vt:variant>
        <vt:i4>230</vt:i4>
      </vt:variant>
      <vt:variant>
        <vt:i4>0</vt:i4>
      </vt:variant>
      <vt:variant>
        <vt:i4>5</vt:i4>
      </vt:variant>
      <vt:variant>
        <vt:lpwstr/>
      </vt:variant>
      <vt:variant>
        <vt:lpwstr>_Toc163654661</vt:lpwstr>
      </vt:variant>
      <vt:variant>
        <vt:i4>1376305</vt:i4>
      </vt:variant>
      <vt:variant>
        <vt:i4>224</vt:i4>
      </vt:variant>
      <vt:variant>
        <vt:i4>0</vt:i4>
      </vt:variant>
      <vt:variant>
        <vt:i4>5</vt:i4>
      </vt:variant>
      <vt:variant>
        <vt:lpwstr/>
      </vt:variant>
      <vt:variant>
        <vt:lpwstr>_Toc163654660</vt:lpwstr>
      </vt:variant>
      <vt:variant>
        <vt:i4>1441841</vt:i4>
      </vt:variant>
      <vt:variant>
        <vt:i4>218</vt:i4>
      </vt:variant>
      <vt:variant>
        <vt:i4>0</vt:i4>
      </vt:variant>
      <vt:variant>
        <vt:i4>5</vt:i4>
      </vt:variant>
      <vt:variant>
        <vt:lpwstr/>
      </vt:variant>
      <vt:variant>
        <vt:lpwstr>_Toc163654659</vt:lpwstr>
      </vt:variant>
      <vt:variant>
        <vt:i4>1441841</vt:i4>
      </vt:variant>
      <vt:variant>
        <vt:i4>212</vt:i4>
      </vt:variant>
      <vt:variant>
        <vt:i4>0</vt:i4>
      </vt:variant>
      <vt:variant>
        <vt:i4>5</vt:i4>
      </vt:variant>
      <vt:variant>
        <vt:lpwstr/>
      </vt:variant>
      <vt:variant>
        <vt:lpwstr>_Toc163654658</vt:lpwstr>
      </vt:variant>
      <vt:variant>
        <vt:i4>1441841</vt:i4>
      </vt:variant>
      <vt:variant>
        <vt:i4>206</vt:i4>
      </vt:variant>
      <vt:variant>
        <vt:i4>0</vt:i4>
      </vt:variant>
      <vt:variant>
        <vt:i4>5</vt:i4>
      </vt:variant>
      <vt:variant>
        <vt:lpwstr/>
      </vt:variant>
      <vt:variant>
        <vt:lpwstr>_Toc163654657</vt:lpwstr>
      </vt:variant>
      <vt:variant>
        <vt:i4>1441841</vt:i4>
      </vt:variant>
      <vt:variant>
        <vt:i4>200</vt:i4>
      </vt:variant>
      <vt:variant>
        <vt:i4>0</vt:i4>
      </vt:variant>
      <vt:variant>
        <vt:i4>5</vt:i4>
      </vt:variant>
      <vt:variant>
        <vt:lpwstr/>
      </vt:variant>
      <vt:variant>
        <vt:lpwstr>_Toc163654656</vt:lpwstr>
      </vt:variant>
      <vt:variant>
        <vt:i4>1441841</vt:i4>
      </vt:variant>
      <vt:variant>
        <vt:i4>194</vt:i4>
      </vt:variant>
      <vt:variant>
        <vt:i4>0</vt:i4>
      </vt:variant>
      <vt:variant>
        <vt:i4>5</vt:i4>
      </vt:variant>
      <vt:variant>
        <vt:lpwstr/>
      </vt:variant>
      <vt:variant>
        <vt:lpwstr>_Toc163654655</vt:lpwstr>
      </vt:variant>
      <vt:variant>
        <vt:i4>1441841</vt:i4>
      </vt:variant>
      <vt:variant>
        <vt:i4>188</vt:i4>
      </vt:variant>
      <vt:variant>
        <vt:i4>0</vt:i4>
      </vt:variant>
      <vt:variant>
        <vt:i4>5</vt:i4>
      </vt:variant>
      <vt:variant>
        <vt:lpwstr/>
      </vt:variant>
      <vt:variant>
        <vt:lpwstr>_Toc163654654</vt:lpwstr>
      </vt:variant>
      <vt:variant>
        <vt:i4>1441841</vt:i4>
      </vt:variant>
      <vt:variant>
        <vt:i4>182</vt:i4>
      </vt:variant>
      <vt:variant>
        <vt:i4>0</vt:i4>
      </vt:variant>
      <vt:variant>
        <vt:i4>5</vt:i4>
      </vt:variant>
      <vt:variant>
        <vt:lpwstr/>
      </vt:variant>
      <vt:variant>
        <vt:lpwstr>_Toc163654653</vt:lpwstr>
      </vt:variant>
      <vt:variant>
        <vt:i4>1441841</vt:i4>
      </vt:variant>
      <vt:variant>
        <vt:i4>176</vt:i4>
      </vt:variant>
      <vt:variant>
        <vt:i4>0</vt:i4>
      </vt:variant>
      <vt:variant>
        <vt:i4>5</vt:i4>
      </vt:variant>
      <vt:variant>
        <vt:lpwstr/>
      </vt:variant>
      <vt:variant>
        <vt:lpwstr>_Toc163654652</vt:lpwstr>
      </vt:variant>
      <vt:variant>
        <vt:i4>1441841</vt:i4>
      </vt:variant>
      <vt:variant>
        <vt:i4>170</vt:i4>
      </vt:variant>
      <vt:variant>
        <vt:i4>0</vt:i4>
      </vt:variant>
      <vt:variant>
        <vt:i4>5</vt:i4>
      </vt:variant>
      <vt:variant>
        <vt:lpwstr/>
      </vt:variant>
      <vt:variant>
        <vt:lpwstr>_Toc163654651</vt:lpwstr>
      </vt:variant>
      <vt:variant>
        <vt:i4>1441841</vt:i4>
      </vt:variant>
      <vt:variant>
        <vt:i4>164</vt:i4>
      </vt:variant>
      <vt:variant>
        <vt:i4>0</vt:i4>
      </vt:variant>
      <vt:variant>
        <vt:i4>5</vt:i4>
      </vt:variant>
      <vt:variant>
        <vt:lpwstr/>
      </vt:variant>
      <vt:variant>
        <vt:lpwstr>_Toc163654650</vt:lpwstr>
      </vt:variant>
      <vt:variant>
        <vt:i4>1507377</vt:i4>
      </vt:variant>
      <vt:variant>
        <vt:i4>158</vt:i4>
      </vt:variant>
      <vt:variant>
        <vt:i4>0</vt:i4>
      </vt:variant>
      <vt:variant>
        <vt:i4>5</vt:i4>
      </vt:variant>
      <vt:variant>
        <vt:lpwstr/>
      </vt:variant>
      <vt:variant>
        <vt:lpwstr>_Toc163654649</vt:lpwstr>
      </vt:variant>
      <vt:variant>
        <vt:i4>1507377</vt:i4>
      </vt:variant>
      <vt:variant>
        <vt:i4>152</vt:i4>
      </vt:variant>
      <vt:variant>
        <vt:i4>0</vt:i4>
      </vt:variant>
      <vt:variant>
        <vt:i4>5</vt:i4>
      </vt:variant>
      <vt:variant>
        <vt:lpwstr/>
      </vt:variant>
      <vt:variant>
        <vt:lpwstr>_Toc163654648</vt:lpwstr>
      </vt:variant>
      <vt:variant>
        <vt:i4>1507377</vt:i4>
      </vt:variant>
      <vt:variant>
        <vt:i4>146</vt:i4>
      </vt:variant>
      <vt:variant>
        <vt:i4>0</vt:i4>
      </vt:variant>
      <vt:variant>
        <vt:i4>5</vt:i4>
      </vt:variant>
      <vt:variant>
        <vt:lpwstr/>
      </vt:variant>
      <vt:variant>
        <vt:lpwstr>_Toc163654647</vt:lpwstr>
      </vt:variant>
      <vt:variant>
        <vt:i4>1507377</vt:i4>
      </vt:variant>
      <vt:variant>
        <vt:i4>140</vt:i4>
      </vt:variant>
      <vt:variant>
        <vt:i4>0</vt:i4>
      </vt:variant>
      <vt:variant>
        <vt:i4>5</vt:i4>
      </vt:variant>
      <vt:variant>
        <vt:lpwstr/>
      </vt:variant>
      <vt:variant>
        <vt:lpwstr>_Toc163654646</vt:lpwstr>
      </vt:variant>
      <vt:variant>
        <vt:i4>1507377</vt:i4>
      </vt:variant>
      <vt:variant>
        <vt:i4>134</vt:i4>
      </vt:variant>
      <vt:variant>
        <vt:i4>0</vt:i4>
      </vt:variant>
      <vt:variant>
        <vt:i4>5</vt:i4>
      </vt:variant>
      <vt:variant>
        <vt:lpwstr/>
      </vt:variant>
      <vt:variant>
        <vt:lpwstr>_Toc163654645</vt:lpwstr>
      </vt:variant>
      <vt:variant>
        <vt:i4>1507377</vt:i4>
      </vt:variant>
      <vt:variant>
        <vt:i4>128</vt:i4>
      </vt:variant>
      <vt:variant>
        <vt:i4>0</vt:i4>
      </vt:variant>
      <vt:variant>
        <vt:i4>5</vt:i4>
      </vt:variant>
      <vt:variant>
        <vt:lpwstr/>
      </vt:variant>
      <vt:variant>
        <vt:lpwstr>_Toc163654644</vt:lpwstr>
      </vt:variant>
      <vt:variant>
        <vt:i4>1507377</vt:i4>
      </vt:variant>
      <vt:variant>
        <vt:i4>122</vt:i4>
      </vt:variant>
      <vt:variant>
        <vt:i4>0</vt:i4>
      </vt:variant>
      <vt:variant>
        <vt:i4>5</vt:i4>
      </vt:variant>
      <vt:variant>
        <vt:lpwstr/>
      </vt:variant>
      <vt:variant>
        <vt:lpwstr>_Toc163654643</vt:lpwstr>
      </vt:variant>
      <vt:variant>
        <vt:i4>1507377</vt:i4>
      </vt:variant>
      <vt:variant>
        <vt:i4>116</vt:i4>
      </vt:variant>
      <vt:variant>
        <vt:i4>0</vt:i4>
      </vt:variant>
      <vt:variant>
        <vt:i4>5</vt:i4>
      </vt:variant>
      <vt:variant>
        <vt:lpwstr/>
      </vt:variant>
      <vt:variant>
        <vt:lpwstr>_Toc163654642</vt:lpwstr>
      </vt:variant>
      <vt:variant>
        <vt:i4>1507377</vt:i4>
      </vt:variant>
      <vt:variant>
        <vt:i4>110</vt:i4>
      </vt:variant>
      <vt:variant>
        <vt:i4>0</vt:i4>
      </vt:variant>
      <vt:variant>
        <vt:i4>5</vt:i4>
      </vt:variant>
      <vt:variant>
        <vt:lpwstr/>
      </vt:variant>
      <vt:variant>
        <vt:lpwstr>_Toc163654641</vt:lpwstr>
      </vt:variant>
      <vt:variant>
        <vt:i4>1507377</vt:i4>
      </vt:variant>
      <vt:variant>
        <vt:i4>104</vt:i4>
      </vt:variant>
      <vt:variant>
        <vt:i4>0</vt:i4>
      </vt:variant>
      <vt:variant>
        <vt:i4>5</vt:i4>
      </vt:variant>
      <vt:variant>
        <vt:lpwstr/>
      </vt:variant>
      <vt:variant>
        <vt:lpwstr>_Toc163654640</vt:lpwstr>
      </vt:variant>
      <vt:variant>
        <vt:i4>1048625</vt:i4>
      </vt:variant>
      <vt:variant>
        <vt:i4>98</vt:i4>
      </vt:variant>
      <vt:variant>
        <vt:i4>0</vt:i4>
      </vt:variant>
      <vt:variant>
        <vt:i4>5</vt:i4>
      </vt:variant>
      <vt:variant>
        <vt:lpwstr/>
      </vt:variant>
      <vt:variant>
        <vt:lpwstr>_Toc163654639</vt:lpwstr>
      </vt:variant>
      <vt:variant>
        <vt:i4>1048625</vt:i4>
      </vt:variant>
      <vt:variant>
        <vt:i4>92</vt:i4>
      </vt:variant>
      <vt:variant>
        <vt:i4>0</vt:i4>
      </vt:variant>
      <vt:variant>
        <vt:i4>5</vt:i4>
      </vt:variant>
      <vt:variant>
        <vt:lpwstr/>
      </vt:variant>
      <vt:variant>
        <vt:lpwstr>_Toc163654638</vt:lpwstr>
      </vt:variant>
      <vt:variant>
        <vt:i4>1048625</vt:i4>
      </vt:variant>
      <vt:variant>
        <vt:i4>86</vt:i4>
      </vt:variant>
      <vt:variant>
        <vt:i4>0</vt:i4>
      </vt:variant>
      <vt:variant>
        <vt:i4>5</vt:i4>
      </vt:variant>
      <vt:variant>
        <vt:lpwstr/>
      </vt:variant>
      <vt:variant>
        <vt:lpwstr>_Toc163654637</vt:lpwstr>
      </vt:variant>
      <vt:variant>
        <vt:i4>1048625</vt:i4>
      </vt:variant>
      <vt:variant>
        <vt:i4>80</vt:i4>
      </vt:variant>
      <vt:variant>
        <vt:i4>0</vt:i4>
      </vt:variant>
      <vt:variant>
        <vt:i4>5</vt:i4>
      </vt:variant>
      <vt:variant>
        <vt:lpwstr/>
      </vt:variant>
      <vt:variant>
        <vt:lpwstr>_Toc163654636</vt:lpwstr>
      </vt:variant>
      <vt:variant>
        <vt:i4>1048625</vt:i4>
      </vt:variant>
      <vt:variant>
        <vt:i4>74</vt:i4>
      </vt:variant>
      <vt:variant>
        <vt:i4>0</vt:i4>
      </vt:variant>
      <vt:variant>
        <vt:i4>5</vt:i4>
      </vt:variant>
      <vt:variant>
        <vt:lpwstr/>
      </vt:variant>
      <vt:variant>
        <vt:lpwstr>_Toc163654635</vt:lpwstr>
      </vt:variant>
      <vt:variant>
        <vt:i4>1048625</vt:i4>
      </vt:variant>
      <vt:variant>
        <vt:i4>68</vt:i4>
      </vt:variant>
      <vt:variant>
        <vt:i4>0</vt:i4>
      </vt:variant>
      <vt:variant>
        <vt:i4>5</vt:i4>
      </vt:variant>
      <vt:variant>
        <vt:lpwstr/>
      </vt:variant>
      <vt:variant>
        <vt:lpwstr>_Toc163654634</vt:lpwstr>
      </vt:variant>
      <vt:variant>
        <vt:i4>1048625</vt:i4>
      </vt:variant>
      <vt:variant>
        <vt:i4>62</vt:i4>
      </vt:variant>
      <vt:variant>
        <vt:i4>0</vt:i4>
      </vt:variant>
      <vt:variant>
        <vt:i4>5</vt:i4>
      </vt:variant>
      <vt:variant>
        <vt:lpwstr/>
      </vt:variant>
      <vt:variant>
        <vt:lpwstr>_Toc163654633</vt:lpwstr>
      </vt:variant>
      <vt:variant>
        <vt:i4>1048625</vt:i4>
      </vt:variant>
      <vt:variant>
        <vt:i4>56</vt:i4>
      </vt:variant>
      <vt:variant>
        <vt:i4>0</vt:i4>
      </vt:variant>
      <vt:variant>
        <vt:i4>5</vt:i4>
      </vt:variant>
      <vt:variant>
        <vt:lpwstr/>
      </vt:variant>
      <vt:variant>
        <vt:lpwstr>_Toc163654632</vt:lpwstr>
      </vt:variant>
      <vt:variant>
        <vt:i4>1048625</vt:i4>
      </vt:variant>
      <vt:variant>
        <vt:i4>50</vt:i4>
      </vt:variant>
      <vt:variant>
        <vt:i4>0</vt:i4>
      </vt:variant>
      <vt:variant>
        <vt:i4>5</vt:i4>
      </vt:variant>
      <vt:variant>
        <vt:lpwstr/>
      </vt:variant>
      <vt:variant>
        <vt:lpwstr>_Toc163654631</vt:lpwstr>
      </vt:variant>
      <vt:variant>
        <vt:i4>1048625</vt:i4>
      </vt:variant>
      <vt:variant>
        <vt:i4>44</vt:i4>
      </vt:variant>
      <vt:variant>
        <vt:i4>0</vt:i4>
      </vt:variant>
      <vt:variant>
        <vt:i4>5</vt:i4>
      </vt:variant>
      <vt:variant>
        <vt:lpwstr/>
      </vt:variant>
      <vt:variant>
        <vt:lpwstr>_Toc163654630</vt:lpwstr>
      </vt:variant>
      <vt:variant>
        <vt:i4>1114161</vt:i4>
      </vt:variant>
      <vt:variant>
        <vt:i4>38</vt:i4>
      </vt:variant>
      <vt:variant>
        <vt:i4>0</vt:i4>
      </vt:variant>
      <vt:variant>
        <vt:i4>5</vt:i4>
      </vt:variant>
      <vt:variant>
        <vt:lpwstr/>
      </vt:variant>
      <vt:variant>
        <vt:lpwstr>_Toc163654629</vt:lpwstr>
      </vt:variant>
      <vt:variant>
        <vt:i4>1114161</vt:i4>
      </vt:variant>
      <vt:variant>
        <vt:i4>32</vt:i4>
      </vt:variant>
      <vt:variant>
        <vt:i4>0</vt:i4>
      </vt:variant>
      <vt:variant>
        <vt:i4>5</vt:i4>
      </vt:variant>
      <vt:variant>
        <vt:lpwstr/>
      </vt:variant>
      <vt:variant>
        <vt:lpwstr>_Toc163654628</vt:lpwstr>
      </vt:variant>
      <vt:variant>
        <vt:i4>1114161</vt:i4>
      </vt:variant>
      <vt:variant>
        <vt:i4>26</vt:i4>
      </vt:variant>
      <vt:variant>
        <vt:i4>0</vt:i4>
      </vt:variant>
      <vt:variant>
        <vt:i4>5</vt:i4>
      </vt:variant>
      <vt:variant>
        <vt:lpwstr/>
      </vt:variant>
      <vt:variant>
        <vt:lpwstr>_Toc163654627</vt:lpwstr>
      </vt:variant>
      <vt:variant>
        <vt:i4>1114161</vt:i4>
      </vt:variant>
      <vt:variant>
        <vt:i4>20</vt:i4>
      </vt:variant>
      <vt:variant>
        <vt:i4>0</vt:i4>
      </vt:variant>
      <vt:variant>
        <vt:i4>5</vt:i4>
      </vt:variant>
      <vt:variant>
        <vt:lpwstr/>
      </vt:variant>
      <vt:variant>
        <vt:lpwstr>_Toc163654626</vt:lpwstr>
      </vt:variant>
      <vt:variant>
        <vt:i4>1114161</vt:i4>
      </vt:variant>
      <vt:variant>
        <vt:i4>14</vt:i4>
      </vt:variant>
      <vt:variant>
        <vt:i4>0</vt:i4>
      </vt:variant>
      <vt:variant>
        <vt:i4>5</vt:i4>
      </vt:variant>
      <vt:variant>
        <vt:lpwstr/>
      </vt:variant>
      <vt:variant>
        <vt:lpwstr>_Toc163654625</vt:lpwstr>
      </vt:variant>
      <vt:variant>
        <vt:i4>1179697</vt:i4>
      </vt:variant>
      <vt:variant>
        <vt:i4>8</vt:i4>
      </vt:variant>
      <vt:variant>
        <vt:i4>0</vt:i4>
      </vt:variant>
      <vt:variant>
        <vt:i4>5</vt:i4>
      </vt:variant>
      <vt:variant>
        <vt:lpwstr/>
      </vt:variant>
      <vt:variant>
        <vt:lpwstr>_Toc163654616</vt:lpwstr>
      </vt:variant>
      <vt:variant>
        <vt:i4>1179697</vt:i4>
      </vt:variant>
      <vt:variant>
        <vt:i4>2</vt:i4>
      </vt:variant>
      <vt:variant>
        <vt:i4>0</vt:i4>
      </vt:variant>
      <vt:variant>
        <vt:i4>5</vt:i4>
      </vt:variant>
      <vt:variant>
        <vt:lpwstr/>
      </vt:variant>
      <vt:variant>
        <vt:lpwstr>_Toc163654615</vt:lpwstr>
      </vt:variant>
      <vt:variant>
        <vt:i4>2949178</vt:i4>
      </vt:variant>
      <vt:variant>
        <vt:i4>60</vt:i4>
      </vt:variant>
      <vt:variant>
        <vt:i4>0</vt:i4>
      </vt:variant>
      <vt:variant>
        <vt:i4>5</vt:i4>
      </vt:variant>
      <vt:variant>
        <vt:lpwstr>https://tuturu.org.nz/</vt:lpwstr>
      </vt:variant>
      <vt:variant>
        <vt:lpwstr/>
      </vt:variant>
      <vt:variant>
        <vt:i4>3342385</vt:i4>
      </vt:variant>
      <vt:variant>
        <vt:i4>57</vt:i4>
      </vt:variant>
      <vt:variant>
        <vt:i4>0</vt:i4>
      </vt:variant>
      <vt:variant>
        <vt:i4>5</vt:i4>
      </vt:variant>
      <vt:variant>
        <vt:lpwstr>https://www.treasury.govt.nz/publications/risa/cost-recovery-impact-statement-problem-gambling-levy-2022-23-2024-25</vt:lpwstr>
      </vt:variant>
      <vt:variant>
        <vt:lpwstr/>
      </vt:variant>
      <vt:variant>
        <vt:i4>2883698</vt:i4>
      </vt:variant>
      <vt:variant>
        <vt:i4>54</vt:i4>
      </vt:variant>
      <vt:variant>
        <vt:i4>0</vt:i4>
      </vt:variant>
      <vt:variant>
        <vt:i4>5</vt:i4>
      </vt:variant>
      <vt:variant>
        <vt:lpwstr>https://www.dia.govt.nz/onlinegamblingconsultation</vt:lpwstr>
      </vt:variant>
      <vt:variant>
        <vt:lpwstr/>
      </vt:variant>
      <vt:variant>
        <vt:i4>5832797</vt:i4>
      </vt:variant>
      <vt:variant>
        <vt:i4>51</vt:i4>
      </vt:variant>
      <vt:variant>
        <vt:i4>0</vt:i4>
      </vt:variant>
      <vt:variant>
        <vt:i4>5</vt:i4>
      </vt:variant>
      <vt:variant>
        <vt:lpwstr>https://www.nzherald.co.nz/nz/google-pulls-bet22-gambling-ad-featuring-brendon-mccullum-from-youtube/I6ACWB7YHFCZ5LTC5V4YUAITBE/</vt:lpwstr>
      </vt:variant>
      <vt:variant>
        <vt:lpwstr/>
      </vt:variant>
      <vt:variant>
        <vt:i4>2359392</vt:i4>
      </vt:variant>
      <vt:variant>
        <vt:i4>48</vt:i4>
      </vt:variant>
      <vt:variant>
        <vt:i4>0</vt:i4>
      </vt:variant>
      <vt:variant>
        <vt:i4>5</vt:i4>
      </vt:variant>
      <vt:variant>
        <vt:lpwstr>https://www.parliament.nz/en/pb/order-paper-questions/written-questions/document/WQ_19699_2023/19699-2023-andrew-bayly-to-the-associate-minister-of</vt:lpwstr>
      </vt:variant>
      <vt:variant>
        <vt:lpwstr/>
      </vt:variant>
      <vt:variant>
        <vt:i4>2883691</vt:i4>
      </vt:variant>
      <vt:variant>
        <vt:i4>45</vt:i4>
      </vt:variant>
      <vt:variant>
        <vt:i4>0</vt:i4>
      </vt:variant>
      <vt:variant>
        <vt:i4>5</vt:i4>
      </vt:variant>
      <vt:variant>
        <vt:lpwstr>https://www.ird.govt.nz/gst/gst-for-overseas-businesses/supplying-remote-services-into-new-zealand</vt:lpwstr>
      </vt:variant>
      <vt:variant>
        <vt:lpwstr/>
      </vt:variant>
      <vt:variant>
        <vt:i4>5505076</vt:i4>
      </vt:variant>
      <vt:variant>
        <vt:i4>33</vt:i4>
      </vt:variant>
      <vt:variant>
        <vt:i4>0</vt:i4>
      </vt:variant>
      <vt:variant>
        <vt:i4>5</vt:i4>
      </vt:variant>
      <vt:variant>
        <vt:lpwstr>https://en.wikipedia.org/wiki/Christchurch_Casino</vt:lpwstr>
      </vt:variant>
      <vt:variant>
        <vt:lpwstr/>
      </vt:variant>
      <vt:variant>
        <vt:i4>7208966</vt:i4>
      </vt:variant>
      <vt:variant>
        <vt:i4>30</vt:i4>
      </vt:variant>
      <vt:variant>
        <vt:i4>0</vt:i4>
      </vt:variant>
      <vt:variant>
        <vt:i4>5</vt:i4>
      </vt:variant>
      <vt:variant>
        <vt:lpwstr>https://www.gamblingcommission.govt.nz/GCwebsite.nsf/wpg_URL/Reports-Publications-Problem-Gambling-Levy-2022-2025!OpenDocument</vt:lpwstr>
      </vt:variant>
      <vt:variant>
        <vt:lpwstr/>
      </vt:variant>
      <vt:variant>
        <vt:i4>3801149</vt:i4>
      </vt:variant>
      <vt:variant>
        <vt:i4>27</vt:i4>
      </vt:variant>
      <vt:variant>
        <vt:i4>0</vt:i4>
      </vt:variant>
      <vt:variant>
        <vt:i4>5</vt:i4>
      </vt:variant>
      <vt:variant>
        <vt:lpwstr>https://www.health.govt.nz/system/files/documents/publications/gambling-harm-needs-assessment-2021.pdf</vt:lpwstr>
      </vt:variant>
      <vt:variant>
        <vt:lpwstr/>
      </vt:variant>
      <vt:variant>
        <vt:i4>3145783</vt:i4>
      </vt:variant>
      <vt:variant>
        <vt:i4>24</vt:i4>
      </vt:variant>
      <vt:variant>
        <vt:i4>0</vt:i4>
      </vt:variant>
      <vt:variant>
        <vt:i4>5</vt:i4>
      </vt:variant>
      <vt:variant>
        <vt:lpwstr>https://www.health.govt.nz/publication/gambling-harm-reduction-needs-assessment</vt:lpwstr>
      </vt:variant>
      <vt:variant>
        <vt:lpwstr/>
      </vt:variant>
      <vt:variant>
        <vt:i4>5242965</vt:i4>
      </vt:variant>
      <vt:variant>
        <vt:i4>21</vt:i4>
      </vt:variant>
      <vt:variant>
        <vt:i4>0</vt:i4>
      </vt:variant>
      <vt:variant>
        <vt:i4>5</vt:i4>
      </vt:variant>
      <vt:variant>
        <vt:lpwstr>https://www.health.govt.nz/system/files/documents/publications/informing-2015-gambling-harm-needs-assessmnt-jul15.pdf</vt:lpwstr>
      </vt:variant>
      <vt:variant>
        <vt:lpwstr/>
      </vt:variant>
      <vt:variant>
        <vt:i4>2621539</vt:i4>
      </vt:variant>
      <vt:variant>
        <vt:i4>18</vt:i4>
      </vt:variant>
      <vt:variant>
        <vt:i4>0</vt:i4>
      </vt:variant>
      <vt:variant>
        <vt:i4>5</vt:i4>
      </vt:variant>
      <vt:variant>
        <vt:lpwstr>http://www.health.govt.nz/system/files/documents/publications/gambling-harm-report-jul2012.pdf</vt:lpwstr>
      </vt:variant>
      <vt:variant>
        <vt:lpwstr/>
      </vt:variant>
      <vt:variant>
        <vt:i4>2687079</vt:i4>
      </vt:variant>
      <vt:variant>
        <vt:i4>15</vt:i4>
      </vt:variant>
      <vt:variant>
        <vt:i4>0</vt:i4>
      </vt:variant>
      <vt:variant>
        <vt:i4>5</vt:i4>
      </vt:variant>
      <vt:variant>
        <vt:lpwstr>http://www.health.govt.nz/publication/informing-2009-problem-gambling-needs-assessment-report-ministry-health-0</vt:lpwstr>
      </vt:variant>
      <vt:variant>
        <vt:lpwstr/>
      </vt:variant>
      <vt:variant>
        <vt:i4>3801149</vt:i4>
      </vt:variant>
      <vt:variant>
        <vt:i4>12</vt:i4>
      </vt:variant>
      <vt:variant>
        <vt:i4>0</vt:i4>
      </vt:variant>
      <vt:variant>
        <vt:i4>5</vt:i4>
      </vt:variant>
      <vt:variant>
        <vt:lpwstr>https://www.health.govt.nz/system/files/documents/publications/gambling-harm-needs-assessment-2021.pdf</vt:lpwstr>
      </vt:variant>
      <vt:variant>
        <vt:lpwstr/>
      </vt:variant>
      <vt:variant>
        <vt:i4>3145783</vt:i4>
      </vt:variant>
      <vt:variant>
        <vt:i4>9</vt:i4>
      </vt:variant>
      <vt:variant>
        <vt:i4>0</vt:i4>
      </vt:variant>
      <vt:variant>
        <vt:i4>5</vt:i4>
      </vt:variant>
      <vt:variant>
        <vt:lpwstr>https://www.health.govt.nz/publication/gambling-harm-reduction-needs-assessment</vt:lpwstr>
      </vt:variant>
      <vt:variant>
        <vt:lpwstr/>
      </vt:variant>
      <vt:variant>
        <vt:i4>5242965</vt:i4>
      </vt:variant>
      <vt:variant>
        <vt:i4>6</vt:i4>
      </vt:variant>
      <vt:variant>
        <vt:i4>0</vt:i4>
      </vt:variant>
      <vt:variant>
        <vt:i4>5</vt:i4>
      </vt:variant>
      <vt:variant>
        <vt:lpwstr>https://www.health.govt.nz/system/files/documents/publications/informing-2015-gambling-harm-needs-assessmnt-jul15.pdf</vt:lpwstr>
      </vt:variant>
      <vt:variant>
        <vt:lpwstr/>
      </vt:variant>
      <vt:variant>
        <vt:i4>2621539</vt:i4>
      </vt:variant>
      <vt:variant>
        <vt:i4>3</vt:i4>
      </vt:variant>
      <vt:variant>
        <vt:i4>0</vt:i4>
      </vt:variant>
      <vt:variant>
        <vt:i4>5</vt:i4>
      </vt:variant>
      <vt:variant>
        <vt:lpwstr>http://www.health.govt.nz/system/files/documents/publications/gambling-harm-report-jul2012.pdf</vt:lpwstr>
      </vt:variant>
      <vt:variant>
        <vt:lpwstr/>
      </vt:variant>
      <vt:variant>
        <vt:i4>2687079</vt:i4>
      </vt:variant>
      <vt:variant>
        <vt:i4>0</vt:i4>
      </vt:variant>
      <vt:variant>
        <vt:i4>0</vt:i4>
      </vt:variant>
      <vt:variant>
        <vt:i4>5</vt:i4>
      </vt:variant>
      <vt:variant>
        <vt:lpwstr>http://www.health.govt.nz/publication/informing-2009-problem-gambling-needs-assessment-report-ministry-health-0</vt:lpwstr>
      </vt:variant>
      <vt:variant>
        <vt:lpwstr/>
      </vt:variant>
      <vt:variant>
        <vt:i4>3276902</vt:i4>
      </vt:variant>
      <vt:variant>
        <vt:i4>9</vt:i4>
      </vt:variant>
      <vt:variant>
        <vt:i4>0</vt:i4>
      </vt:variant>
      <vt:variant>
        <vt:i4>5</vt:i4>
      </vt:variant>
      <vt:variant>
        <vt:lpwstr>http://www.thinksapere.com/</vt:lpwstr>
      </vt:variant>
      <vt:variant>
        <vt:lpwstr/>
      </vt:variant>
      <vt:variant>
        <vt:i4>786461</vt:i4>
      </vt:variant>
      <vt:variant>
        <vt:i4>6</vt:i4>
      </vt:variant>
      <vt:variant>
        <vt:i4>0</vt:i4>
      </vt:variant>
      <vt:variant>
        <vt:i4>5</vt:i4>
      </vt:variant>
      <vt:variant>
        <vt:lpwstr>http://www.malatest-intl.com/</vt:lpwstr>
      </vt:variant>
      <vt:variant>
        <vt:lpwstr/>
      </vt:variant>
      <vt:variant>
        <vt:i4>7208966</vt:i4>
      </vt:variant>
      <vt:variant>
        <vt:i4>33</vt:i4>
      </vt:variant>
      <vt:variant>
        <vt:i4>0</vt:i4>
      </vt:variant>
      <vt:variant>
        <vt:i4>5</vt:i4>
      </vt:variant>
      <vt:variant>
        <vt:lpwstr>https://www.gamblingcommission.govt.nz/GCwebsite.nsf/wpg_URL/Reports-Publications-Problem-Gambling-Levy-2022-2025!OpenDocument</vt:lpwstr>
      </vt:variant>
      <vt:variant>
        <vt:lpwstr/>
      </vt:variant>
      <vt:variant>
        <vt:i4>1900608</vt:i4>
      </vt:variant>
      <vt:variant>
        <vt:i4>30</vt:i4>
      </vt:variant>
      <vt:variant>
        <vt:i4>0</vt:i4>
      </vt:variant>
      <vt:variant>
        <vt:i4>5</vt:i4>
      </vt:variant>
      <vt:variant>
        <vt:lpwstr>https://www.health.govt.nz/publication/pasifika-youth-online-gaming-and-gambling-research-are-online-video-games-gateway-problem-gambling</vt:lpwstr>
      </vt:variant>
      <vt:variant>
        <vt:lpwstr/>
      </vt:variant>
      <vt:variant>
        <vt:i4>6881326</vt:i4>
      </vt:variant>
      <vt:variant>
        <vt:i4>27</vt:i4>
      </vt:variant>
      <vt:variant>
        <vt:i4>0</vt:i4>
      </vt:variant>
      <vt:variant>
        <vt:i4>5</vt:i4>
      </vt:variant>
      <vt:variant>
        <vt:lpwstr>https://www.health.govt.nz/publication/strategy-prevent-and-minimise-gambling-harm-2022-23-2024-25</vt:lpwstr>
      </vt:variant>
      <vt:variant>
        <vt:lpwstr/>
      </vt:variant>
      <vt:variant>
        <vt:i4>5242920</vt:i4>
      </vt:variant>
      <vt:variant>
        <vt:i4>24</vt:i4>
      </vt:variant>
      <vt:variant>
        <vt:i4>0</vt:i4>
      </vt:variant>
      <vt:variant>
        <vt:i4>5</vt:i4>
      </vt:variant>
      <vt:variant>
        <vt:lpwstr>mailto:Sean-Paul.Kearns@health.govt.nz</vt:lpwstr>
      </vt:variant>
      <vt:variant>
        <vt:lpwstr/>
      </vt:variant>
      <vt:variant>
        <vt:i4>5111883</vt:i4>
      </vt:variant>
      <vt:variant>
        <vt:i4>21</vt:i4>
      </vt:variant>
      <vt:variant>
        <vt:i4>0</vt:i4>
      </vt:variant>
      <vt:variant>
        <vt:i4>5</vt:i4>
      </vt:variant>
      <vt:variant>
        <vt:lpwstr>https://kupe.healthpromotion.govt.nz/</vt:lpwstr>
      </vt:variant>
      <vt:variant>
        <vt:lpwstr/>
      </vt:variant>
      <vt:variant>
        <vt:i4>6684715</vt:i4>
      </vt:variant>
      <vt:variant>
        <vt:i4>18</vt:i4>
      </vt:variant>
      <vt:variant>
        <vt:i4>0</vt:i4>
      </vt:variant>
      <vt:variant>
        <vt:i4>5</vt:i4>
      </vt:variant>
      <vt:variant>
        <vt:lpwstr>https://www.dia.govt.nz/gambling-statistics-expenditure</vt:lpwstr>
      </vt:variant>
      <vt:variant>
        <vt:lpwstr/>
      </vt:variant>
      <vt:variant>
        <vt:i4>4849753</vt:i4>
      </vt:variant>
      <vt:variant>
        <vt:i4>15</vt:i4>
      </vt:variant>
      <vt:variant>
        <vt:i4>0</vt:i4>
      </vt:variant>
      <vt:variant>
        <vt:i4>5</vt:i4>
      </vt:variant>
      <vt:variant>
        <vt:lpwstr>https://www.dia.govt.nz/Gambling-class-3-lottery-license-rule-changes</vt:lpwstr>
      </vt:variant>
      <vt:variant>
        <vt:lpwstr/>
      </vt:variant>
      <vt:variant>
        <vt:i4>6881396</vt:i4>
      </vt:variant>
      <vt:variant>
        <vt:i4>12</vt:i4>
      </vt:variant>
      <vt:variant>
        <vt:i4>0</vt:i4>
      </vt:variant>
      <vt:variant>
        <vt:i4>5</vt:i4>
      </vt:variant>
      <vt:variant>
        <vt:lpwstr>https://catalogue.data.govt.nz/dataset/gambling-expenditure-statistics</vt:lpwstr>
      </vt:variant>
      <vt:variant>
        <vt:lpwstr/>
      </vt:variant>
      <vt:variant>
        <vt:i4>524303</vt:i4>
      </vt:variant>
      <vt:variant>
        <vt:i4>9</vt:i4>
      </vt:variant>
      <vt:variant>
        <vt:i4>0</vt:i4>
      </vt:variant>
      <vt:variant>
        <vt:i4>5</vt:i4>
      </vt:variant>
      <vt:variant>
        <vt:lpwstr>https://www.w3.org/TR/WCAG20/</vt:lpwstr>
      </vt:variant>
      <vt:variant>
        <vt:lpwstr>relativeluminancedef</vt:lpwstr>
      </vt:variant>
      <vt:variant>
        <vt:i4>524303</vt:i4>
      </vt:variant>
      <vt:variant>
        <vt:i4>6</vt:i4>
      </vt:variant>
      <vt:variant>
        <vt:i4>0</vt:i4>
      </vt:variant>
      <vt:variant>
        <vt:i4>5</vt:i4>
      </vt:variant>
      <vt:variant>
        <vt:lpwstr>https://www.w3.org/TR/WCAG20/</vt:lpwstr>
      </vt:variant>
      <vt:variant>
        <vt:lpwstr>relativeluminancedef</vt:lpwstr>
      </vt:variant>
      <vt:variant>
        <vt:i4>6684715</vt:i4>
      </vt:variant>
      <vt:variant>
        <vt:i4>3</vt:i4>
      </vt:variant>
      <vt:variant>
        <vt:i4>0</vt:i4>
      </vt:variant>
      <vt:variant>
        <vt:i4>5</vt:i4>
      </vt:variant>
      <vt:variant>
        <vt:lpwstr>https://www.dia.govt.nz/gambling-statistics-expenditure</vt:lpwstr>
      </vt:variant>
      <vt:variant>
        <vt:lpwstr/>
      </vt:variant>
      <vt:variant>
        <vt:i4>7143548</vt:i4>
      </vt:variant>
      <vt:variant>
        <vt:i4>0</vt:i4>
      </vt:variant>
      <vt:variant>
        <vt:i4>0</vt:i4>
      </vt:variant>
      <vt:variant>
        <vt:i4>5</vt:i4>
      </vt:variant>
      <vt:variant>
        <vt:lpwstr>https://catalogue.data.govt.nz/dataset/gaming-machine-profits-gmp-dashboard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Rohan Trill</dc:creator>
  <cp:keywords/>
  <dc:description/>
  <cp:lastModifiedBy>Lana Perese</cp:lastModifiedBy>
  <cp:revision>6</cp:revision>
  <cp:lastPrinted>2024-08-19T22:12:00Z</cp:lastPrinted>
  <dcterms:created xsi:type="dcterms:W3CDTF">2024-08-19T21:40:00Z</dcterms:created>
  <dcterms:modified xsi:type="dcterms:W3CDTF">2024-08-19T22:15:00Z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_dlc_DocIdItemGuid">
    <vt:lpwstr>26029fc4-dfe8-4e82-99a8-cdfa0eb00a90</vt:lpwstr>
  </property>
  <property fmtid="{D5CDD505-2E9C-101B-9397-08002B2CF9AE}" pid="4" name="ContentTypeId">
    <vt:lpwstr>0x010100A28230263C7D7A4FB197614F88F6A462</vt:lpwstr>
  </property>
  <property fmtid="{D5CDD505-2E9C-101B-9397-08002B2CF9AE}" pid="5" name="Archive">
    <vt:lpwstr/>
  </property>
  <property fmtid="{D5CDD505-2E9C-101B-9397-08002B2CF9AE}" pid="6" name="ZOTERO_PREF_1">
    <vt:lpwstr>&lt;data data-version="3" zotero-version="6.0.36"&gt;&lt;session id="nV74fFHO"/&gt;&lt;style id="http://www.zotero.org/styles/apa" locale="en-GB" hasBibliography="1" bibliographyStyleHasBeenSet="1"/&gt;&lt;prefs&gt;&lt;pref name="fieldType" value="Field"/&gt;&lt;/prefs&gt;&lt;/data&gt;</vt:lpwstr>
  </property>
</Properties>
</file>