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7777777" w:rsidR="0077112D" w:rsidRPr="00702088" w:rsidRDefault="0077112D" w:rsidP="0077112D">
            <w:pPr>
              <w:pStyle w:val="Title"/>
              <w:rPr>
                <w:lang w:val="en-NZ"/>
              </w:rPr>
            </w:pPr>
            <w:bookmarkStart w:id="0" w:name="_Hlk36565914"/>
            <w:r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7E0F5CFA" w14:textId="0271F8F2" w:rsidR="0077112D" w:rsidRPr="00702088" w:rsidRDefault="00057933" w:rsidP="00530526">
            <w:pPr>
              <w:pStyle w:val="Subhead"/>
              <w:rPr>
                <w:lang w:val="en-NZ"/>
              </w:rPr>
            </w:pPr>
            <w:r w:rsidRPr="00057933">
              <w:rPr>
                <w:lang w:val="en-NZ"/>
              </w:rPr>
              <w:t xml:space="preserve">Key changes to the Medicinal Cannabis Scheme </w:t>
            </w:r>
            <w:r w:rsidRPr="00FD6DCC">
              <w:rPr>
                <w:lang w:val="en-NZ"/>
              </w:rPr>
              <w:t>Ju</w:t>
            </w:r>
            <w:r w:rsidR="00FD6DCC">
              <w:rPr>
                <w:lang w:val="en-NZ"/>
              </w:rPr>
              <w:t>ly</w:t>
            </w:r>
            <w:r w:rsidRPr="00FD6DCC">
              <w:rPr>
                <w:lang w:val="en-NZ"/>
              </w:rPr>
              <w:t xml:space="preserve"> 2024</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even" r:id="rId12"/>
          <w:headerReference w:type="default" r:id="rId13"/>
          <w:footerReference w:type="even" r:id="rId14"/>
          <w:footerReference w:type="default" r:id="rId15"/>
          <w:headerReference w:type="first" r:id="rId16"/>
          <w:footerReference w:type="first" r:id="rId17"/>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53F988AD"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sidRPr="00F21905">
        <w:rPr>
          <w:rFonts w:cs="Segoe UI"/>
          <w:color w:val="auto"/>
          <w:sz w:val="22"/>
          <w:szCs w:val="22"/>
        </w:rPr>
        <w:t>202</w:t>
      </w:r>
      <w:r w:rsidR="00F21905">
        <w:rPr>
          <w:rFonts w:cs="Segoe UI"/>
          <w:color w:val="auto"/>
          <w:sz w:val="22"/>
          <w:szCs w:val="22"/>
        </w:rPr>
        <w:t>4</w:t>
      </w:r>
      <w:r w:rsidRPr="00C57421">
        <w:rPr>
          <w:rFonts w:cs="Segoe UI"/>
          <w:color w:val="auto"/>
          <w:sz w:val="22"/>
          <w:szCs w:val="22"/>
        </w:rPr>
        <w:t xml:space="preserve">. </w:t>
      </w:r>
      <w:r>
        <w:rPr>
          <w:rFonts w:cs="Segoe UI"/>
          <w:i/>
          <w:color w:val="auto"/>
          <w:sz w:val="22"/>
          <w:szCs w:val="22"/>
        </w:rPr>
        <w:t>Guideline on the regulation of medicinal cannabis in New Zealand</w:t>
      </w:r>
      <w:r w:rsidRPr="00C57421">
        <w:rPr>
          <w:rFonts w:cs="Segoe UI"/>
          <w:i/>
          <w:color w:val="auto"/>
          <w:sz w:val="22"/>
          <w:szCs w:val="22"/>
        </w:rPr>
        <w:t xml:space="preserve">: </w:t>
      </w:r>
      <w:r w:rsidR="00057933" w:rsidRPr="00057933">
        <w:rPr>
          <w:rFonts w:cs="Segoe UI"/>
          <w:i/>
          <w:color w:val="auto"/>
          <w:sz w:val="22"/>
          <w:szCs w:val="22"/>
        </w:rPr>
        <w:t xml:space="preserve">Key changes to the Medicinal Cannabis Scheme </w:t>
      </w:r>
      <w:r w:rsidR="00057933" w:rsidRPr="00F21905">
        <w:rPr>
          <w:rFonts w:cs="Segoe UI"/>
          <w:i/>
          <w:color w:val="auto"/>
          <w:sz w:val="22"/>
          <w:szCs w:val="22"/>
        </w:rPr>
        <w:t>Ju</w:t>
      </w:r>
      <w:r w:rsidR="00F21905" w:rsidRPr="00F21905">
        <w:rPr>
          <w:rFonts w:cs="Segoe UI"/>
          <w:i/>
          <w:color w:val="auto"/>
          <w:sz w:val="22"/>
          <w:szCs w:val="22"/>
        </w:rPr>
        <w:t>ly</w:t>
      </w:r>
      <w:r w:rsidR="00057933" w:rsidRPr="00F21905">
        <w:rPr>
          <w:rFonts w:cs="Segoe UI"/>
          <w:i/>
          <w:color w:val="auto"/>
          <w:sz w:val="22"/>
          <w:szCs w:val="22"/>
        </w:rPr>
        <w:t xml:space="preserve"> 2024</w:t>
      </w:r>
      <w:r w:rsidRPr="00C57421">
        <w:rPr>
          <w:rFonts w:cs="Segoe UI"/>
          <w:color w:val="auto"/>
          <w:sz w:val="22"/>
          <w:szCs w:val="22"/>
        </w:rPr>
        <w:t>. Wellington: Ministry of Health.</w:t>
      </w:r>
    </w:p>
    <w:p w14:paraId="4D5B300B" w14:textId="6CD7A76C"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F21905">
        <w:rPr>
          <w:color w:val="auto"/>
          <w:sz w:val="22"/>
          <w:szCs w:val="22"/>
        </w:rPr>
        <w:t>July 2024</w:t>
      </w:r>
      <w:r w:rsidRPr="00C57421">
        <w:rPr>
          <w:color w:val="auto"/>
          <w:sz w:val="22"/>
          <w:szCs w:val="22"/>
        </w:rPr>
        <w:t xml:space="preserve"> by the Ministry of Health</w:t>
      </w:r>
      <w:r w:rsidRPr="00C57421">
        <w:rPr>
          <w:color w:val="auto"/>
          <w:sz w:val="22"/>
          <w:szCs w:val="22"/>
        </w:rPr>
        <w:br/>
        <w:t>PO Box 5013, Wellington 6140, New Zealand</w:t>
      </w:r>
    </w:p>
    <w:p w14:paraId="584B6106" w14:textId="6F86050D" w:rsidR="00B04E6C" w:rsidRPr="00C57421" w:rsidRDefault="00B04E6C" w:rsidP="00B04E6C">
      <w:pPr>
        <w:pStyle w:val="Imprint"/>
        <w:jc w:val="left"/>
        <w:rPr>
          <w:color w:val="auto"/>
          <w:sz w:val="22"/>
          <w:szCs w:val="22"/>
        </w:rPr>
      </w:pPr>
      <w:r w:rsidRPr="00E60A3C">
        <w:rPr>
          <w:color w:val="auto"/>
          <w:sz w:val="22"/>
          <w:szCs w:val="22"/>
        </w:rPr>
        <w:t xml:space="preserve">HP </w:t>
      </w:r>
      <w:r w:rsidR="00CD769E">
        <w:rPr>
          <w:color w:val="auto"/>
          <w:sz w:val="22"/>
          <w:szCs w:val="22"/>
        </w:rPr>
        <w:t>9079</w:t>
      </w:r>
    </w:p>
    <w:p w14:paraId="75A432CA" w14:textId="77777777" w:rsidR="00311CF4" w:rsidRDefault="00311CF4" w:rsidP="00311CF4">
      <w:r>
        <w:rPr>
          <w:noProof/>
          <w:lang w:eastAsia="en-NZ"/>
        </w:rPr>
        <w:drawing>
          <wp:inline distT="0" distB="0" distL="0" distR="0" wp14:anchorId="3FC7850C" wp14:editId="1AC33F21">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55F2467B" w14:textId="77777777" w:rsidR="0059368A" w:rsidRDefault="0059368A" w:rsidP="00311CF4">
      <w:pPr>
        <w:sectPr w:rsidR="0059368A" w:rsidSect="004E3A1B">
          <w:headerReference w:type="default" r:id="rId20"/>
          <w:footerReference w:type="even" r:id="rId21"/>
          <w:footerReference w:type="default" r:id="rId22"/>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025A6F">
      <w:pPr>
        <w:pStyle w:val="IntroHead"/>
      </w:pPr>
      <w:r>
        <w:lastRenderedPageBreak/>
        <w:t>Contents</w:t>
      </w:r>
      <w:bookmarkEnd w:id="1"/>
      <w:bookmarkEnd w:id="2"/>
    </w:p>
    <w:p w14:paraId="7CB16EFC" w14:textId="7F0B2B62" w:rsidR="00057933" w:rsidRDefault="003450E8">
      <w:pPr>
        <w:pStyle w:val="TOC1"/>
        <w:rPr>
          <w:rFonts w:asciiTheme="minorHAnsi" w:eastAsiaTheme="minorEastAsia" w:hAnsiTheme="minorHAnsi" w:cstheme="minorBidi"/>
          <w:b w:val="0"/>
          <w:noProof/>
          <w:szCs w:val="22"/>
          <w:lang w:val="en-AU" w:eastAsia="en-AU"/>
        </w:rPr>
      </w:pPr>
      <w:r>
        <w:rPr>
          <w:b w:val="0"/>
        </w:rPr>
        <w:fldChar w:fldCharType="begin"/>
      </w:r>
      <w:r>
        <w:rPr>
          <w:b w:val="0"/>
        </w:rPr>
        <w:instrText xml:space="preserve"> TOC \o "1-3" \h \z </w:instrText>
      </w:r>
      <w:r>
        <w:rPr>
          <w:b w:val="0"/>
        </w:rPr>
        <w:fldChar w:fldCharType="separate"/>
      </w:r>
      <w:hyperlink w:anchor="_Toc170710450" w:history="1">
        <w:r w:rsidR="00057933" w:rsidRPr="00987F57">
          <w:rPr>
            <w:rStyle w:val="Hyperlink"/>
            <w:noProof/>
          </w:rPr>
          <w:t>Section 1: Introduction</w:t>
        </w:r>
        <w:r w:rsidR="00057933">
          <w:rPr>
            <w:noProof/>
            <w:webHidden/>
          </w:rPr>
          <w:tab/>
        </w:r>
        <w:r w:rsidR="00057933">
          <w:rPr>
            <w:noProof/>
            <w:webHidden/>
          </w:rPr>
          <w:fldChar w:fldCharType="begin"/>
        </w:r>
        <w:r w:rsidR="00057933">
          <w:rPr>
            <w:noProof/>
            <w:webHidden/>
          </w:rPr>
          <w:instrText xml:space="preserve"> PAGEREF _Toc170710450 \h </w:instrText>
        </w:r>
        <w:r w:rsidR="00057933">
          <w:rPr>
            <w:noProof/>
            <w:webHidden/>
          </w:rPr>
        </w:r>
        <w:r w:rsidR="00057933">
          <w:rPr>
            <w:noProof/>
            <w:webHidden/>
          </w:rPr>
          <w:fldChar w:fldCharType="separate"/>
        </w:r>
        <w:r w:rsidR="00EC30BF">
          <w:rPr>
            <w:noProof/>
            <w:webHidden/>
          </w:rPr>
          <w:t>1</w:t>
        </w:r>
        <w:r w:rsidR="00057933">
          <w:rPr>
            <w:noProof/>
            <w:webHidden/>
          </w:rPr>
          <w:fldChar w:fldCharType="end"/>
        </w:r>
      </w:hyperlink>
    </w:p>
    <w:p w14:paraId="3DFBA24C" w14:textId="771457FB" w:rsidR="00057933" w:rsidRDefault="00EC30BF">
      <w:pPr>
        <w:pStyle w:val="TOC2"/>
        <w:rPr>
          <w:rFonts w:asciiTheme="minorHAnsi" w:eastAsiaTheme="minorEastAsia" w:hAnsiTheme="minorHAnsi" w:cstheme="minorBidi"/>
          <w:noProof/>
          <w:szCs w:val="22"/>
          <w:lang w:val="en-AU" w:eastAsia="en-AU"/>
        </w:rPr>
      </w:pPr>
      <w:hyperlink w:anchor="_Toc170710451" w:history="1">
        <w:r w:rsidR="00057933" w:rsidRPr="00987F57">
          <w:rPr>
            <w:rStyle w:val="Hyperlink"/>
            <w:noProof/>
          </w:rPr>
          <w:t>1.1</w:t>
        </w:r>
        <w:r w:rsidR="00057933">
          <w:rPr>
            <w:rFonts w:asciiTheme="minorHAnsi" w:eastAsiaTheme="minorEastAsia" w:hAnsiTheme="minorHAnsi" w:cstheme="minorBidi"/>
            <w:noProof/>
            <w:szCs w:val="22"/>
            <w:lang w:val="en-AU" w:eastAsia="en-AU"/>
          </w:rPr>
          <w:tab/>
        </w:r>
        <w:r w:rsidR="00057933" w:rsidRPr="00987F57">
          <w:rPr>
            <w:rStyle w:val="Hyperlink"/>
            <w:noProof/>
          </w:rPr>
          <w:t>Overview of the changes to the Regulations</w:t>
        </w:r>
        <w:r w:rsidR="00057933">
          <w:rPr>
            <w:noProof/>
            <w:webHidden/>
          </w:rPr>
          <w:tab/>
        </w:r>
        <w:r w:rsidR="00057933">
          <w:rPr>
            <w:noProof/>
            <w:webHidden/>
          </w:rPr>
          <w:fldChar w:fldCharType="begin"/>
        </w:r>
        <w:r w:rsidR="00057933">
          <w:rPr>
            <w:noProof/>
            <w:webHidden/>
          </w:rPr>
          <w:instrText xml:space="preserve"> PAGEREF _Toc170710451 \h </w:instrText>
        </w:r>
        <w:r w:rsidR="00057933">
          <w:rPr>
            <w:noProof/>
            <w:webHidden/>
          </w:rPr>
        </w:r>
        <w:r w:rsidR="00057933">
          <w:rPr>
            <w:noProof/>
            <w:webHidden/>
          </w:rPr>
          <w:fldChar w:fldCharType="separate"/>
        </w:r>
        <w:r>
          <w:rPr>
            <w:noProof/>
            <w:webHidden/>
          </w:rPr>
          <w:t>1</w:t>
        </w:r>
        <w:r w:rsidR="00057933">
          <w:rPr>
            <w:noProof/>
            <w:webHidden/>
          </w:rPr>
          <w:fldChar w:fldCharType="end"/>
        </w:r>
      </w:hyperlink>
    </w:p>
    <w:p w14:paraId="798E150C" w14:textId="6A061679" w:rsidR="00057933" w:rsidRDefault="00EC30BF">
      <w:pPr>
        <w:pStyle w:val="TOC1"/>
        <w:rPr>
          <w:rFonts w:asciiTheme="minorHAnsi" w:eastAsiaTheme="minorEastAsia" w:hAnsiTheme="minorHAnsi" w:cstheme="minorBidi"/>
          <w:b w:val="0"/>
          <w:noProof/>
          <w:szCs w:val="22"/>
          <w:lang w:val="en-AU" w:eastAsia="en-AU"/>
        </w:rPr>
      </w:pPr>
      <w:hyperlink w:anchor="_Toc170710452" w:history="1">
        <w:r w:rsidR="00057933" w:rsidRPr="00987F57">
          <w:rPr>
            <w:rStyle w:val="Hyperlink"/>
            <w:noProof/>
          </w:rPr>
          <w:t>Section 2: Changes to export settings</w:t>
        </w:r>
        <w:r w:rsidR="00057933">
          <w:rPr>
            <w:noProof/>
            <w:webHidden/>
          </w:rPr>
          <w:tab/>
        </w:r>
        <w:r w:rsidR="00057933">
          <w:rPr>
            <w:noProof/>
            <w:webHidden/>
          </w:rPr>
          <w:fldChar w:fldCharType="begin"/>
        </w:r>
        <w:r w:rsidR="00057933">
          <w:rPr>
            <w:noProof/>
            <w:webHidden/>
          </w:rPr>
          <w:instrText xml:space="preserve"> PAGEREF _Toc170710452 \h </w:instrText>
        </w:r>
        <w:r w:rsidR="00057933">
          <w:rPr>
            <w:noProof/>
            <w:webHidden/>
          </w:rPr>
        </w:r>
        <w:r w:rsidR="00057933">
          <w:rPr>
            <w:noProof/>
            <w:webHidden/>
          </w:rPr>
          <w:fldChar w:fldCharType="separate"/>
        </w:r>
        <w:r>
          <w:rPr>
            <w:noProof/>
            <w:webHidden/>
          </w:rPr>
          <w:t>2</w:t>
        </w:r>
        <w:r w:rsidR="00057933">
          <w:rPr>
            <w:noProof/>
            <w:webHidden/>
          </w:rPr>
          <w:fldChar w:fldCharType="end"/>
        </w:r>
      </w:hyperlink>
    </w:p>
    <w:p w14:paraId="5ACA6C96" w14:textId="3623F3BD" w:rsidR="00057933" w:rsidRDefault="00EC30BF">
      <w:pPr>
        <w:pStyle w:val="TOC2"/>
        <w:rPr>
          <w:rFonts w:asciiTheme="minorHAnsi" w:eastAsiaTheme="minorEastAsia" w:hAnsiTheme="minorHAnsi" w:cstheme="minorBidi"/>
          <w:noProof/>
          <w:szCs w:val="22"/>
          <w:lang w:val="en-AU" w:eastAsia="en-AU"/>
        </w:rPr>
      </w:pPr>
      <w:hyperlink w:anchor="_Toc170710453" w:history="1">
        <w:r w:rsidR="00057933" w:rsidRPr="00987F57">
          <w:rPr>
            <w:rStyle w:val="Hyperlink"/>
            <w:noProof/>
          </w:rPr>
          <w:t>2.1</w:t>
        </w:r>
        <w:r w:rsidR="00057933">
          <w:rPr>
            <w:rFonts w:asciiTheme="minorHAnsi" w:eastAsiaTheme="minorEastAsia" w:hAnsiTheme="minorHAnsi" w:cstheme="minorBidi"/>
            <w:noProof/>
            <w:szCs w:val="22"/>
            <w:lang w:val="en-AU" w:eastAsia="en-AU"/>
          </w:rPr>
          <w:tab/>
        </w:r>
        <w:r w:rsidR="00057933" w:rsidRPr="00987F57">
          <w:rPr>
            <w:rStyle w:val="Hyperlink"/>
            <w:noProof/>
          </w:rPr>
          <w:t>Export of starting material</w:t>
        </w:r>
        <w:r w:rsidR="00057933">
          <w:rPr>
            <w:noProof/>
            <w:webHidden/>
          </w:rPr>
          <w:tab/>
        </w:r>
        <w:r w:rsidR="00057933">
          <w:rPr>
            <w:noProof/>
            <w:webHidden/>
          </w:rPr>
          <w:fldChar w:fldCharType="begin"/>
        </w:r>
        <w:r w:rsidR="00057933">
          <w:rPr>
            <w:noProof/>
            <w:webHidden/>
          </w:rPr>
          <w:instrText xml:space="preserve"> PAGEREF _Toc170710453 \h </w:instrText>
        </w:r>
        <w:r w:rsidR="00057933">
          <w:rPr>
            <w:noProof/>
            <w:webHidden/>
          </w:rPr>
        </w:r>
        <w:r w:rsidR="00057933">
          <w:rPr>
            <w:noProof/>
            <w:webHidden/>
          </w:rPr>
          <w:fldChar w:fldCharType="separate"/>
        </w:r>
        <w:r>
          <w:rPr>
            <w:noProof/>
            <w:webHidden/>
          </w:rPr>
          <w:t>2</w:t>
        </w:r>
        <w:r w:rsidR="00057933">
          <w:rPr>
            <w:noProof/>
            <w:webHidden/>
          </w:rPr>
          <w:fldChar w:fldCharType="end"/>
        </w:r>
      </w:hyperlink>
    </w:p>
    <w:p w14:paraId="22B4A0D1" w14:textId="6E15B47D" w:rsidR="00057933" w:rsidRDefault="00EC30BF">
      <w:pPr>
        <w:pStyle w:val="TOC2"/>
        <w:rPr>
          <w:rFonts w:asciiTheme="minorHAnsi" w:eastAsiaTheme="minorEastAsia" w:hAnsiTheme="minorHAnsi" w:cstheme="minorBidi"/>
          <w:noProof/>
          <w:szCs w:val="22"/>
          <w:lang w:val="en-AU" w:eastAsia="en-AU"/>
        </w:rPr>
      </w:pPr>
      <w:hyperlink w:anchor="_Toc170710454" w:history="1">
        <w:r w:rsidR="00057933" w:rsidRPr="00987F57">
          <w:rPr>
            <w:rStyle w:val="Hyperlink"/>
            <w:noProof/>
          </w:rPr>
          <w:t>2.2</w:t>
        </w:r>
        <w:r w:rsidR="00057933">
          <w:rPr>
            <w:rFonts w:asciiTheme="minorHAnsi" w:eastAsiaTheme="minorEastAsia" w:hAnsiTheme="minorHAnsi" w:cstheme="minorBidi"/>
            <w:noProof/>
            <w:szCs w:val="22"/>
            <w:lang w:val="en-AU" w:eastAsia="en-AU"/>
          </w:rPr>
          <w:tab/>
        </w:r>
        <w:r w:rsidR="00057933" w:rsidRPr="00987F57">
          <w:rPr>
            <w:rStyle w:val="Hyperlink"/>
            <w:noProof/>
          </w:rPr>
          <w:t>Export of cannabis-based ingredients and medicinal cannabis products</w:t>
        </w:r>
        <w:r w:rsidR="00057933">
          <w:rPr>
            <w:noProof/>
            <w:webHidden/>
          </w:rPr>
          <w:tab/>
        </w:r>
        <w:r w:rsidR="00057933">
          <w:rPr>
            <w:noProof/>
            <w:webHidden/>
          </w:rPr>
          <w:fldChar w:fldCharType="begin"/>
        </w:r>
        <w:r w:rsidR="00057933">
          <w:rPr>
            <w:noProof/>
            <w:webHidden/>
          </w:rPr>
          <w:instrText xml:space="preserve"> PAGEREF _Toc170710454 \h </w:instrText>
        </w:r>
        <w:r w:rsidR="00057933">
          <w:rPr>
            <w:noProof/>
            <w:webHidden/>
          </w:rPr>
        </w:r>
        <w:r w:rsidR="00057933">
          <w:rPr>
            <w:noProof/>
            <w:webHidden/>
          </w:rPr>
          <w:fldChar w:fldCharType="separate"/>
        </w:r>
        <w:r>
          <w:rPr>
            <w:noProof/>
            <w:webHidden/>
          </w:rPr>
          <w:t>2</w:t>
        </w:r>
        <w:r w:rsidR="00057933">
          <w:rPr>
            <w:noProof/>
            <w:webHidden/>
          </w:rPr>
          <w:fldChar w:fldCharType="end"/>
        </w:r>
      </w:hyperlink>
    </w:p>
    <w:p w14:paraId="068A421A" w14:textId="6CA9385D" w:rsidR="00057933" w:rsidRDefault="00EC30BF">
      <w:pPr>
        <w:pStyle w:val="TOC2"/>
        <w:rPr>
          <w:rFonts w:asciiTheme="minorHAnsi" w:eastAsiaTheme="minorEastAsia" w:hAnsiTheme="minorHAnsi" w:cstheme="minorBidi"/>
          <w:noProof/>
          <w:szCs w:val="22"/>
          <w:lang w:val="en-AU" w:eastAsia="en-AU"/>
        </w:rPr>
      </w:pPr>
      <w:hyperlink w:anchor="_Toc170710455" w:history="1">
        <w:r w:rsidR="00057933" w:rsidRPr="00987F57">
          <w:rPr>
            <w:rStyle w:val="Hyperlink"/>
            <w:noProof/>
          </w:rPr>
          <w:t>2.3</w:t>
        </w:r>
        <w:r w:rsidR="00057933">
          <w:rPr>
            <w:rFonts w:asciiTheme="minorHAnsi" w:eastAsiaTheme="minorEastAsia" w:hAnsiTheme="minorHAnsi" w:cstheme="minorBidi"/>
            <w:noProof/>
            <w:szCs w:val="22"/>
            <w:lang w:val="en-AU" w:eastAsia="en-AU"/>
          </w:rPr>
          <w:tab/>
        </w:r>
        <w:r w:rsidR="00057933" w:rsidRPr="00987F57">
          <w:rPr>
            <w:rStyle w:val="Hyperlink"/>
            <w:noProof/>
          </w:rPr>
          <w:t>Export of CBD ingredients and CBD products</w:t>
        </w:r>
        <w:r w:rsidR="00057933">
          <w:rPr>
            <w:noProof/>
            <w:webHidden/>
          </w:rPr>
          <w:tab/>
        </w:r>
        <w:r w:rsidR="00057933">
          <w:rPr>
            <w:noProof/>
            <w:webHidden/>
          </w:rPr>
          <w:fldChar w:fldCharType="begin"/>
        </w:r>
        <w:r w:rsidR="00057933">
          <w:rPr>
            <w:noProof/>
            <w:webHidden/>
          </w:rPr>
          <w:instrText xml:space="preserve"> PAGEREF _Toc170710455 \h </w:instrText>
        </w:r>
        <w:r w:rsidR="00057933">
          <w:rPr>
            <w:noProof/>
            <w:webHidden/>
          </w:rPr>
        </w:r>
        <w:r w:rsidR="00057933">
          <w:rPr>
            <w:noProof/>
            <w:webHidden/>
          </w:rPr>
          <w:fldChar w:fldCharType="separate"/>
        </w:r>
        <w:r>
          <w:rPr>
            <w:noProof/>
            <w:webHidden/>
          </w:rPr>
          <w:t>3</w:t>
        </w:r>
        <w:r w:rsidR="00057933">
          <w:rPr>
            <w:noProof/>
            <w:webHidden/>
          </w:rPr>
          <w:fldChar w:fldCharType="end"/>
        </w:r>
      </w:hyperlink>
    </w:p>
    <w:p w14:paraId="0116A090" w14:textId="7782CB12" w:rsidR="00057933" w:rsidRDefault="00EC30BF">
      <w:pPr>
        <w:pStyle w:val="TOC2"/>
        <w:rPr>
          <w:rFonts w:asciiTheme="minorHAnsi" w:eastAsiaTheme="minorEastAsia" w:hAnsiTheme="minorHAnsi" w:cstheme="minorBidi"/>
          <w:noProof/>
          <w:szCs w:val="22"/>
          <w:lang w:val="en-AU" w:eastAsia="en-AU"/>
        </w:rPr>
      </w:pPr>
      <w:hyperlink w:anchor="_Toc170710456" w:history="1">
        <w:r w:rsidR="00057933" w:rsidRPr="00987F57">
          <w:rPr>
            <w:rStyle w:val="Hyperlink"/>
            <w:noProof/>
          </w:rPr>
          <w:t>2.4</w:t>
        </w:r>
        <w:r w:rsidR="00057933">
          <w:rPr>
            <w:rFonts w:asciiTheme="minorHAnsi" w:eastAsiaTheme="minorEastAsia" w:hAnsiTheme="minorHAnsi" w:cstheme="minorBidi"/>
            <w:noProof/>
            <w:szCs w:val="22"/>
            <w:lang w:val="en-AU" w:eastAsia="en-AU"/>
          </w:rPr>
          <w:tab/>
        </w:r>
        <w:r w:rsidR="00057933" w:rsidRPr="00987F57">
          <w:rPr>
            <w:rStyle w:val="Hyperlink"/>
            <w:noProof/>
          </w:rPr>
          <w:t>Export of medicinal cannabis seed, cuttings, rootstock, tissue, and tissue culture</w:t>
        </w:r>
        <w:r w:rsidR="00057933">
          <w:rPr>
            <w:noProof/>
            <w:webHidden/>
          </w:rPr>
          <w:tab/>
        </w:r>
        <w:r w:rsidR="00057933">
          <w:rPr>
            <w:noProof/>
            <w:webHidden/>
          </w:rPr>
          <w:fldChar w:fldCharType="begin"/>
        </w:r>
        <w:r w:rsidR="00057933">
          <w:rPr>
            <w:noProof/>
            <w:webHidden/>
          </w:rPr>
          <w:instrText xml:space="preserve"> PAGEREF _Toc170710456 \h </w:instrText>
        </w:r>
        <w:r w:rsidR="00057933">
          <w:rPr>
            <w:noProof/>
            <w:webHidden/>
          </w:rPr>
        </w:r>
        <w:r w:rsidR="00057933">
          <w:rPr>
            <w:noProof/>
            <w:webHidden/>
          </w:rPr>
          <w:fldChar w:fldCharType="separate"/>
        </w:r>
        <w:r>
          <w:rPr>
            <w:noProof/>
            <w:webHidden/>
          </w:rPr>
          <w:t>4</w:t>
        </w:r>
        <w:r w:rsidR="00057933">
          <w:rPr>
            <w:noProof/>
            <w:webHidden/>
          </w:rPr>
          <w:fldChar w:fldCharType="end"/>
        </w:r>
      </w:hyperlink>
    </w:p>
    <w:p w14:paraId="5C1A61DE" w14:textId="1C30167F" w:rsidR="00057933" w:rsidRDefault="00EC30BF">
      <w:pPr>
        <w:pStyle w:val="TOC2"/>
        <w:rPr>
          <w:rFonts w:asciiTheme="minorHAnsi" w:eastAsiaTheme="minorEastAsia" w:hAnsiTheme="minorHAnsi" w:cstheme="minorBidi"/>
          <w:noProof/>
          <w:szCs w:val="22"/>
          <w:lang w:val="en-AU" w:eastAsia="en-AU"/>
        </w:rPr>
      </w:pPr>
      <w:hyperlink w:anchor="_Toc170710457" w:history="1">
        <w:r w:rsidR="00057933" w:rsidRPr="00987F57">
          <w:rPr>
            <w:rStyle w:val="Hyperlink"/>
            <w:noProof/>
          </w:rPr>
          <w:t>2.5</w:t>
        </w:r>
        <w:r w:rsidR="00057933">
          <w:rPr>
            <w:rFonts w:asciiTheme="minorHAnsi" w:eastAsiaTheme="minorEastAsia" w:hAnsiTheme="minorHAnsi" w:cstheme="minorBidi"/>
            <w:noProof/>
            <w:szCs w:val="22"/>
            <w:lang w:val="en-AU" w:eastAsia="en-AU"/>
          </w:rPr>
          <w:tab/>
        </w:r>
        <w:r w:rsidR="00057933" w:rsidRPr="00987F57">
          <w:rPr>
            <w:rStyle w:val="Hyperlink"/>
            <w:noProof/>
          </w:rPr>
          <w:t>Export of medicinal cannabis for testing, analysis, or non-therapeutic purposes</w:t>
        </w:r>
        <w:r w:rsidR="00057933">
          <w:rPr>
            <w:noProof/>
            <w:webHidden/>
          </w:rPr>
          <w:tab/>
        </w:r>
        <w:r w:rsidR="00057933">
          <w:rPr>
            <w:noProof/>
            <w:webHidden/>
          </w:rPr>
          <w:fldChar w:fldCharType="begin"/>
        </w:r>
        <w:r w:rsidR="00057933">
          <w:rPr>
            <w:noProof/>
            <w:webHidden/>
          </w:rPr>
          <w:instrText xml:space="preserve"> PAGEREF _Toc170710457 \h </w:instrText>
        </w:r>
        <w:r w:rsidR="00057933">
          <w:rPr>
            <w:noProof/>
            <w:webHidden/>
          </w:rPr>
        </w:r>
        <w:r w:rsidR="00057933">
          <w:rPr>
            <w:noProof/>
            <w:webHidden/>
          </w:rPr>
          <w:fldChar w:fldCharType="separate"/>
        </w:r>
        <w:r>
          <w:rPr>
            <w:noProof/>
            <w:webHidden/>
          </w:rPr>
          <w:t>4</w:t>
        </w:r>
        <w:r w:rsidR="00057933">
          <w:rPr>
            <w:noProof/>
            <w:webHidden/>
          </w:rPr>
          <w:fldChar w:fldCharType="end"/>
        </w:r>
      </w:hyperlink>
    </w:p>
    <w:p w14:paraId="7B296C45" w14:textId="3C1857E8" w:rsidR="00057933" w:rsidRDefault="00EC30BF">
      <w:pPr>
        <w:pStyle w:val="TOC1"/>
        <w:rPr>
          <w:rFonts w:asciiTheme="minorHAnsi" w:eastAsiaTheme="minorEastAsia" w:hAnsiTheme="minorHAnsi" w:cstheme="minorBidi"/>
          <w:b w:val="0"/>
          <w:noProof/>
          <w:szCs w:val="22"/>
          <w:lang w:val="en-AU" w:eastAsia="en-AU"/>
        </w:rPr>
      </w:pPr>
      <w:hyperlink w:anchor="_Toc170710458" w:history="1">
        <w:r w:rsidR="00057933" w:rsidRPr="00987F57">
          <w:rPr>
            <w:rStyle w:val="Hyperlink"/>
            <w:noProof/>
          </w:rPr>
          <w:t>Section 3: Changes to Licensing</w:t>
        </w:r>
        <w:r w:rsidR="00057933">
          <w:rPr>
            <w:noProof/>
            <w:webHidden/>
          </w:rPr>
          <w:tab/>
        </w:r>
        <w:r w:rsidR="00057933">
          <w:rPr>
            <w:noProof/>
            <w:webHidden/>
          </w:rPr>
          <w:fldChar w:fldCharType="begin"/>
        </w:r>
        <w:r w:rsidR="00057933">
          <w:rPr>
            <w:noProof/>
            <w:webHidden/>
          </w:rPr>
          <w:instrText xml:space="preserve"> PAGEREF _Toc170710458 \h </w:instrText>
        </w:r>
        <w:r w:rsidR="00057933">
          <w:rPr>
            <w:noProof/>
            <w:webHidden/>
          </w:rPr>
        </w:r>
        <w:r w:rsidR="00057933">
          <w:rPr>
            <w:noProof/>
            <w:webHidden/>
          </w:rPr>
          <w:fldChar w:fldCharType="separate"/>
        </w:r>
        <w:r>
          <w:rPr>
            <w:noProof/>
            <w:webHidden/>
          </w:rPr>
          <w:t>6</w:t>
        </w:r>
        <w:r w:rsidR="00057933">
          <w:rPr>
            <w:noProof/>
            <w:webHidden/>
          </w:rPr>
          <w:fldChar w:fldCharType="end"/>
        </w:r>
      </w:hyperlink>
    </w:p>
    <w:p w14:paraId="7F2B8A93" w14:textId="1EE997C3" w:rsidR="00057933" w:rsidRDefault="00EC30BF">
      <w:pPr>
        <w:pStyle w:val="TOC2"/>
        <w:rPr>
          <w:rFonts w:asciiTheme="minorHAnsi" w:eastAsiaTheme="minorEastAsia" w:hAnsiTheme="minorHAnsi" w:cstheme="minorBidi"/>
          <w:noProof/>
          <w:szCs w:val="22"/>
          <w:lang w:val="en-AU" w:eastAsia="en-AU"/>
        </w:rPr>
      </w:pPr>
      <w:hyperlink w:anchor="_Toc170710459" w:history="1">
        <w:r w:rsidR="00057933" w:rsidRPr="00987F57">
          <w:rPr>
            <w:rStyle w:val="Hyperlink"/>
            <w:noProof/>
          </w:rPr>
          <w:t>3.1</w:t>
        </w:r>
        <w:r w:rsidR="00057933">
          <w:rPr>
            <w:rFonts w:asciiTheme="minorHAnsi" w:eastAsiaTheme="minorEastAsia" w:hAnsiTheme="minorHAnsi" w:cstheme="minorBidi"/>
            <w:noProof/>
            <w:szCs w:val="22"/>
            <w:lang w:val="en-AU" w:eastAsia="en-AU"/>
          </w:rPr>
          <w:tab/>
        </w:r>
        <w:r w:rsidR="00057933" w:rsidRPr="00987F57">
          <w:rPr>
            <w:rStyle w:val="Hyperlink"/>
            <w:noProof/>
          </w:rPr>
          <w:t>Re-defining the scope of the ‘nursery’ activity to ‘seed supply’</w:t>
        </w:r>
        <w:r w:rsidR="00057933">
          <w:rPr>
            <w:noProof/>
            <w:webHidden/>
          </w:rPr>
          <w:tab/>
        </w:r>
        <w:r w:rsidR="00057933">
          <w:rPr>
            <w:noProof/>
            <w:webHidden/>
          </w:rPr>
          <w:fldChar w:fldCharType="begin"/>
        </w:r>
        <w:r w:rsidR="00057933">
          <w:rPr>
            <w:noProof/>
            <w:webHidden/>
          </w:rPr>
          <w:instrText xml:space="preserve"> PAGEREF _Toc170710459 \h </w:instrText>
        </w:r>
        <w:r w:rsidR="00057933">
          <w:rPr>
            <w:noProof/>
            <w:webHidden/>
          </w:rPr>
        </w:r>
        <w:r w:rsidR="00057933">
          <w:rPr>
            <w:noProof/>
            <w:webHidden/>
          </w:rPr>
          <w:fldChar w:fldCharType="separate"/>
        </w:r>
        <w:r>
          <w:rPr>
            <w:noProof/>
            <w:webHidden/>
          </w:rPr>
          <w:t>6</w:t>
        </w:r>
        <w:r w:rsidR="00057933">
          <w:rPr>
            <w:noProof/>
            <w:webHidden/>
          </w:rPr>
          <w:fldChar w:fldCharType="end"/>
        </w:r>
      </w:hyperlink>
    </w:p>
    <w:p w14:paraId="44701ED1" w14:textId="169170D7" w:rsidR="00057933" w:rsidRDefault="00EC30BF">
      <w:pPr>
        <w:pStyle w:val="TOC2"/>
        <w:rPr>
          <w:rFonts w:asciiTheme="minorHAnsi" w:eastAsiaTheme="minorEastAsia" w:hAnsiTheme="minorHAnsi" w:cstheme="minorBidi"/>
          <w:noProof/>
          <w:szCs w:val="22"/>
          <w:lang w:val="en-AU" w:eastAsia="en-AU"/>
        </w:rPr>
      </w:pPr>
      <w:hyperlink w:anchor="_Toc170710460" w:history="1">
        <w:r w:rsidR="00057933" w:rsidRPr="00987F57">
          <w:rPr>
            <w:rStyle w:val="Hyperlink"/>
            <w:noProof/>
          </w:rPr>
          <w:t>3.2</w:t>
        </w:r>
        <w:r w:rsidR="00057933">
          <w:rPr>
            <w:rFonts w:asciiTheme="minorHAnsi" w:eastAsiaTheme="minorEastAsia" w:hAnsiTheme="minorHAnsi" w:cstheme="minorBidi"/>
            <w:noProof/>
            <w:szCs w:val="22"/>
            <w:lang w:val="en-AU" w:eastAsia="en-AU"/>
          </w:rPr>
          <w:tab/>
        </w:r>
        <w:r w:rsidR="00057933" w:rsidRPr="00987F57">
          <w:rPr>
            <w:rStyle w:val="Hyperlink"/>
            <w:noProof/>
          </w:rPr>
          <w:t>Records of stocktake for any activity</w:t>
        </w:r>
        <w:r w:rsidR="00057933">
          <w:rPr>
            <w:noProof/>
            <w:webHidden/>
          </w:rPr>
          <w:tab/>
        </w:r>
        <w:r w:rsidR="00057933">
          <w:rPr>
            <w:noProof/>
            <w:webHidden/>
          </w:rPr>
          <w:fldChar w:fldCharType="begin"/>
        </w:r>
        <w:r w:rsidR="00057933">
          <w:rPr>
            <w:noProof/>
            <w:webHidden/>
          </w:rPr>
          <w:instrText xml:space="preserve"> PAGEREF _Toc170710460 \h </w:instrText>
        </w:r>
        <w:r w:rsidR="00057933">
          <w:rPr>
            <w:noProof/>
            <w:webHidden/>
          </w:rPr>
        </w:r>
        <w:r w:rsidR="00057933">
          <w:rPr>
            <w:noProof/>
            <w:webHidden/>
          </w:rPr>
          <w:fldChar w:fldCharType="separate"/>
        </w:r>
        <w:r>
          <w:rPr>
            <w:noProof/>
            <w:webHidden/>
          </w:rPr>
          <w:t>6</w:t>
        </w:r>
        <w:r w:rsidR="00057933">
          <w:rPr>
            <w:noProof/>
            <w:webHidden/>
          </w:rPr>
          <w:fldChar w:fldCharType="end"/>
        </w:r>
      </w:hyperlink>
    </w:p>
    <w:p w14:paraId="1C5B03AE" w14:textId="4F03771C" w:rsidR="00057933" w:rsidRDefault="00EC30BF">
      <w:pPr>
        <w:pStyle w:val="TOC2"/>
        <w:rPr>
          <w:rFonts w:asciiTheme="minorHAnsi" w:eastAsiaTheme="minorEastAsia" w:hAnsiTheme="minorHAnsi" w:cstheme="minorBidi"/>
          <w:noProof/>
          <w:szCs w:val="22"/>
          <w:lang w:val="en-AU" w:eastAsia="en-AU"/>
        </w:rPr>
      </w:pPr>
      <w:hyperlink w:anchor="_Toc170710461" w:history="1">
        <w:r w:rsidR="00057933" w:rsidRPr="00987F57">
          <w:rPr>
            <w:rStyle w:val="Hyperlink"/>
            <w:noProof/>
          </w:rPr>
          <w:t>3.3</w:t>
        </w:r>
        <w:r w:rsidR="00057933">
          <w:rPr>
            <w:rFonts w:asciiTheme="minorHAnsi" w:eastAsiaTheme="minorEastAsia" w:hAnsiTheme="minorHAnsi" w:cstheme="minorBidi"/>
            <w:noProof/>
            <w:szCs w:val="22"/>
            <w:lang w:val="en-AU" w:eastAsia="en-AU"/>
          </w:rPr>
          <w:tab/>
        </w:r>
        <w:r w:rsidR="00057933" w:rsidRPr="00987F57">
          <w:rPr>
            <w:rStyle w:val="Hyperlink"/>
            <w:noProof/>
          </w:rPr>
          <w:t>Listing of cultivars on the licence</w:t>
        </w:r>
        <w:r w:rsidR="00057933">
          <w:rPr>
            <w:noProof/>
            <w:webHidden/>
          </w:rPr>
          <w:tab/>
        </w:r>
        <w:r w:rsidR="00057933">
          <w:rPr>
            <w:noProof/>
            <w:webHidden/>
          </w:rPr>
          <w:fldChar w:fldCharType="begin"/>
        </w:r>
        <w:r w:rsidR="00057933">
          <w:rPr>
            <w:noProof/>
            <w:webHidden/>
          </w:rPr>
          <w:instrText xml:space="preserve"> PAGEREF _Toc170710461 \h </w:instrText>
        </w:r>
        <w:r w:rsidR="00057933">
          <w:rPr>
            <w:noProof/>
            <w:webHidden/>
          </w:rPr>
        </w:r>
        <w:r w:rsidR="00057933">
          <w:rPr>
            <w:noProof/>
            <w:webHidden/>
          </w:rPr>
          <w:fldChar w:fldCharType="separate"/>
        </w:r>
        <w:r>
          <w:rPr>
            <w:noProof/>
            <w:webHidden/>
          </w:rPr>
          <w:t>7</w:t>
        </w:r>
        <w:r w:rsidR="00057933">
          <w:rPr>
            <w:noProof/>
            <w:webHidden/>
          </w:rPr>
          <w:fldChar w:fldCharType="end"/>
        </w:r>
      </w:hyperlink>
    </w:p>
    <w:p w14:paraId="6AA8F630" w14:textId="5CD8CA63" w:rsidR="00057933" w:rsidRDefault="00EC30BF">
      <w:pPr>
        <w:pStyle w:val="TOC1"/>
        <w:rPr>
          <w:rFonts w:asciiTheme="minorHAnsi" w:eastAsiaTheme="minorEastAsia" w:hAnsiTheme="minorHAnsi" w:cstheme="minorBidi"/>
          <w:b w:val="0"/>
          <w:noProof/>
          <w:szCs w:val="22"/>
          <w:lang w:val="en-AU" w:eastAsia="en-AU"/>
        </w:rPr>
      </w:pPr>
      <w:hyperlink w:anchor="_Toc170710462" w:history="1">
        <w:r w:rsidR="00057933" w:rsidRPr="00987F57">
          <w:rPr>
            <w:rStyle w:val="Hyperlink"/>
            <w:noProof/>
          </w:rPr>
          <w:t>Section 4: Changes to the minimum quality standard</w:t>
        </w:r>
        <w:r w:rsidR="00057933">
          <w:rPr>
            <w:noProof/>
            <w:webHidden/>
          </w:rPr>
          <w:tab/>
        </w:r>
        <w:r w:rsidR="00057933">
          <w:rPr>
            <w:noProof/>
            <w:webHidden/>
          </w:rPr>
          <w:fldChar w:fldCharType="begin"/>
        </w:r>
        <w:r w:rsidR="00057933">
          <w:rPr>
            <w:noProof/>
            <w:webHidden/>
          </w:rPr>
          <w:instrText xml:space="preserve"> PAGEREF _Toc170710462 \h </w:instrText>
        </w:r>
        <w:r w:rsidR="00057933">
          <w:rPr>
            <w:noProof/>
            <w:webHidden/>
          </w:rPr>
        </w:r>
        <w:r w:rsidR="00057933">
          <w:rPr>
            <w:noProof/>
            <w:webHidden/>
          </w:rPr>
          <w:fldChar w:fldCharType="separate"/>
        </w:r>
        <w:r>
          <w:rPr>
            <w:noProof/>
            <w:webHidden/>
          </w:rPr>
          <w:t>8</w:t>
        </w:r>
        <w:r w:rsidR="00057933">
          <w:rPr>
            <w:noProof/>
            <w:webHidden/>
          </w:rPr>
          <w:fldChar w:fldCharType="end"/>
        </w:r>
      </w:hyperlink>
    </w:p>
    <w:p w14:paraId="6EF97051" w14:textId="39398142" w:rsidR="00057933" w:rsidRDefault="00EC30BF">
      <w:pPr>
        <w:pStyle w:val="TOC2"/>
        <w:rPr>
          <w:rFonts w:asciiTheme="minorHAnsi" w:eastAsiaTheme="minorEastAsia" w:hAnsiTheme="minorHAnsi" w:cstheme="minorBidi"/>
          <w:noProof/>
          <w:szCs w:val="22"/>
          <w:lang w:val="en-AU" w:eastAsia="en-AU"/>
        </w:rPr>
      </w:pPr>
      <w:hyperlink w:anchor="_Toc170710463" w:history="1">
        <w:r w:rsidR="00057933" w:rsidRPr="00987F57">
          <w:rPr>
            <w:rStyle w:val="Hyperlink"/>
            <w:noProof/>
          </w:rPr>
          <w:t>4.1</w:t>
        </w:r>
        <w:r w:rsidR="00057933">
          <w:rPr>
            <w:rFonts w:asciiTheme="minorHAnsi" w:eastAsiaTheme="minorEastAsia" w:hAnsiTheme="minorHAnsi" w:cstheme="minorBidi"/>
            <w:noProof/>
            <w:szCs w:val="22"/>
            <w:lang w:val="en-AU" w:eastAsia="en-AU"/>
          </w:rPr>
          <w:tab/>
        </w:r>
        <w:r w:rsidR="00057933" w:rsidRPr="00987F57">
          <w:rPr>
            <w:rStyle w:val="Hyperlink"/>
            <w:noProof/>
          </w:rPr>
          <w:t>Dried cannabis as an ingredient in products</w:t>
        </w:r>
        <w:r w:rsidR="00057933">
          <w:rPr>
            <w:noProof/>
            <w:webHidden/>
          </w:rPr>
          <w:tab/>
        </w:r>
        <w:r w:rsidR="00057933">
          <w:rPr>
            <w:noProof/>
            <w:webHidden/>
          </w:rPr>
          <w:fldChar w:fldCharType="begin"/>
        </w:r>
        <w:r w:rsidR="00057933">
          <w:rPr>
            <w:noProof/>
            <w:webHidden/>
          </w:rPr>
          <w:instrText xml:space="preserve"> PAGEREF _Toc170710463 \h </w:instrText>
        </w:r>
        <w:r w:rsidR="00057933">
          <w:rPr>
            <w:noProof/>
            <w:webHidden/>
          </w:rPr>
        </w:r>
        <w:r w:rsidR="00057933">
          <w:rPr>
            <w:noProof/>
            <w:webHidden/>
          </w:rPr>
          <w:fldChar w:fldCharType="separate"/>
        </w:r>
        <w:r>
          <w:rPr>
            <w:noProof/>
            <w:webHidden/>
          </w:rPr>
          <w:t>8</w:t>
        </w:r>
        <w:r w:rsidR="00057933">
          <w:rPr>
            <w:noProof/>
            <w:webHidden/>
          </w:rPr>
          <w:fldChar w:fldCharType="end"/>
        </w:r>
      </w:hyperlink>
    </w:p>
    <w:p w14:paraId="7256CE4E" w14:textId="74786EBE" w:rsidR="00057933" w:rsidRDefault="00EC30BF">
      <w:pPr>
        <w:pStyle w:val="TOC2"/>
        <w:rPr>
          <w:rFonts w:asciiTheme="minorHAnsi" w:eastAsiaTheme="minorEastAsia" w:hAnsiTheme="minorHAnsi" w:cstheme="minorBidi"/>
          <w:noProof/>
          <w:szCs w:val="22"/>
          <w:lang w:val="en-AU" w:eastAsia="en-AU"/>
        </w:rPr>
      </w:pPr>
      <w:hyperlink w:anchor="_Toc170710464" w:history="1">
        <w:r w:rsidR="00057933" w:rsidRPr="00987F57">
          <w:rPr>
            <w:rStyle w:val="Hyperlink"/>
            <w:noProof/>
          </w:rPr>
          <w:t>4.2</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permitted tests and required testing</w:t>
        </w:r>
        <w:r w:rsidR="00057933">
          <w:rPr>
            <w:noProof/>
            <w:webHidden/>
          </w:rPr>
          <w:tab/>
        </w:r>
        <w:r w:rsidR="00057933">
          <w:rPr>
            <w:noProof/>
            <w:webHidden/>
          </w:rPr>
          <w:fldChar w:fldCharType="begin"/>
        </w:r>
        <w:r w:rsidR="00057933">
          <w:rPr>
            <w:noProof/>
            <w:webHidden/>
          </w:rPr>
          <w:instrText xml:space="preserve"> PAGEREF _Toc170710464 \h </w:instrText>
        </w:r>
        <w:r w:rsidR="00057933">
          <w:rPr>
            <w:noProof/>
            <w:webHidden/>
          </w:rPr>
        </w:r>
        <w:r w:rsidR="00057933">
          <w:rPr>
            <w:noProof/>
            <w:webHidden/>
          </w:rPr>
          <w:fldChar w:fldCharType="separate"/>
        </w:r>
        <w:r>
          <w:rPr>
            <w:noProof/>
            <w:webHidden/>
          </w:rPr>
          <w:t>8</w:t>
        </w:r>
        <w:r w:rsidR="00057933">
          <w:rPr>
            <w:noProof/>
            <w:webHidden/>
          </w:rPr>
          <w:fldChar w:fldCharType="end"/>
        </w:r>
      </w:hyperlink>
    </w:p>
    <w:p w14:paraId="07358259" w14:textId="0AD60461" w:rsidR="00057933" w:rsidRDefault="00EC30BF">
      <w:pPr>
        <w:pStyle w:val="TOC2"/>
        <w:rPr>
          <w:rFonts w:asciiTheme="minorHAnsi" w:eastAsiaTheme="minorEastAsia" w:hAnsiTheme="minorHAnsi" w:cstheme="minorBidi"/>
          <w:noProof/>
          <w:szCs w:val="22"/>
          <w:lang w:val="en-AU" w:eastAsia="en-AU"/>
        </w:rPr>
      </w:pPr>
      <w:hyperlink w:anchor="_Toc170710465" w:history="1">
        <w:r w:rsidR="00057933" w:rsidRPr="00987F57">
          <w:rPr>
            <w:rStyle w:val="Hyperlink"/>
            <w:noProof/>
          </w:rPr>
          <w:t>4.3</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the testing requirements</w:t>
        </w:r>
        <w:r w:rsidR="00057933">
          <w:rPr>
            <w:noProof/>
            <w:webHidden/>
          </w:rPr>
          <w:tab/>
        </w:r>
        <w:r w:rsidR="00057933">
          <w:rPr>
            <w:noProof/>
            <w:webHidden/>
          </w:rPr>
          <w:fldChar w:fldCharType="begin"/>
        </w:r>
        <w:r w:rsidR="00057933">
          <w:rPr>
            <w:noProof/>
            <w:webHidden/>
          </w:rPr>
          <w:instrText xml:space="preserve"> PAGEREF _Toc170710465 \h </w:instrText>
        </w:r>
        <w:r w:rsidR="00057933">
          <w:rPr>
            <w:noProof/>
            <w:webHidden/>
          </w:rPr>
        </w:r>
        <w:r w:rsidR="00057933">
          <w:rPr>
            <w:noProof/>
            <w:webHidden/>
          </w:rPr>
          <w:fldChar w:fldCharType="separate"/>
        </w:r>
        <w:r>
          <w:rPr>
            <w:noProof/>
            <w:webHidden/>
          </w:rPr>
          <w:t>8</w:t>
        </w:r>
        <w:r w:rsidR="00057933">
          <w:rPr>
            <w:noProof/>
            <w:webHidden/>
          </w:rPr>
          <w:fldChar w:fldCharType="end"/>
        </w:r>
      </w:hyperlink>
    </w:p>
    <w:p w14:paraId="2AD63520" w14:textId="7D0958A0" w:rsidR="00057933" w:rsidRDefault="00EC30BF">
      <w:pPr>
        <w:pStyle w:val="TOC3"/>
        <w:tabs>
          <w:tab w:val="left" w:pos="1276"/>
        </w:tabs>
        <w:rPr>
          <w:rFonts w:asciiTheme="minorHAnsi" w:eastAsiaTheme="minorEastAsia" w:hAnsiTheme="minorHAnsi" w:cstheme="minorBidi"/>
          <w:noProof/>
          <w:szCs w:val="22"/>
          <w:lang w:val="en-AU" w:eastAsia="en-AU"/>
        </w:rPr>
      </w:pPr>
      <w:hyperlink w:anchor="_Toc170710466" w:history="1">
        <w:r w:rsidR="00057933" w:rsidRPr="00987F57">
          <w:rPr>
            <w:rStyle w:val="Hyperlink"/>
            <w:noProof/>
          </w:rPr>
          <w:t>4.3.1</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the permitted tests</w:t>
        </w:r>
        <w:r w:rsidR="00057933">
          <w:rPr>
            <w:noProof/>
            <w:webHidden/>
          </w:rPr>
          <w:tab/>
        </w:r>
        <w:r w:rsidR="00057933">
          <w:rPr>
            <w:noProof/>
            <w:webHidden/>
          </w:rPr>
          <w:fldChar w:fldCharType="begin"/>
        </w:r>
        <w:r w:rsidR="00057933">
          <w:rPr>
            <w:noProof/>
            <w:webHidden/>
          </w:rPr>
          <w:instrText xml:space="preserve"> PAGEREF _Toc170710466 \h </w:instrText>
        </w:r>
        <w:r w:rsidR="00057933">
          <w:rPr>
            <w:noProof/>
            <w:webHidden/>
          </w:rPr>
        </w:r>
        <w:r w:rsidR="00057933">
          <w:rPr>
            <w:noProof/>
            <w:webHidden/>
          </w:rPr>
          <w:fldChar w:fldCharType="separate"/>
        </w:r>
        <w:r>
          <w:rPr>
            <w:noProof/>
            <w:webHidden/>
          </w:rPr>
          <w:t>9</w:t>
        </w:r>
        <w:r w:rsidR="00057933">
          <w:rPr>
            <w:noProof/>
            <w:webHidden/>
          </w:rPr>
          <w:fldChar w:fldCharType="end"/>
        </w:r>
      </w:hyperlink>
    </w:p>
    <w:p w14:paraId="76C0C737" w14:textId="2D2946C0" w:rsidR="00057933" w:rsidRDefault="00EC30BF">
      <w:pPr>
        <w:pStyle w:val="TOC3"/>
        <w:tabs>
          <w:tab w:val="left" w:pos="1276"/>
        </w:tabs>
        <w:rPr>
          <w:rFonts w:asciiTheme="minorHAnsi" w:eastAsiaTheme="minorEastAsia" w:hAnsiTheme="minorHAnsi" w:cstheme="minorBidi"/>
          <w:noProof/>
          <w:szCs w:val="22"/>
          <w:lang w:val="en-AU" w:eastAsia="en-AU"/>
        </w:rPr>
      </w:pPr>
      <w:hyperlink w:anchor="_Toc170710467" w:history="1">
        <w:r w:rsidR="00057933" w:rsidRPr="00987F57">
          <w:rPr>
            <w:rStyle w:val="Hyperlink"/>
            <w:noProof/>
          </w:rPr>
          <w:t>4.3.2</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permitted excipients</w:t>
        </w:r>
        <w:r w:rsidR="00057933">
          <w:rPr>
            <w:noProof/>
            <w:webHidden/>
          </w:rPr>
          <w:tab/>
        </w:r>
        <w:r w:rsidR="00057933">
          <w:rPr>
            <w:noProof/>
            <w:webHidden/>
          </w:rPr>
          <w:fldChar w:fldCharType="begin"/>
        </w:r>
        <w:r w:rsidR="00057933">
          <w:rPr>
            <w:noProof/>
            <w:webHidden/>
          </w:rPr>
          <w:instrText xml:space="preserve"> PAGEREF _Toc170710467 \h </w:instrText>
        </w:r>
        <w:r w:rsidR="00057933">
          <w:rPr>
            <w:noProof/>
            <w:webHidden/>
          </w:rPr>
        </w:r>
        <w:r w:rsidR="00057933">
          <w:rPr>
            <w:noProof/>
            <w:webHidden/>
          </w:rPr>
          <w:fldChar w:fldCharType="separate"/>
        </w:r>
        <w:r>
          <w:rPr>
            <w:noProof/>
            <w:webHidden/>
          </w:rPr>
          <w:t>10</w:t>
        </w:r>
        <w:r w:rsidR="00057933">
          <w:rPr>
            <w:noProof/>
            <w:webHidden/>
          </w:rPr>
          <w:fldChar w:fldCharType="end"/>
        </w:r>
      </w:hyperlink>
    </w:p>
    <w:p w14:paraId="5CA78AD4" w14:textId="4F56C700" w:rsidR="00057933" w:rsidRDefault="00EC30BF">
      <w:pPr>
        <w:pStyle w:val="TOC3"/>
        <w:tabs>
          <w:tab w:val="left" w:pos="1276"/>
        </w:tabs>
        <w:rPr>
          <w:rFonts w:asciiTheme="minorHAnsi" w:eastAsiaTheme="minorEastAsia" w:hAnsiTheme="minorHAnsi" w:cstheme="minorBidi"/>
          <w:noProof/>
          <w:szCs w:val="22"/>
          <w:lang w:val="en-AU" w:eastAsia="en-AU"/>
        </w:rPr>
      </w:pPr>
      <w:hyperlink w:anchor="_Toc170710468" w:history="1">
        <w:r w:rsidR="00057933" w:rsidRPr="00987F57">
          <w:rPr>
            <w:rStyle w:val="Hyperlink"/>
            <w:noProof/>
          </w:rPr>
          <w:t>4.3.3</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assay limits of active ingredients</w:t>
        </w:r>
        <w:r w:rsidR="00057933">
          <w:rPr>
            <w:noProof/>
            <w:webHidden/>
          </w:rPr>
          <w:tab/>
        </w:r>
        <w:r w:rsidR="00057933">
          <w:rPr>
            <w:noProof/>
            <w:webHidden/>
          </w:rPr>
          <w:fldChar w:fldCharType="begin"/>
        </w:r>
        <w:r w:rsidR="00057933">
          <w:rPr>
            <w:noProof/>
            <w:webHidden/>
          </w:rPr>
          <w:instrText xml:space="preserve"> PAGEREF _Toc170710468 \h </w:instrText>
        </w:r>
        <w:r w:rsidR="00057933">
          <w:rPr>
            <w:noProof/>
            <w:webHidden/>
          </w:rPr>
        </w:r>
        <w:r w:rsidR="00057933">
          <w:rPr>
            <w:noProof/>
            <w:webHidden/>
          </w:rPr>
          <w:fldChar w:fldCharType="separate"/>
        </w:r>
        <w:r>
          <w:rPr>
            <w:noProof/>
            <w:webHidden/>
          </w:rPr>
          <w:t>10</w:t>
        </w:r>
        <w:r w:rsidR="00057933">
          <w:rPr>
            <w:noProof/>
            <w:webHidden/>
          </w:rPr>
          <w:fldChar w:fldCharType="end"/>
        </w:r>
      </w:hyperlink>
    </w:p>
    <w:p w14:paraId="2285DEFA" w14:textId="2D6B6EA6" w:rsidR="00057933" w:rsidRDefault="00EC30BF">
      <w:pPr>
        <w:pStyle w:val="TOC3"/>
        <w:tabs>
          <w:tab w:val="left" w:pos="1276"/>
        </w:tabs>
        <w:rPr>
          <w:rFonts w:asciiTheme="minorHAnsi" w:eastAsiaTheme="minorEastAsia" w:hAnsiTheme="minorHAnsi" w:cstheme="minorBidi"/>
          <w:noProof/>
          <w:szCs w:val="22"/>
          <w:lang w:val="en-AU" w:eastAsia="en-AU"/>
        </w:rPr>
      </w:pPr>
      <w:hyperlink w:anchor="_Toc170710469" w:history="1">
        <w:r w:rsidR="00057933" w:rsidRPr="00987F57">
          <w:rPr>
            <w:rStyle w:val="Hyperlink"/>
            <w:noProof/>
          </w:rPr>
          <w:t>4.3.4</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container material requirements</w:t>
        </w:r>
        <w:r w:rsidR="00057933">
          <w:rPr>
            <w:noProof/>
            <w:webHidden/>
          </w:rPr>
          <w:tab/>
        </w:r>
        <w:r w:rsidR="00057933">
          <w:rPr>
            <w:noProof/>
            <w:webHidden/>
          </w:rPr>
          <w:fldChar w:fldCharType="begin"/>
        </w:r>
        <w:r w:rsidR="00057933">
          <w:rPr>
            <w:noProof/>
            <w:webHidden/>
          </w:rPr>
          <w:instrText xml:space="preserve"> PAGEREF _Toc170710469 \h </w:instrText>
        </w:r>
        <w:r w:rsidR="00057933">
          <w:rPr>
            <w:noProof/>
            <w:webHidden/>
          </w:rPr>
        </w:r>
        <w:r w:rsidR="00057933">
          <w:rPr>
            <w:noProof/>
            <w:webHidden/>
          </w:rPr>
          <w:fldChar w:fldCharType="separate"/>
        </w:r>
        <w:r>
          <w:rPr>
            <w:noProof/>
            <w:webHidden/>
          </w:rPr>
          <w:t>11</w:t>
        </w:r>
        <w:r w:rsidR="00057933">
          <w:rPr>
            <w:noProof/>
            <w:webHidden/>
          </w:rPr>
          <w:fldChar w:fldCharType="end"/>
        </w:r>
      </w:hyperlink>
    </w:p>
    <w:p w14:paraId="04C7EF3F" w14:textId="199C9387" w:rsidR="00057933" w:rsidRDefault="00EC30BF">
      <w:pPr>
        <w:pStyle w:val="TOC2"/>
        <w:rPr>
          <w:rFonts w:asciiTheme="minorHAnsi" w:eastAsiaTheme="minorEastAsia" w:hAnsiTheme="minorHAnsi" w:cstheme="minorBidi"/>
          <w:noProof/>
          <w:szCs w:val="22"/>
          <w:lang w:val="en-AU" w:eastAsia="en-AU"/>
        </w:rPr>
      </w:pPr>
      <w:hyperlink w:anchor="_Toc170710470" w:history="1">
        <w:r w:rsidR="00057933" w:rsidRPr="00987F57">
          <w:rPr>
            <w:rStyle w:val="Hyperlink"/>
            <w:noProof/>
          </w:rPr>
          <w:t>4.4</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requirements for laboratories</w:t>
        </w:r>
        <w:r w:rsidR="00057933">
          <w:rPr>
            <w:noProof/>
            <w:webHidden/>
          </w:rPr>
          <w:tab/>
        </w:r>
        <w:r w:rsidR="00057933">
          <w:rPr>
            <w:noProof/>
            <w:webHidden/>
          </w:rPr>
          <w:fldChar w:fldCharType="begin"/>
        </w:r>
        <w:r w:rsidR="00057933">
          <w:rPr>
            <w:noProof/>
            <w:webHidden/>
          </w:rPr>
          <w:instrText xml:space="preserve"> PAGEREF _Toc170710470 \h </w:instrText>
        </w:r>
        <w:r w:rsidR="00057933">
          <w:rPr>
            <w:noProof/>
            <w:webHidden/>
          </w:rPr>
        </w:r>
        <w:r w:rsidR="00057933">
          <w:rPr>
            <w:noProof/>
            <w:webHidden/>
          </w:rPr>
          <w:fldChar w:fldCharType="separate"/>
        </w:r>
        <w:r>
          <w:rPr>
            <w:noProof/>
            <w:webHidden/>
          </w:rPr>
          <w:t>11</w:t>
        </w:r>
        <w:r w:rsidR="00057933">
          <w:rPr>
            <w:noProof/>
            <w:webHidden/>
          </w:rPr>
          <w:fldChar w:fldCharType="end"/>
        </w:r>
      </w:hyperlink>
    </w:p>
    <w:p w14:paraId="0531EFE0" w14:textId="3A43881A" w:rsidR="00057933" w:rsidRDefault="00EC30BF">
      <w:pPr>
        <w:pStyle w:val="TOC2"/>
        <w:rPr>
          <w:rFonts w:asciiTheme="minorHAnsi" w:eastAsiaTheme="minorEastAsia" w:hAnsiTheme="minorHAnsi" w:cstheme="minorBidi"/>
          <w:noProof/>
          <w:szCs w:val="22"/>
          <w:lang w:val="en-AU" w:eastAsia="en-AU"/>
        </w:rPr>
      </w:pPr>
      <w:hyperlink w:anchor="_Toc170710471" w:history="1">
        <w:r w:rsidR="00057933" w:rsidRPr="00987F57">
          <w:rPr>
            <w:rStyle w:val="Hyperlink"/>
            <w:noProof/>
          </w:rPr>
          <w:t>4.5</w:t>
        </w:r>
        <w:r w:rsidR="00057933">
          <w:rPr>
            <w:rFonts w:asciiTheme="minorHAnsi" w:eastAsiaTheme="minorEastAsia" w:hAnsiTheme="minorHAnsi" w:cstheme="minorBidi"/>
            <w:noProof/>
            <w:szCs w:val="22"/>
            <w:lang w:val="en-AU" w:eastAsia="en-AU"/>
          </w:rPr>
          <w:tab/>
        </w:r>
        <w:r w:rsidR="00057933" w:rsidRPr="00987F57">
          <w:rPr>
            <w:rStyle w:val="Hyperlink"/>
            <w:noProof/>
          </w:rPr>
          <w:t>Changes to pesticide requirements</w:t>
        </w:r>
        <w:r w:rsidR="00057933">
          <w:rPr>
            <w:noProof/>
            <w:webHidden/>
          </w:rPr>
          <w:tab/>
        </w:r>
        <w:r w:rsidR="00057933">
          <w:rPr>
            <w:noProof/>
            <w:webHidden/>
          </w:rPr>
          <w:fldChar w:fldCharType="begin"/>
        </w:r>
        <w:r w:rsidR="00057933">
          <w:rPr>
            <w:noProof/>
            <w:webHidden/>
          </w:rPr>
          <w:instrText xml:space="preserve"> PAGEREF _Toc170710471 \h </w:instrText>
        </w:r>
        <w:r w:rsidR="00057933">
          <w:rPr>
            <w:noProof/>
            <w:webHidden/>
          </w:rPr>
        </w:r>
        <w:r w:rsidR="00057933">
          <w:rPr>
            <w:noProof/>
            <w:webHidden/>
          </w:rPr>
          <w:fldChar w:fldCharType="separate"/>
        </w:r>
        <w:r>
          <w:rPr>
            <w:noProof/>
            <w:webHidden/>
          </w:rPr>
          <w:t>12</w:t>
        </w:r>
        <w:r w:rsidR="00057933">
          <w:rPr>
            <w:noProof/>
            <w:webHidden/>
          </w:rPr>
          <w:fldChar w:fldCharType="end"/>
        </w:r>
      </w:hyperlink>
    </w:p>
    <w:p w14:paraId="4A9D3FE0" w14:textId="43984CF7" w:rsidR="00530526" w:rsidRPr="00B10EF9" w:rsidRDefault="003450E8" w:rsidP="00B10EF9">
      <w:pPr>
        <w:rPr>
          <w:b/>
          <w:bCs/>
        </w:rPr>
      </w:pPr>
      <w:r>
        <w:rPr>
          <w:b/>
        </w:rPr>
        <w:fldChar w:fldCharType="end"/>
      </w:r>
      <w:r w:rsidR="00530526" w:rsidRPr="00B10EF9">
        <w:rPr>
          <w:b/>
          <w:bCs/>
        </w:rPr>
        <w:t>List of Tables</w:t>
      </w:r>
    </w:p>
    <w:p w14:paraId="18EB3CC5" w14:textId="6FD4006A" w:rsidR="00057933" w:rsidRDefault="00530526" w:rsidP="00B10EF9">
      <w:pPr>
        <w:pStyle w:val="TOC4"/>
        <w:tabs>
          <w:tab w:val="clear" w:pos="8789"/>
          <w:tab w:val="right" w:leader="dot" w:pos="8222"/>
        </w:tabs>
        <w:ind w:left="851" w:right="565" w:hanging="851"/>
        <w:rPr>
          <w:rFonts w:asciiTheme="minorHAnsi" w:eastAsiaTheme="minorEastAsia" w:hAnsiTheme="minorHAnsi" w:cstheme="minorBidi"/>
          <w:noProof/>
          <w:szCs w:val="22"/>
          <w:lang w:val="en-AU" w:eastAsia="en-AU"/>
        </w:rPr>
      </w:pPr>
      <w:r>
        <w:rPr>
          <w:sz w:val="20"/>
        </w:rPr>
        <w:fldChar w:fldCharType="begin"/>
      </w:r>
      <w:r>
        <w:rPr>
          <w:sz w:val="20"/>
        </w:rPr>
        <w:instrText xml:space="preserve"> TOC \h \z \t "Table,4" </w:instrText>
      </w:r>
      <w:r>
        <w:rPr>
          <w:sz w:val="20"/>
        </w:rPr>
        <w:fldChar w:fldCharType="separate"/>
      </w:r>
      <w:hyperlink w:anchor="_Toc170710472" w:history="1">
        <w:r w:rsidR="00057933" w:rsidRPr="00491487">
          <w:rPr>
            <w:rStyle w:val="Hyperlink"/>
            <w:noProof/>
          </w:rPr>
          <w:t>Table 1: Testing requirements for medicinal cannabis to meet the minimum quality standard</w:t>
        </w:r>
        <w:r w:rsidR="00057933">
          <w:rPr>
            <w:noProof/>
            <w:webHidden/>
          </w:rPr>
          <w:tab/>
        </w:r>
        <w:r w:rsidR="00057933">
          <w:rPr>
            <w:noProof/>
            <w:webHidden/>
          </w:rPr>
          <w:fldChar w:fldCharType="begin"/>
        </w:r>
        <w:r w:rsidR="00057933">
          <w:rPr>
            <w:noProof/>
            <w:webHidden/>
          </w:rPr>
          <w:instrText xml:space="preserve"> PAGEREF _Toc170710472 \h </w:instrText>
        </w:r>
        <w:r w:rsidR="00057933">
          <w:rPr>
            <w:noProof/>
            <w:webHidden/>
          </w:rPr>
        </w:r>
        <w:r w:rsidR="00057933">
          <w:rPr>
            <w:noProof/>
            <w:webHidden/>
          </w:rPr>
          <w:fldChar w:fldCharType="separate"/>
        </w:r>
        <w:r w:rsidR="00EC30BF">
          <w:rPr>
            <w:noProof/>
            <w:webHidden/>
          </w:rPr>
          <w:t>9</w:t>
        </w:r>
        <w:r w:rsidR="00057933">
          <w:rPr>
            <w:noProof/>
            <w:webHidden/>
          </w:rPr>
          <w:fldChar w:fldCharType="end"/>
        </w:r>
      </w:hyperlink>
    </w:p>
    <w:p w14:paraId="13870F63" w14:textId="0B9E4038" w:rsidR="00057933" w:rsidRDefault="00EC30BF" w:rsidP="00B10EF9">
      <w:pPr>
        <w:pStyle w:val="TOC4"/>
        <w:tabs>
          <w:tab w:val="clear" w:pos="8789"/>
          <w:tab w:val="right" w:leader="dot" w:pos="8222"/>
        </w:tabs>
        <w:ind w:left="851" w:right="565" w:hanging="851"/>
        <w:rPr>
          <w:rFonts w:asciiTheme="minorHAnsi" w:eastAsiaTheme="minorEastAsia" w:hAnsiTheme="minorHAnsi" w:cstheme="minorBidi"/>
          <w:noProof/>
          <w:szCs w:val="22"/>
          <w:lang w:val="en-AU" w:eastAsia="en-AU"/>
        </w:rPr>
      </w:pPr>
      <w:hyperlink w:anchor="_Toc170710473" w:history="1">
        <w:r w:rsidR="00057933" w:rsidRPr="00491487">
          <w:rPr>
            <w:rStyle w:val="Hyperlink"/>
            <w:noProof/>
          </w:rPr>
          <w:t>Table 2: Guidance on allowable pesticide us on medicinal cannabis under the minimum quality standard.</w:t>
        </w:r>
        <w:r w:rsidR="00057933">
          <w:rPr>
            <w:noProof/>
            <w:webHidden/>
          </w:rPr>
          <w:tab/>
        </w:r>
        <w:r w:rsidR="00057933">
          <w:rPr>
            <w:noProof/>
            <w:webHidden/>
          </w:rPr>
          <w:fldChar w:fldCharType="begin"/>
        </w:r>
        <w:r w:rsidR="00057933">
          <w:rPr>
            <w:noProof/>
            <w:webHidden/>
          </w:rPr>
          <w:instrText xml:space="preserve"> PAGEREF _Toc170710473 \h </w:instrText>
        </w:r>
        <w:r w:rsidR="00057933">
          <w:rPr>
            <w:noProof/>
            <w:webHidden/>
          </w:rPr>
        </w:r>
        <w:r w:rsidR="00057933">
          <w:rPr>
            <w:noProof/>
            <w:webHidden/>
          </w:rPr>
          <w:fldChar w:fldCharType="separate"/>
        </w:r>
        <w:r>
          <w:rPr>
            <w:noProof/>
            <w:webHidden/>
          </w:rPr>
          <w:t>12</w:t>
        </w:r>
        <w:r w:rsidR="00057933">
          <w:rPr>
            <w:noProof/>
            <w:webHidden/>
          </w:rPr>
          <w:fldChar w:fldCharType="end"/>
        </w:r>
      </w:hyperlink>
    </w:p>
    <w:p w14:paraId="39CEF9D6" w14:textId="3F65F6D2" w:rsidR="006524E1" w:rsidRDefault="00530526" w:rsidP="00530526">
      <w:pPr>
        <w:tabs>
          <w:tab w:val="right" w:leader="dot" w:pos="8222"/>
        </w:tabs>
        <w:ind w:right="282"/>
        <w:sectPr w:rsidR="006524E1" w:rsidSect="0059368A">
          <w:footerReference w:type="default" r:id="rId23"/>
          <w:pgSz w:w="11907" w:h="16834" w:code="9"/>
          <w:pgMar w:top="1418" w:right="1418" w:bottom="1134" w:left="1418" w:header="284" w:footer="425" w:gutter="284"/>
          <w:pgNumType w:fmt="lowerRoman" w:start="2"/>
          <w:cols w:space="720"/>
          <w:docGrid w:linePitch="286"/>
        </w:sectPr>
      </w:pPr>
      <w:r>
        <w:rPr>
          <w:sz w:val="20"/>
        </w:rPr>
        <w:fldChar w:fldCharType="end"/>
      </w:r>
    </w:p>
    <w:p w14:paraId="545357E3" w14:textId="77777777" w:rsidR="00D371B0" w:rsidRPr="00FA44A6" w:rsidRDefault="00D371B0" w:rsidP="00D371B0">
      <w:pPr>
        <w:pStyle w:val="Heading1"/>
      </w:pPr>
      <w:bookmarkStart w:id="3" w:name="_Introduction"/>
      <w:bookmarkStart w:id="4" w:name="_Toc35751549"/>
      <w:bookmarkStart w:id="5" w:name="_Ref36472669"/>
      <w:bookmarkStart w:id="6" w:name="_Toc170710450"/>
      <w:bookmarkStart w:id="7" w:name="_Hlk24970349"/>
      <w:bookmarkEnd w:id="3"/>
      <w:r w:rsidRPr="00FA44A6">
        <w:lastRenderedPageBreak/>
        <w:t>Introduction</w:t>
      </w:r>
      <w:bookmarkEnd w:id="4"/>
      <w:bookmarkEnd w:id="5"/>
      <w:bookmarkEnd w:id="6"/>
    </w:p>
    <w:p w14:paraId="2D68C2C4" w14:textId="1EE40494" w:rsidR="00057933" w:rsidRDefault="00057933" w:rsidP="00057933">
      <w:bookmarkStart w:id="8" w:name="_Toc36535162"/>
      <w:bookmarkEnd w:id="7"/>
      <w:r>
        <w:t xml:space="preserve">This document is intended to help current or potential licence holders understand the key changes to the Misuse of Drugs (Medicinal Cannabis) Regulations 2019 (the Regulations) and provides guidance on how to comply with the new requirements. These changes will take effect from </w:t>
      </w:r>
      <w:r w:rsidR="00C47C85">
        <w:t>05 July</w:t>
      </w:r>
      <w:r>
        <w:t xml:space="preserve"> 2024.</w:t>
      </w:r>
    </w:p>
    <w:p w14:paraId="2704A64E" w14:textId="77777777" w:rsidR="00057933" w:rsidRDefault="00057933" w:rsidP="00057933">
      <w:pPr>
        <w:rPr>
          <w:lang w:eastAsia="en-NZ"/>
        </w:rPr>
      </w:pPr>
      <w:r>
        <w:t xml:space="preserve">We recommend also reading the updated </w:t>
      </w:r>
      <w:r w:rsidRPr="00D60E87">
        <w:rPr>
          <w:b/>
          <w:bCs/>
          <w:i/>
          <w:iCs/>
        </w:rPr>
        <w:t>Guidelines on the regulation of medicinal cannabis in New Zealand</w:t>
      </w:r>
      <w:r>
        <w:t xml:space="preserve"> in full. These have been updated to reflect the changes outlined in this document. These guidelines can be found on our website at: </w:t>
      </w:r>
      <w:hyperlink r:id="rId24" w:history="1">
        <w:r w:rsidRPr="00F35282">
          <w:rPr>
            <w:rStyle w:val="Hyperlink"/>
            <w:lang w:eastAsia="en-NZ"/>
          </w:rPr>
          <w:t>https://www.health.govt.nz/publication/medicinal-cannabis-scheme-guideline-and-forms</w:t>
        </w:r>
      </w:hyperlink>
      <w:r w:rsidRPr="00961785">
        <w:rPr>
          <w:lang w:eastAsia="en-NZ"/>
        </w:rPr>
        <w:t>.</w:t>
      </w:r>
    </w:p>
    <w:p w14:paraId="786CD4A6" w14:textId="77777777" w:rsidR="00057933" w:rsidRDefault="00057933" w:rsidP="00057933">
      <w:r w:rsidRPr="00046509">
        <w:t xml:space="preserve">While we have made every effort to explain the </w:t>
      </w:r>
      <w:r>
        <w:t xml:space="preserve">key </w:t>
      </w:r>
      <w:r w:rsidRPr="00046509">
        <w:t xml:space="preserve">changes to the </w:t>
      </w:r>
      <w:r>
        <w:t>Regulations</w:t>
      </w:r>
      <w:r w:rsidRPr="00046509">
        <w:t xml:space="preserve">, it is </w:t>
      </w:r>
      <w:r>
        <w:t>the licence holders’</w:t>
      </w:r>
      <w:r w:rsidRPr="00046509">
        <w:t xml:space="preserve"> responsibility to understand </w:t>
      </w:r>
      <w:r>
        <w:t>their</w:t>
      </w:r>
      <w:r w:rsidRPr="00046509">
        <w:t xml:space="preserve"> obligations under the Misuse of Drugs Act 1975 (the Act)</w:t>
      </w:r>
      <w:r>
        <w:t xml:space="preserve">, </w:t>
      </w:r>
      <w:r w:rsidRPr="00046509">
        <w:t>the Regulations</w:t>
      </w:r>
      <w:r>
        <w:t>, and any other legislation</w:t>
      </w:r>
      <w:r w:rsidRPr="00046509">
        <w:t xml:space="preserve"> when working under the </w:t>
      </w:r>
      <w:r>
        <w:t>Medicinal Cannabis S</w:t>
      </w:r>
      <w:r w:rsidRPr="00046509">
        <w:t>cheme</w:t>
      </w:r>
      <w:r>
        <w:t xml:space="preserve"> (the Scheme)</w:t>
      </w:r>
      <w:r w:rsidRPr="00046509">
        <w:t>.</w:t>
      </w:r>
    </w:p>
    <w:p w14:paraId="0226EE1A" w14:textId="77777777" w:rsidR="00057933" w:rsidRDefault="00057933" w:rsidP="00057933">
      <w:r>
        <w:t xml:space="preserve">The Misuse of Drugs (Medicinal Cannabis) Amendment Regulations 2024 (the Amendment Regulations) can be read in full on the New Zealand legislation website at: </w:t>
      </w:r>
      <w:hyperlink r:id="rId25" w:history="1">
        <w:r w:rsidRPr="00DC30F1">
          <w:rPr>
            <w:rStyle w:val="Hyperlink"/>
          </w:rPr>
          <w:t>https://www.legislation.govt.nz/regulation/public/2019/0321/latest/LMS285243.html</w:t>
        </w:r>
      </w:hyperlink>
      <w:r>
        <w:t>.</w:t>
      </w:r>
    </w:p>
    <w:p w14:paraId="2A89106C" w14:textId="77777777" w:rsidR="00057933" w:rsidRDefault="00057933" w:rsidP="00057933">
      <w:r>
        <w:t xml:space="preserve">If you have any questions regarding the changes, please contact us at </w:t>
      </w:r>
      <w:hyperlink r:id="rId26" w:history="1">
        <w:r w:rsidRPr="0091528A">
          <w:rPr>
            <w:rStyle w:val="Hyperlink"/>
          </w:rPr>
          <w:t>medicinalcannabis@health.govt.nz</w:t>
        </w:r>
      </w:hyperlink>
      <w:r>
        <w:t>.</w:t>
      </w:r>
    </w:p>
    <w:p w14:paraId="6747C2D2" w14:textId="77777777" w:rsidR="00057933" w:rsidRDefault="00057933" w:rsidP="00057933">
      <w:pPr>
        <w:pStyle w:val="Heading2"/>
        <w:spacing w:before="480"/>
      </w:pPr>
      <w:bookmarkStart w:id="9" w:name="_Toc167108783"/>
      <w:bookmarkStart w:id="10" w:name="_Toc170710451"/>
      <w:r>
        <w:t>Overview of the changes to the Regulations</w:t>
      </w:r>
      <w:bookmarkEnd w:id="9"/>
      <w:bookmarkEnd w:id="10"/>
    </w:p>
    <w:p w14:paraId="4709DCFD" w14:textId="77777777" w:rsidR="00057933" w:rsidRDefault="00057933" w:rsidP="00057933">
      <w:r>
        <w:t>Changes have been made to the Regulations which may affect you. These include:</w:t>
      </w:r>
    </w:p>
    <w:p w14:paraId="606FA28F" w14:textId="1D63E28D" w:rsidR="00057933" w:rsidRDefault="00EC30BF" w:rsidP="00057933">
      <w:pPr>
        <w:pStyle w:val="Bullet"/>
        <w:spacing w:before="60"/>
      </w:pPr>
      <w:hyperlink w:anchor="_Changes_to_export" w:history="1">
        <w:r w:rsidR="00057933" w:rsidRPr="007C45A3">
          <w:rPr>
            <w:rStyle w:val="Hyperlink"/>
          </w:rPr>
          <w:t>changes to export settings</w:t>
        </w:r>
      </w:hyperlink>
      <w:r w:rsidR="00057933">
        <w:t>, including:</w:t>
      </w:r>
    </w:p>
    <w:p w14:paraId="35BC412F" w14:textId="37CBE79B" w:rsidR="00057933" w:rsidRPr="002129CD" w:rsidRDefault="00057933" w:rsidP="00057933">
      <w:pPr>
        <w:pStyle w:val="Dash"/>
        <w:rPr>
          <w:rStyle w:val="Hyperlink"/>
        </w:rPr>
      </w:pPr>
      <w:r>
        <w:fldChar w:fldCharType="begin"/>
      </w:r>
      <w:r w:rsidR="004448FE">
        <w:instrText>HYPERLINK  \l "_Export_of_starting"</w:instrText>
      </w:r>
      <w:r>
        <w:fldChar w:fldCharType="separate"/>
      </w:r>
      <w:r w:rsidRPr="002129CD">
        <w:rPr>
          <w:rStyle w:val="Hyperlink"/>
        </w:rPr>
        <w:t>export of starting material</w:t>
      </w:r>
    </w:p>
    <w:p w14:paraId="121D7DDF" w14:textId="77777777" w:rsidR="00057933" w:rsidRPr="000C593E" w:rsidRDefault="00057933" w:rsidP="00057933">
      <w:pPr>
        <w:pStyle w:val="Dash"/>
      </w:pPr>
      <w:r>
        <w:fldChar w:fldCharType="end"/>
      </w:r>
      <w:hyperlink w:anchor="_Export_of_cannabis-based" w:history="1">
        <w:r w:rsidRPr="00A731B7">
          <w:rPr>
            <w:rStyle w:val="Hyperlink"/>
          </w:rPr>
          <w:t>export of cannabis-based ingredients and medicinal cannabis products</w:t>
        </w:r>
      </w:hyperlink>
    </w:p>
    <w:p w14:paraId="107286AB" w14:textId="21633329" w:rsidR="00057933" w:rsidRDefault="00EC30BF" w:rsidP="00057933">
      <w:pPr>
        <w:pStyle w:val="Dash"/>
      </w:pPr>
      <w:hyperlink w:anchor="_Export_of_CBD" w:history="1">
        <w:r w:rsidR="00057933" w:rsidRPr="007C45A3">
          <w:rPr>
            <w:rStyle w:val="Hyperlink"/>
          </w:rPr>
          <w:t>export of CB</w:t>
        </w:r>
        <w:r w:rsidR="00057933">
          <w:rPr>
            <w:rStyle w:val="Hyperlink"/>
          </w:rPr>
          <w:t>D ingredients and products</w:t>
        </w:r>
      </w:hyperlink>
    </w:p>
    <w:p w14:paraId="14A4F982" w14:textId="14EA058B" w:rsidR="00057933" w:rsidRDefault="00EC30BF" w:rsidP="00057933">
      <w:pPr>
        <w:pStyle w:val="Dash"/>
      </w:pPr>
      <w:hyperlink w:anchor="_Export_of_medicinal" w:history="1">
        <w:r w:rsidR="00057933" w:rsidRPr="007C45A3">
          <w:rPr>
            <w:rStyle w:val="Hyperlink"/>
          </w:rPr>
          <w:t xml:space="preserve">export of </w:t>
        </w:r>
        <w:r w:rsidR="00057933">
          <w:rPr>
            <w:rStyle w:val="Hyperlink"/>
          </w:rPr>
          <w:t xml:space="preserve">medicinal </w:t>
        </w:r>
        <w:r w:rsidR="00057933" w:rsidRPr="007C45A3">
          <w:rPr>
            <w:rStyle w:val="Hyperlink"/>
          </w:rPr>
          <w:t>cannabis seed</w:t>
        </w:r>
      </w:hyperlink>
    </w:p>
    <w:p w14:paraId="1804AA39" w14:textId="5516AA80" w:rsidR="00057933" w:rsidRDefault="00EC30BF" w:rsidP="00057933">
      <w:pPr>
        <w:pStyle w:val="Dash"/>
      </w:pPr>
      <w:hyperlink w:anchor="_Import_of_medicinal" w:history="1">
        <w:r w:rsidR="00057933">
          <w:rPr>
            <w:rStyle w:val="Hyperlink"/>
          </w:rPr>
          <w:t>export</w:t>
        </w:r>
        <w:r w:rsidR="00057933" w:rsidRPr="007C45A3">
          <w:rPr>
            <w:rStyle w:val="Hyperlink"/>
          </w:rPr>
          <w:t xml:space="preserve"> of medicinal cannabis for testing, analysis, or non-therapeutic </w:t>
        </w:r>
        <w:r w:rsidR="00057933">
          <w:rPr>
            <w:rStyle w:val="Hyperlink"/>
          </w:rPr>
          <w:t xml:space="preserve">research </w:t>
        </w:r>
        <w:r w:rsidR="00057933" w:rsidRPr="007C45A3">
          <w:rPr>
            <w:rStyle w:val="Hyperlink"/>
          </w:rPr>
          <w:t>purposes</w:t>
        </w:r>
      </w:hyperlink>
    </w:p>
    <w:p w14:paraId="060316D1" w14:textId="026635B2" w:rsidR="00057933" w:rsidRDefault="00EC30BF" w:rsidP="00057933">
      <w:pPr>
        <w:pStyle w:val="Bullet"/>
        <w:spacing w:before="60"/>
      </w:pPr>
      <w:hyperlink w:anchor="_Changes_to_Licensing" w:history="1">
        <w:r w:rsidR="00057933" w:rsidRPr="00B57275">
          <w:rPr>
            <w:rStyle w:val="Hyperlink"/>
          </w:rPr>
          <w:t>changes to licen</w:t>
        </w:r>
        <w:r w:rsidR="00057933">
          <w:rPr>
            <w:rStyle w:val="Hyperlink"/>
          </w:rPr>
          <w:t>s</w:t>
        </w:r>
        <w:r w:rsidR="00057933" w:rsidRPr="00B57275">
          <w:rPr>
            <w:rStyle w:val="Hyperlink"/>
          </w:rPr>
          <w:t>ing</w:t>
        </w:r>
      </w:hyperlink>
    </w:p>
    <w:p w14:paraId="3F8EF5B1" w14:textId="77777777" w:rsidR="00057933" w:rsidRDefault="00EC30BF" w:rsidP="00057933">
      <w:pPr>
        <w:pStyle w:val="Dash"/>
      </w:pPr>
      <w:hyperlink w:anchor="_Renaming_the_‘nursery’" w:history="1">
        <w:r w:rsidR="00057933" w:rsidRPr="00B57275">
          <w:rPr>
            <w:rStyle w:val="Hyperlink"/>
          </w:rPr>
          <w:t>re</w:t>
        </w:r>
        <w:r w:rsidR="00057933">
          <w:rPr>
            <w:rStyle w:val="Hyperlink"/>
          </w:rPr>
          <w:t>defining the scope of</w:t>
        </w:r>
        <w:r w:rsidR="00057933" w:rsidRPr="00B57275">
          <w:rPr>
            <w:rStyle w:val="Hyperlink"/>
          </w:rPr>
          <w:t xml:space="preserve"> the ‘nursery’ activity to ‘seed supply’</w:t>
        </w:r>
      </w:hyperlink>
    </w:p>
    <w:p w14:paraId="6A744FC1" w14:textId="2C16AA9C" w:rsidR="00057933" w:rsidRDefault="00EC30BF" w:rsidP="00057933">
      <w:pPr>
        <w:pStyle w:val="Bullet"/>
        <w:spacing w:before="60"/>
      </w:pPr>
      <w:hyperlink w:anchor="_Changes_to_the_2" w:history="1">
        <w:r w:rsidR="00057933" w:rsidRPr="00B57275">
          <w:rPr>
            <w:rStyle w:val="Hyperlink"/>
          </w:rPr>
          <w:t>changes to the minimum quality standard</w:t>
        </w:r>
      </w:hyperlink>
      <w:r w:rsidR="00057933">
        <w:t>, including:</w:t>
      </w:r>
    </w:p>
    <w:p w14:paraId="14F86F82" w14:textId="27E04BD2" w:rsidR="00057933" w:rsidRDefault="00EC30BF" w:rsidP="00057933">
      <w:pPr>
        <w:pStyle w:val="Dash"/>
      </w:pPr>
      <w:hyperlink w:anchor="_Changes_to_permitted_3" w:history="1">
        <w:r w:rsidR="00057933" w:rsidRPr="00B57275">
          <w:rPr>
            <w:rStyle w:val="Hyperlink"/>
          </w:rPr>
          <w:t>changes to permitted tests and required testing</w:t>
        </w:r>
      </w:hyperlink>
    </w:p>
    <w:p w14:paraId="19DA9244" w14:textId="117925EA" w:rsidR="00057933" w:rsidRDefault="00EC30BF" w:rsidP="00057933">
      <w:pPr>
        <w:pStyle w:val="Dash"/>
      </w:pPr>
      <w:hyperlink w:anchor="_Changes_to_requirements" w:history="1">
        <w:r w:rsidR="00057933" w:rsidRPr="00B57275">
          <w:rPr>
            <w:rStyle w:val="Hyperlink"/>
          </w:rPr>
          <w:t>changes to requirements for laboratories</w:t>
        </w:r>
      </w:hyperlink>
    </w:p>
    <w:p w14:paraId="7129EB7B" w14:textId="41029E57" w:rsidR="00057933" w:rsidRDefault="00EC30BF" w:rsidP="00057933">
      <w:pPr>
        <w:pStyle w:val="Dash"/>
      </w:pPr>
      <w:hyperlink w:anchor="_Changes_to_pesticide" w:history="1">
        <w:r w:rsidR="00057933" w:rsidRPr="00B57275">
          <w:rPr>
            <w:rStyle w:val="Hyperlink"/>
          </w:rPr>
          <w:t>changes to pesticide requirements</w:t>
        </w:r>
      </w:hyperlink>
    </w:p>
    <w:p w14:paraId="3D03A114" w14:textId="77777777" w:rsidR="00057933" w:rsidRDefault="00057933" w:rsidP="00057933">
      <w:r>
        <w:t>Please familiarise yourself with the changes outlined in this document.  We have outlined changes to the current processes or requirements, and what these changes may mean for you.</w:t>
      </w:r>
    </w:p>
    <w:p w14:paraId="59E90E0A" w14:textId="77777777" w:rsidR="00343230" w:rsidRDefault="00343230" w:rsidP="00343230">
      <w:pPr>
        <w:sectPr w:rsidR="00343230" w:rsidSect="00B10EF9">
          <w:pgSz w:w="11907" w:h="16834" w:code="9"/>
          <w:pgMar w:top="1418" w:right="1418" w:bottom="1418" w:left="1418" w:header="284" w:footer="425" w:gutter="0"/>
          <w:pgNumType w:start="1"/>
          <w:cols w:space="720"/>
          <w:docGrid w:linePitch="286"/>
        </w:sectPr>
      </w:pPr>
    </w:p>
    <w:p w14:paraId="3FDA8E59" w14:textId="7B84CC3C" w:rsidR="00057933" w:rsidRDefault="00057933" w:rsidP="00057933">
      <w:pPr>
        <w:pStyle w:val="Heading1"/>
      </w:pPr>
      <w:bookmarkStart w:id="11" w:name="_Changes_to_export"/>
      <w:bookmarkStart w:id="12" w:name="_Toc170710452"/>
      <w:bookmarkEnd w:id="11"/>
      <w:r w:rsidRPr="00057933">
        <w:t>Changes to export settings</w:t>
      </w:r>
      <w:bookmarkEnd w:id="12"/>
    </w:p>
    <w:p w14:paraId="4EB65068" w14:textId="30D4620A" w:rsidR="00057933" w:rsidRDefault="00057933" w:rsidP="00057933">
      <w:r>
        <w:t xml:space="preserve">From </w:t>
      </w:r>
      <w:r w:rsidR="00283B1D">
        <w:t>05 July</w:t>
      </w:r>
      <w:r>
        <w:t xml:space="preserve"> 2024, there will be changes to export settings for medicinal cannabis.</w:t>
      </w:r>
      <w:r w:rsidRPr="00381EF2">
        <w:t xml:space="preserve"> </w:t>
      </w:r>
      <w:r>
        <w:t>The details of these changes are outlined in this section.</w:t>
      </w:r>
    </w:p>
    <w:p w14:paraId="43377FFF" w14:textId="77777777" w:rsidR="00057933" w:rsidRPr="00057933" w:rsidRDefault="00057933" w:rsidP="00057933">
      <w:pPr>
        <w:pStyle w:val="Heading2"/>
      </w:pPr>
      <w:bookmarkStart w:id="13" w:name="_Export_of_starting_1"/>
      <w:bookmarkStart w:id="14" w:name="_Export_of_starting"/>
      <w:bookmarkStart w:id="15" w:name="_Toc167108785"/>
      <w:bookmarkStart w:id="16" w:name="_Toc170710453"/>
      <w:bookmarkEnd w:id="13"/>
      <w:bookmarkEnd w:id="14"/>
      <w:r w:rsidRPr="00057933">
        <w:t>Export of starting material</w:t>
      </w:r>
      <w:bookmarkEnd w:id="15"/>
      <w:bookmarkEnd w:id="16"/>
    </w:p>
    <w:p w14:paraId="433627C9" w14:textId="5A660EB4" w:rsidR="00057933" w:rsidRDefault="00057933" w:rsidP="00057933">
      <w:r>
        <w:t xml:space="preserve">From </w:t>
      </w:r>
      <w:r w:rsidR="00283B1D">
        <w:t>05 July 2024</w:t>
      </w:r>
      <w:r>
        <w:t xml:space="preserve">, consignments of starting material will no longer need to be verified as meeting the minimum quality standard before export. </w:t>
      </w:r>
    </w:p>
    <w:p w14:paraId="0FA1352C" w14:textId="77777777" w:rsidR="00057933" w:rsidRDefault="00057933" w:rsidP="00057933">
      <w:r>
        <w:t xml:space="preserve">The definition of starting material will be widened to include initial extracts from cannabis plant material which are intended to undergo further processing or extraction into a cannabis-based ingredient. </w:t>
      </w:r>
    </w:p>
    <w:p w14:paraId="368182B8" w14:textId="77777777" w:rsidR="00057933" w:rsidRDefault="00057933" w:rsidP="00057933">
      <w:r>
        <w:rPr>
          <w:rStyle w:val="normaltextrun"/>
          <w:rFonts w:cs="Segoe UI"/>
          <w:szCs w:val="22"/>
        </w:rPr>
        <w:t xml:space="preserve">A medicinal cannabis licence with a supply activity will still be required to export starting material, however, consignments are no longer required to be individually listed on the licence. The licence will instead have a condition on the supply activity permitting </w:t>
      </w:r>
      <w:r>
        <w:t xml:space="preserve">the export of any starting material. </w:t>
      </w:r>
    </w:p>
    <w:p w14:paraId="2180AD5B" w14:textId="2A69BF29" w:rsidR="00057933" w:rsidRDefault="00057933" w:rsidP="00057933">
      <w:r>
        <w:t xml:space="preserve">A licence to export controlled drugs under the Misuse of Drugs Regulations 1977 is still required for each shipment of starting material which is a controlled drug. </w:t>
      </w:r>
      <w:r w:rsidR="00283B1D">
        <w:t>I</w:t>
      </w:r>
      <w:r>
        <w:t xml:space="preserve">nformation on applying for a licence to export can be found on the Medicines Control pages of the Ministry of Health website at: </w:t>
      </w:r>
      <w:hyperlink r:id="rId27" w:history="1">
        <w:r w:rsidRPr="0091528A">
          <w:rPr>
            <w:rStyle w:val="Hyperlink"/>
          </w:rPr>
          <w:t>https://www.health.govt.nz/our-work/regulation-health-and-disability-system/medicines-control</w:t>
        </w:r>
      </w:hyperlink>
      <w:r>
        <w:t>.</w:t>
      </w:r>
    </w:p>
    <w:p w14:paraId="60872DBC" w14:textId="77777777" w:rsidR="00057933" w:rsidRDefault="00057933" w:rsidP="00057933">
      <w:r>
        <w:t xml:space="preserve">There will be a general condition on all medicinal cannabis licences with a possession for manufacture activity regarding initial extracts which meet the definition of a CBD product under </w:t>
      </w:r>
      <w:hyperlink r:id="rId28" w:history="1">
        <w:r w:rsidRPr="005600FE">
          <w:rPr>
            <w:rStyle w:val="Hyperlink"/>
          </w:rPr>
          <w:t>Section 2A of the Misuse of Drugs Act 1975.</w:t>
        </w:r>
      </w:hyperlink>
      <w:r>
        <w:t xml:space="preserve"> The licence holder must demonstrate to the Agency that the initial extract meets the definition by providing a certificate of analysis.</w:t>
      </w:r>
    </w:p>
    <w:p w14:paraId="3CF26F8C" w14:textId="77777777" w:rsidR="00057933" w:rsidRDefault="00057933" w:rsidP="00057933">
      <w:r>
        <w:t>Where the starting material exported is a controlled drug, y</w:t>
      </w:r>
      <w:r w:rsidRPr="003C717D">
        <w:t>ou will need to provide a monthly return report</w:t>
      </w:r>
      <w:r>
        <w:t xml:space="preserve"> and submit this to the Agency.</w:t>
      </w:r>
    </w:p>
    <w:p w14:paraId="3BAE1711" w14:textId="77777777" w:rsidR="00057933" w:rsidRPr="00057933" w:rsidRDefault="00057933" w:rsidP="00057933">
      <w:pPr>
        <w:pStyle w:val="Heading2"/>
      </w:pPr>
      <w:bookmarkStart w:id="17" w:name="_Export_of_cannabis-based"/>
      <w:bookmarkStart w:id="18" w:name="_Toc167108786"/>
      <w:bookmarkStart w:id="19" w:name="_Toc170710454"/>
      <w:bookmarkEnd w:id="17"/>
      <w:r w:rsidRPr="00057933">
        <w:t>Export of cannabis-based ingredients and medicinal cannabis products</w:t>
      </w:r>
      <w:bookmarkEnd w:id="18"/>
      <w:bookmarkEnd w:id="19"/>
    </w:p>
    <w:p w14:paraId="20B7AC69" w14:textId="25BC6A5D" w:rsidR="00057933" w:rsidRDefault="00057933" w:rsidP="00057933">
      <w:r>
        <w:t xml:space="preserve">From </w:t>
      </w:r>
      <w:r w:rsidR="00705BAD">
        <w:t>05 July 2024</w:t>
      </w:r>
      <w:r>
        <w:t xml:space="preserve">, verification against the minimum quality standard (MQS) will not be required for exports of cannabis-based ingredients (CBIs) and medicinal cannabis products that are: </w:t>
      </w:r>
    </w:p>
    <w:p w14:paraId="415E0BB1" w14:textId="77777777" w:rsidR="00057933" w:rsidRDefault="00057933" w:rsidP="00057933">
      <w:pPr>
        <w:pStyle w:val="Bullet"/>
      </w:pPr>
      <w:r>
        <w:t>intended for the overseas market only</w:t>
      </w:r>
    </w:p>
    <w:p w14:paraId="4FF34D15" w14:textId="77777777" w:rsidR="00057933" w:rsidRDefault="00057933" w:rsidP="00057933">
      <w:pPr>
        <w:pStyle w:val="Bullet"/>
      </w:pPr>
      <w:r>
        <w:t>manufactured under Good Manufacturing Practice (GMP)</w:t>
      </w:r>
    </w:p>
    <w:p w14:paraId="43E0F8EB" w14:textId="77777777" w:rsidR="00057933" w:rsidRDefault="00057933" w:rsidP="00057933">
      <w:pPr>
        <w:pStyle w:val="Bullet"/>
      </w:pPr>
      <w:r>
        <w:t>accepted by the importing country.</w:t>
      </w:r>
    </w:p>
    <w:p w14:paraId="28BA247E" w14:textId="77777777" w:rsidR="00057933" w:rsidRDefault="00057933" w:rsidP="00057933">
      <w:r>
        <w:t>Domestically manufactured CBIs and medicinal cannabis products which have been verified as meeting the MQS will continue to be able to be exported.</w:t>
      </w:r>
    </w:p>
    <w:p w14:paraId="0816B671" w14:textId="77777777" w:rsidR="00057933" w:rsidRDefault="00057933" w:rsidP="006C7C19">
      <w:r>
        <w:t xml:space="preserve">To produce a CBI or medicinal cannabis product for export the CBI or product must be manufactured by the holder of a licence to manufacture medicines, whose licence authorises the manufacture of that CBI or medicinal cannabis product.  </w:t>
      </w:r>
    </w:p>
    <w:p w14:paraId="6A61B729" w14:textId="77777777" w:rsidR="00057933" w:rsidRDefault="00057933" w:rsidP="006C7C19">
      <w:r>
        <w:t xml:space="preserve">The unverified CBI or medicinal cannabis product for export must have a unique tradename or identifier which is distinct from any ingredient or product that has been verified as meeting the MQS.  </w:t>
      </w:r>
    </w:p>
    <w:p w14:paraId="41BC7CE1" w14:textId="77777777" w:rsidR="00057933" w:rsidRDefault="00057933" w:rsidP="006C7C19">
      <w:r>
        <w:t>Prior to exporting a CBI or medicinal cannabis product which has not been verified against the MQS you will also need to ensure that:</w:t>
      </w:r>
    </w:p>
    <w:p w14:paraId="770FAD89" w14:textId="77777777" w:rsidR="00057933" w:rsidRPr="00057933" w:rsidRDefault="00057933" w:rsidP="00057933">
      <w:pPr>
        <w:pStyle w:val="Bullet"/>
      </w:pPr>
      <w:r w:rsidRPr="00057933">
        <w:t>the CBI or medicinal cannabis product is listed on your medicinal cannabis licence under the supply activity (an amendment to the medicinal cannabis licence will be required each time additions are made)</w:t>
      </w:r>
    </w:p>
    <w:p w14:paraId="2F814CE4" w14:textId="77777777" w:rsidR="00057933" w:rsidRPr="00057933" w:rsidRDefault="00057933" w:rsidP="00057933">
      <w:pPr>
        <w:pStyle w:val="Bullet"/>
      </w:pPr>
      <w:r w:rsidRPr="00057933">
        <w:t>you provide evidence to Medicines Control that the importing country is willing to accept the goods (eg, a copy of an import licence issued by the overseas authority or letter from the relevant regulatory authority).</w:t>
      </w:r>
    </w:p>
    <w:p w14:paraId="0E6FA4DE" w14:textId="77777777" w:rsidR="00057933" w:rsidRDefault="00057933" w:rsidP="00057933">
      <w:r>
        <w:t>Once listed on your medicinal cannabis licence with a supply activity, you will still require a licence to export controlled drugs for each shipment. It is important to ensure that the name of the ingredient or product on your licence to export controlled drugs application must match the details on your medicinal cannabis licence with a supply activity.</w:t>
      </w:r>
    </w:p>
    <w:p w14:paraId="6C148A8C" w14:textId="77777777" w:rsidR="00057933" w:rsidRDefault="00057933" w:rsidP="00057933">
      <w:r>
        <w:t xml:space="preserve">The export of all controlled drugs including unverified CBIs and medicinal cannabis products must be included on the monthly return report. </w:t>
      </w:r>
    </w:p>
    <w:p w14:paraId="6B141C03" w14:textId="77777777" w:rsidR="00057933" w:rsidRDefault="00057933" w:rsidP="00057933">
      <w:r>
        <w:t xml:space="preserve">CBIs and products that are intended for export only </w:t>
      </w:r>
      <w:r w:rsidRPr="005E4751">
        <w:t>cannot</w:t>
      </w:r>
      <w:r>
        <w:t xml:space="preserve"> be supplied within New Zealand.</w:t>
      </w:r>
    </w:p>
    <w:p w14:paraId="7D83825E" w14:textId="77777777" w:rsidR="00057933" w:rsidRDefault="00057933" w:rsidP="00057933">
      <w:r>
        <w:t xml:space="preserve">The MQS will apply to imported CBIs and medicinal cannabis products for supply through the New Zealand supply chain. Therefore, consignments of unverified medicinal cannabis products cannot be re-imported back into New Zealand. </w:t>
      </w:r>
    </w:p>
    <w:p w14:paraId="392D43EA" w14:textId="77777777" w:rsidR="00057933" w:rsidRPr="00057933" w:rsidRDefault="00057933" w:rsidP="00057933">
      <w:pPr>
        <w:pStyle w:val="Heading2"/>
      </w:pPr>
      <w:bookmarkStart w:id="20" w:name="_Export_of_CBD"/>
      <w:bookmarkStart w:id="21" w:name="_Toc167108787"/>
      <w:bookmarkStart w:id="22" w:name="_Toc170710455"/>
      <w:bookmarkEnd w:id="20"/>
      <w:r w:rsidRPr="00057933">
        <w:t>Export of CBD ingredients and CBD products</w:t>
      </w:r>
      <w:bookmarkEnd w:id="21"/>
      <w:bookmarkEnd w:id="22"/>
    </w:p>
    <w:p w14:paraId="189333EA" w14:textId="390F7664" w:rsidR="00057933" w:rsidRDefault="00057933" w:rsidP="00057933">
      <w:r>
        <w:t xml:space="preserve">From </w:t>
      </w:r>
      <w:r w:rsidR="00DD14FB">
        <w:t>05 July 2024</w:t>
      </w:r>
      <w:r>
        <w:t>, verification against the minimum quality standard (MQS) will no longer be required for exports of cannabis-derived CBD products</w:t>
      </w:r>
      <w:r>
        <w:rPr>
          <w:rStyle w:val="FootnoteReference"/>
        </w:rPr>
        <w:footnoteReference w:id="1"/>
      </w:r>
      <w:r>
        <w:t xml:space="preserve"> (as ingredients or final products) that are:</w:t>
      </w:r>
      <w:r w:rsidDel="00794C8C">
        <w:t xml:space="preserve"> </w:t>
      </w:r>
    </w:p>
    <w:p w14:paraId="623B4B8F" w14:textId="77777777" w:rsidR="00057933" w:rsidRDefault="00057933" w:rsidP="00057933">
      <w:pPr>
        <w:pStyle w:val="Bullet"/>
      </w:pPr>
      <w:r>
        <w:t>intended for the overseas market only</w:t>
      </w:r>
    </w:p>
    <w:p w14:paraId="17CE8598" w14:textId="77777777" w:rsidR="00057933" w:rsidRDefault="00057933" w:rsidP="00057933">
      <w:pPr>
        <w:pStyle w:val="Bullet"/>
      </w:pPr>
      <w:r>
        <w:t>manufactured under GMP</w:t>
      </w:r>
    </w:p>
    <w:p w14:paraId="68E7C71F" w14:textId="77777777" w:rsidR="00057933" w:rsidRDefault="00057933" w:rsidP="00057933">
      <w:pPr>
        <w:pStyle w:val="Bullet"/>
      </w:pPr>
      <w:r>
        <w:t>accepted by the importing country.</w:t>
      </w:r>
    </w:p>
    <w:p w14:paraId="1ECEE53A" w14:textId="77777777" w:rsidR="00057933" w:rsidRDefault="00057933" w:rsidP="00057933">
      <w:r>
        <w:t>Domestically manufactured CBD products that have been verified as meeting the MQS will continue to be able to be exported.</w:t>
      </w:r>
    </w:p>
    <w:p w14:paraId="023CAA4E" w14:textId="77777777" w:rsidR="00057933" w:rsidRDefault="00057933" w:rsidP="00057933">
      <w:r>
        <w:t>To</w:t>
      </w:r>
      <w:r w:rsidRPr="00B85F36">
        <w:t xml:space="preserve"> produce a CB</w:t>
      </w:r>
      <w:r>
        <w:t>D product</w:t>
      </w:r>
      <w:r w:rsidRPr="00B85F36">
        <w:t xml:space="preserve"> </w:t>
      </w:r>
      <w:r>
        <w:t xml:space="preserve">(ingredient or final product) for </w:t>
      </w:r>
      <w:r w:rsidRPr="00B85F36">
        <w:t xml:space="preserve">export </w:t>
      </w:r>
      <w:r>
        <w:t xml:space="preserve">it must </w:t>
      </w:r>
      <w:r w:rsidRPr="00B85F36">
        <w:t>be manufactured by the holder of a licence to manufacture medicines, whose licence authorises the manufacture of that CB</w:t>
      </w:r>
      <w:r>
        <w:t>D product (as an ingredient or final product).</w:t>
      </w:r>
    </w:p>
    <w:p w14:paraId="6C5E29B5" w14:textId="77777777" w:rsidR="00057933" w:rsidRDefault="00057933" w:rsidP="00057933">
      <w:r w:rsidRPr="006F36DE">
        <w:t xml:space="preserve">The unverified </w:t>
      </w:r>
      <w:r>
        <w:t>CBD product (ingredient</w:t>
      </w:r>
      <w:r w:rsidRPr="006F36DE">
        <w:t xml:space="preserve"> or </w:t>
      </w:r>
      <w:r>
        <w:t>final product)</w:t>
      </w:r>
      <w:r w:rsidRPr="006F36DE">
        <w:t xml:space="preserve"> </w:t>
      </w:r>
      <w:r>
        <w:t xml:space="preserve">for </w:t>
      </w:r>
      <w:r w:rsidRPr="006F36DE">
        <w:t xml:space="preserve">export must have a unique tradename or identifier which is distinct from any ingredient or product that has been verified as meeting the MQS.  </w:t>
      </w:r>
    </w:p>
    <w:p w14:paraId="7372E782" w14:textId="77777777" w:rsidR="00057933" w:rsidRDefault="00057933" w:rsidP="00057933">
      <w:r>
        <w:t>To have the product listed, the manufacturer will need to supply the following to the Compliance branch of Medsafe and the Medicinal Cannabis Agency:</w:t>
      </w:r>
    </w:p>
    <w:p w14:paraId="1A286695" w14:textId="77777777" w:rsidR="00057933" w:rsidRDefault="00057933" w:rsidP="00057933">
      <w:pPr>
        <w:pStyle w:val="Bullet"/>
      </w:pPr>
      <w:r>
        <w:t>a certificate of analysis (CoA) to demonstrate that the CBD product (ingredient or final product) meets the definition of a CBD product</w:t>
      </w:r>
    </w:p>
    <w:p w14:paraId="1AF41B74" w14:textId="77777777" w:rsidR="00057933" w:rsidRDefault="00057933" w:rsidP="00057933">
      <w:pPr>
        <w:pStyle w:val="Bullet"/>
      </w:pPr>
      <w:r>
        <w:t>evidence to demonstrate that the importing cou</w:t>
      </w:r>
      <w:r w:rsidRPr="0035508F">
        <w:t>ntry accepts the products (eg, a letter from the relevant regulatory authority).</w:t>
      </w:r>
    </w:p>
    <w:p w14:paraId="21CDE2E5" w14:textId="77777777" w:rsidR="00057933" w:rsidRDefault="00057933" w:rsidP="00057933">
      <w:r>
        <w:t xml:space="preserve">The MQS requirements will apply to imported CBD products for supply through the New Zealand supply chain. Therefore, consignments of unverified CBD products cannot be re-imported into New Zealand by a medicinal cannabis licence holder. </w:t>
      </w:r>
    </w:p>
    <w:p w14:paraId="7286360B" w14:textId="4F2B5F10" w:rsidR="00057933" w:rsidRPr="00057933" w:rsidRDefault="00057933" w:rsidP="00057933">
      <w:pPr>
        <w:pStyle w:val="Heading2"/>
      </w:pPr>
      <w:bookmarkStart w:id="23" w:name="_Export_of_medicinal"/>
      <w:bookmarkStart w:id="24" w:name="_Toc167108788"/>
      <w:bookmarkStart w:id="25" w:name="_Toc170710456"/>
      <w:bookmarkEnd w:id="23"/>
      <w:r w:rsidRPr="00057933">
        <w:t>Export of medicinal cannabis seed, cuttings, rootstock, tissue, and tissue culture</w:t>
      </w:r>
      <w:bookmarkEnd w:id="24"/>
      <w:bookmarkEnd w:id="25"/>
    </w:p>
    <w:p w14:paraId="21D42F72" w14:textId="77777777" w:rsidR="00057933" w:rsidRDefault="00057933" w:rsidP="00057933">
      <w:r>
        <w:t xml:space="preserve">A medicinal cannabis licence with a seed supply activity will now permit the export of medicinal cannabis seed. A separate licence to deal in controlled drugs will no longer be required. </w:t>
      </w:r>
    </w:p>
    <w:p w14:paraId="642CEE2C" w14:textId="77777777" w:rsidR="00057933" w:rsidRDefault="00057933" w:rsidP="00057933">
      <w:r>
        <w:t xml:space="preserve">A medicinal cannabis licence with a cultivation activity will now permit the export of medicinal cannabis seed, cuttings, rootstock, tissue, and tissue culture for propagation. It is important to note that the cultivation activity only allows the export of cannabis for propagation. Where the supply of these materials is for commercial therapeutic purposes a supply activity is required for export. A separate licence to deal in controlled drugs will no longer be required. </w:t>
      </w:r>
    </w:p>
    <w:p w14:paraId="2AB9EBF2" w14:textId="77777777" w:rsidR="00057933" w:rsidRDefault="00057933" w:rsidP="00057933">
      <w:r>
        <w:t>A licence to export controlled drugs, will still be required for every shipment.</w:t>
      </w:r>
      <w:r w:rsidRPr="00D15D2B">
        <w:t xml:space="preserve"> </w:t>
      </w:r>
      <w:r>
        <w:t xml:space="preserve">Information on applying for a licence to export can be found on the Medicines Control pages of the Ministry of Health website at: </w:t>
      </w:r>
      <w:hyperlink r:id="rId29" w:history="1">
        <w:r w:rsidRPr="0091528A">
          <w:rPr>
            <w:rStyle w:val="Hyperlink"/>
          </w:rPr>
          <w:t>https://www.health.govt.nz/our-work/regulation-health-and-disability-system/medicines-control</w:t>
        </w:r>
      </w:hyperlink>
      <w:r>
        <w:t>.</w:t>
      </w:r>
    </w:p>
    <w:p w14:paraId="399D7436" w14:textId="77777777" w:rsidR="00057933" w:rsidRDefault="00057933" w:rsidP="00057933">
      <w:r w:rsidRPr="0085026A">
        <w:t xml:space="preserve">The export of all controlled drugs including </w:t>
      </w:r>
      <w:r>
        <w:t xml:space="preserve">seed, cuttings, rootstock, tissue, and tissue culture, </w:t>
      </w:r>
      <w:r w:rsidRPr="0085026A">
        <w:t>must be included on the monthly return report</w:t>
      </w:r>
      <w:r>
        <w:t xml:space="preserve"> to the Agency.</w:t>
      </w:r>
    </w:p>
    <w:p w14:paraId="68801887" w14:textId="77777777" w:rsidR="00057933" w:rsidRDefault="00057933" w:rsidP="00057933">
      <w:r>
        <w:t xml:space="preserve">The holding of a licence to enable this activity does not guarantee that the export of this material can occur. </w:t>
      </w:r>
      <w:r w:rsidRPr="00645B52">
        <w:t>It is the exporter’s responsibility to ensure that a</w:t>
      </w:r>
      <w:r>
        <w:t xml:space="preserve">ll </w:t>
      </w:r>
      <w:r w:rsidRPr="00645B52">
        <w:t>other</w:t>
      </w:r>
      <w:r>
        <w:t xml:space="preserve"> relevant</w:t>
      </w:r>
      <w:r w:rsidRPr="00645B52">
        <w:t xml:space="preserve"> requirements</w:t>
      </w:r>
      <w:r>
        <w:t xml:space="preserve"> are met</w:t>
      </w:r>
      <w:r w:rsidRPr="00645B52">
        <w:t>, such as biosecurity and phytosanitary requirements</w:t>
      </w:r>
      <w:r>
        <w:t xml:space="preserve">. </w:t>
      </w:r>
      <w:r w:rsidRPr="00C22349">
        <w:t>Should you have any questions regarding requirements outside of the Scheme the relevant agency should be contacted.</w:t>
      </w:r>
    </w:p>
    <w:p w14:paraId="1539D5E0" w14:textId="4DEAC559" w:rsidR="00057933" w:rsidRPr="00057933" w:rsidRDefault="00057933" w:rsidP="00057933">
      <w:pPr>
        <w:pStyle w:val="Heading2"/>
      </w:pPr>
      <w:bookmarkStart w:id="26" w:name="_Import_of_medicinal"/>
      <w:bookmarkStart w:id="27" w:name="_Toc167108789"/>
      <w:bookmarkStart w:id="28" w:name="_Toc170710457"/>
      <w:bookmarkEnd w:id="26"/>
      <w:r w:rsidRPr="00057933">
        <w:t>Export of medicinal cannabis for testing, analysis, or non-therapeutic purposes</w:t>
      </w:r>
      <w:bookmarkEnd w:id="27"/>
      <w:bookmarkEnd w:id="28"/>
    </w:p>
    <w:p w14:paraId="66CEBC41" w14:textId="6DF56BD9" w:rsidR="00057933" w:rsidRDefault="00057933" w:rsidP="00057933">
      <w:r>
        <w:t xml:space="preserve">From </w:t>
      </w:r>
      <w:r w:rsidR="00DD14FB">
        <w:t>05 July 2024</w:t>
      </w:r>
      <w:r>
        <w:t>, samples of medicinal cannabis that are being exported for testing, analysis, or non-therapeutic purposes will not have to meet the minimum quality standard (MQS). The medicinal cannabis being exported must:</w:t>
      </w:r>
    </w:p>
    <w:p w14:paraId="2418E733" w14:textId="77777777" w:rsidR="00057933" w:rsidRDefault="00057933" w:rsidP="00057933">
      <w:pPr>
        <w:pStyle w:val="Bullet"/>
      </w:pPr>
      <w:r>
        <w:t>be listed as permitted for export for testing, analysis, or non-therapeutic purposes only on the medicinal cannabis licence (with a supply or cultivation activity) of the exporter (an amendment to the medicinal cannabis licence will be required each time additions are made)</w:t>
      </w:r>
    </w:p>
    <w:p w14:paraId="6A6A6458" w14:textId="77777777" w:rsidR="00057933" w:rsidRDefault="00057933" w:rsidP="00057933">
      <w:pPr>
        <w:pStyle w:val="Bullet"/>
      </w:pPr>
      <w:r>
        <w:t xml:space="preserve">be in an amount justified by the licence holder which is acceptable to the Agency as necessary for export for testing, analysis, or non-therapeutic purposes. </w:t>
      </w:r>
    </w:p>
    <w:p w14:paraId="0E98757D" w14:textId="77777777" w:rsidR="00057933" w:rsidRDefault="00057933" w:rsidP="00057933">
      <w:r>
        <w:t xml:space="preserve">For samples which are controlled drugs, a licence to export controlled drugs, will still be required for every shipment. Information on applying for a licence to export can be found on the Medicines Control pages of the Ministry of Health website at: </w:t>
      </w:r>
      <w:hyperlink r:id="rId30" w:history="1">
        <w:r w:rsidRPr="0091528A">
          <w:rPr>
            <w:rStyle w:val="Hyperlink"/>
          </w:rPr>
          <w:t>https://www.health.govt.nz/our-work/regulation-health-and-disability-system/medicines-control</w:t>
        </w:r>
      </w:hyperlink>
      <w:r>
        <w:t>.</w:t>
      </w:r>
    </w:p>
    <w:p w14:paraId="09DFF702" w14:textId="77777777" w:rsidR="00057933" w:rsidRDefault="00057933" w:rsidP="00057933">
      <w:r w:rsidRPr="00645B52">
        <w:t xml:space="preserve">It is the </w:t>
      </w:r>
      <w:r>
        <w:t>exporter’s</w:t>
      </w:r>
      <w:r w:rsidRPr="00645B52">
        <w:t xml:space="preserve"> responsibility to ensure that any other requirements, such as biosecurity and phytosanitary requirements, are met.</w:t>
      </w:r>
      <w:r>
        <w:t xml:space="preserve"> </w:t>
      </w:r>
      <w:r w:rsidRPr="00E54B63">
        <w:t>Should you have any questions regarding requirements outside of the Scheme the relevant agency should be contacted.</w:t>
      </w:r>
    </w:p>
    <w:p w14:paraId="309C1A9A" w14:textId="77777777" w:rsidR="00057933" w:rsidRPr="00057933" w:rsidRDefault="00057933" w:rsidP="00057933"/>
    <w:p w14:paraId="511C1EC2" w14:textId="75B3A76A" w:rsidR="00530526" w:rsidRDefault="00057933" w:rsidP="00530526">
      <w:pPr>
        <w:pStyle w:val="Heading1"/>
      </w:pPr>
      <w:bookmarkStart w:id="29" w:name="_Changes_to_Licensing"/>
      <w:bookmarkStart w:id="30" w:name="_Toc170710458"/>
      <w:bookmarkEnd w:id="29"/>
      <w:r w:rsidRPr="00057933">
        <w:t>Changes to Licensing</w:t>
      </w:r>
      <w:bookmarkEnd w:id="30"/>
    </w:p>
    <w:p w14:paraId="02E2350A" w14:textId="27219831" w:rsidR="00057933" w:rsidRDefault="00057933" w:rsidP="00057933">
      <w:r>
        <w:t>From</w:t>
      </w:r>
      <w:r w:rsidR="00DD14FB">
        <w:t xml:space="preserve"> 05 July 2024,</w:t>
      </w:r>
      <w:r>
        <w:t xml:space="preserve"> minor changes to the licence activities will be made. Including, the scope of the ‘nursery’ activity which will be redefined to ‘seed supply’ and stocktake requirements will also be clarified.</w:t>
      </w:r>
    </w:p>
    <w:p w14:paraId="3B197D66" w14:textId="77777777" w:rsidR="00057933" w:rsidRDefault="00057933" w:rsidP="00057933">
      <w:r>
        <w:t>Cultivars of medicinal cannabis will no longer be listed individually on the ‘cultivation’ activity of the licence except where a location is authorised for the cultivation of low THC cannabis.</w:t>
      </w:r>
    </w:p>
    <w:p w14:paraId="5BEC97CF" w14:textId="77777777" w:rsidR="00057933" w:rsidRPr="00057933" w:rsidRDefault="00057933" w:rsidP="00057933">
      <w:pPr>
        <w:pStyle w:val="Heading2"/>
      </w:pPr>
      <w:bookmarkStart w:id="31" w:name="_Renaming_the_‘nursery’"/>
      <w:bookmarkStart w:id="32" w:name="_Toc167108791"/>
      <w:bookmarkStart w:id="33" w:name="_Toc170710459"/>
      <w:bookmarkEnd w:id="31"/>
      <w:r w:rsidRPr="00057933">
        <w:t>Re-defining the scope of the ‘nursery’ activity to ‘seed supply’</w:t>
      </w:r>
      <w:bookmarkEnd w:id="32"/>
      <w:bookmarkEnd w:id="33"/>
    </w:p>
    <w:p w14:paraId="1E88C44E" w14:textId="26FD093F" w:rsidR="00057933" w:rsidRDefault="00057933" w:rsidP="00057933">
      <w:r>
        <w:t xml:space="preserve">From </w:t>
      </w:r>
      <w:r w:rsidR="00DD14FB">
        <w:t>05 July 2024</w:t>
      </w:r>
      <w:r>
        <w:t>, the ‘nursery' activity will be renamed ‘seed supply’. This change is to reflect the activities that are permitted to be carried out under this activity.</w:t>
      </w:r>
    </w:p>
    <w:p w14:paraId="7FDFB195" w14:textId="77777777" w:rsidR="00057933" w:rsidRDefault="00057933" w:rsidP="00057933">
      <w:r>
        <w:t>Activities relating to the cannabis plant (procurement, possession, cultivation, and supply) will no longer be permitted under a ‘seed supply’ activity as these activities are already more appropriately authorised under a cultivation activity.</w:t>
      </w:r>
    </w:p>
    <w:p w14:paraId="43ACABBF" w14:textId="77777777" w:rsidR="00057933" w:rsidRDefault="00057933" w:rsidP="00057933">
      <w:r>
        <w:t>This change will have no tangible impact on existing licences. To date, any activities relating to cannabis plant have been enabled under a cultivation activity.</w:t>
      </w:r>
    </w:p>
    <w:p w14:paraId="524599B9" w14:textId="77777777" w:rsidR="00057933" w:rsidRDefault="00057933" w:rsidP="00057933">
      <w:r>
        <w:t xml:space="preserve">If you currently hold a medicinal cannabis licence with a ‘nursery’ activity – you do not need to take immediate action. </w:t>
      </w:r>
    </w:p>
    <w:p w14:paraId="53273828" w14:textId="77777777" w:rsidR="00057933" w:rsidRPr="00C12E8C" w:rsidRDefault="00057933" w:rsidP="00057933">
      <w:r>
        <w:t>The ‘nursery’ activity on your licence will be updated to ‘seed supply’ when you next apply for a medicinal cannabis licence renewal or amendment. The transition provisions in the Amendment Regulations enable licence holders who currently hold a licence with a nursery activity and wish to export seeds to do so under their existing licence.</w:t>
      </w:r>
    </w:p>
    <w:p w14:paraId="22A22A3A" w14:textId="77777777" w:rsidR="00057933" w:rsidRPr="00057933" w:rsidRDefault="00057933" w:rsidP="00057933">
      <w:pPr>
        <w:pStyle w:val="Heading2"/>
      </w:pPr>
      <w:r w:rsidRPr="00057933">
        <w:t xml:space="preserve"> </w:t>
      </w:r>
      <w:bookmarkStart w:id="34" w:name="_Toc167108792"/>
      <w:bookmarkStart w:id="35" w:name="_Toc170710460"/>
      <w:r w:rsidRPr="00057933">
        <w:t>Records of stocktake for any activity</w:t>
      </w:r>
      <w:bookmarkEnd w:id="34"/>
      <w:bookmarkEnd w:id="35"/>
    </w:p>
    <w:p w14:paraId="423AC8CA" w14:textId="557247F0" w:rsidR="00057933" w:rsidRDefault="00057933" w:rsidP="00057933">
      <w:r>
        <w:t xml:space="preserve">From </w:t>
      </w:r>
      <w:r w:rsidR="00DD14FB">
        <w:t>05 July 2024</w:t>
      </w:r>
      <w:r>
        <w:t>, regulation 67 of the Regulations will be updated to clarify that “end of any year” means 31 December of any year.</w:t>
      </w:r>
    </w:p>
    <w:p w14:paraId="6435BF6D" w14:textId="77777777" w:rsidR="00057933" w:rsidRDefault="00057933" w:rsidP="00057933">
      <w:r>
        <w:t>Medicinal cannabis licence holders will be required to provide the Medicinal Cannabis Agency with these records and account by 31 January of the following year.</w:t>
      </w:r>
    </w:p>
    <w:p w14:paraId="7CFDB4D3" w14:textId="63B67256" w:rsidR="00057933" w:rsidRDefault="00057933" w:rsidP="00057933">
      <w:r>
        <w:t xml:space="preserve">From </w:t>
      </w:r>
      <w:r w:rsidR="00DD14FB">
        <w:t>05 July 2024</w:t>
      </w:r>
      <w:r>
        <w:t>, regulations 63 to 66 of the Regulations will be updated to clarify that medicinal cannabis licence holders must also keep records of any cannabis, starting material, cannabis-based ingredients or medicinal cannabis products that are destroyed by the licence holder.</w:t>
      </w:r>
    </w:p>
    <w:p w14:paraId="2C0F0900" w14:textId="77777777" w:rsidR="00057933" w:rsidRPr="00057933" w:rsidRDefault="00057933" w:rsidP="00057933">
      <w:pPr>
        <w:pStyle w:val="Heading2"/>
      </w:pPr>
      <w:r w:rsidRPr="00057933">
        <w:t xml:space="preserve"> </w:t>
      </w:r>
      <w:bookmarkStart w:id="36" w:name="_Toc167108793"/>
      <w:bookmarkStart w:id="37" w:name="_Toc170710461"/>
      <w:r w:rsidRPr="00057933">
        <w:t>Listing of cultivars on the licence</w:t>
      </w:r>
      <w:bookmarkEnd w:id="36"/>
      <w:bookmarkEnd w:id="37"/>
    </w:p>
    <w:p w14:paraId="57D912B3" w14:textId="425FDA5F" w:rsidR="00057933" w:rsidRDefault="00057933" w:rsidP="00057933">
      <w:r>
        <w:t xml:space="preserve">From </w:t>
      </w:r>
      <w:r w:rsidR="00DD14FB">
        <w:t>05 July 2024</w:t>
      </w:r>
      <w:r>
        <w:t>, a licence with a cultivation activity will no longer list cultivars individually where a location is authorised to grow high THC cannabis. Instead, the cultivation activity will state “All cannabis cultivars”. This means that licence holders will no longer have to apply to amend the licence when they want to change cultivars.</w:t>
      </w:r>
    </w:p>
    <w:p w14:paraId="3DAF44BB" w14:textId="69D8A07F" w:rsidR="00057933" w:rsidRDefault="00057933" w:rsidP="00057933">
      <w:r>
        <w:t>For locations that are authorised only for low THC cannabis cultivation, the licence will continue to list the low THC cannabis cultivars by name and THC content. Licence holders will need to apply to amend the licence if they wish to change to other low THC cannabis cultivars or if they wish to grow high THC cannabis cultivars. In the latter situation, an assessment of the security arrangements will be required.</w:t>
      </w:r>
    </w:p>
    <w:p w14:paraId="2F20B307" w14:textId="77777777" w:rsidR="00057933" w:rsidRDefault="00057933" w:rsidP="00057933">
      <w:pPr>
        <w:sectPr w:rsidR="00057933" w:rsidSect="00B10EF9">
          <w:pgSz w:w="11907" w:h="16834" w:code="9"/>
          <w:pgMar w:top="1418" w:right="1418" w:bottom="1418" w:left="1418" w:header="284" w:footer="425" w:gutter="0"/>
          <w:cols w:space="720"/>
          <w:docGrid w:linePitch="286"/>
        </w:sectPr>
      </w:pPr>
    </w:p>
    <w:p w14:paraId="36922664" w14:textId="6107CA09" w:rsidR="00057933" w:rsidRDefault="00057933" w:rsidP="00057933">
      <w:pPr>
        <w:pStyle w:val="Heading1"/>
      </w:pPr>
      <w:bookmarkStart w:id="38" w:name="_Changes_to_the_2"/>
      <w:bookmarkStart w:id="39" w:name="_Toc170710462"/>
      <w:bookmarkEnd w:id="38"/>
      <w:r w:rsidRPr="00057933">
        <w:t>Changes to the minimum quality standard</w:t>
      </w:r>
      <w:bookmarkEnd w:id="39"/>
    </w:p>
    <w:p w14:paraId="78480924" w14:textId="4F1947DB" w:rsidR="00057933" w:rsidRPr="00797E9B" w:rsidRDefault="00057933" w:rsidP="00057933">
      <w:r>
        <w:t xml:space="preserve">From </w:t>
      </w:r>
      <w:r w:rsidR="00DD14FB">
        <w:t>05 July 2024</w:t>
      </w:r>
      <w:r>
        <w:t xml:space="preserve">, </w:t>
      </w:r>
      <w:r w:rsidRPr="00797E9B">
        <w:t xml:space="preserve">changes to the minimum quality standard </w:t>
      </w:r>
      <w:r>
        <w:t xml:space="preserve">(MQS) </w:t>
      </w:r>
      <w:r w:rsidRPr="00797E9B">
        <w:t>will be made. This includes:</w:t>
      </w:r>
    </w:p>
    <w:p w14:paraId="7E93AD93" w14:textId="77777777" w:rsidR="00057933" w:rsidRDefault="00057933" w:rsidP="00057933">
      <w:pPr>
        <w:pStyle w:val="Bullet"/>
      </w:pPr>
      <w:r>
        <w:t>allowing dried cannabis to be used as an ingredient in products</w:t>
      </w:r>
    </w:p>
    <w:p w14:paraId="0276D837" w14:textId="77777777" w:rsidR="00057933" w:rsidRPr="00797E9B" w:rsidRDefault="00057933" w:rsidP="00057933">
      <w:pPr>
        <w:pStyle w:val="Bullet"/>
        <w:rPr>
          <w:rStyle w:val="Hyperlink"/>
          <w:color w:val="auto"/>
        </w:rPr>
      </w:pPr>
      <w:r w:rsidRPr="00797E9B">
        <w:fldChar w:fldCharType="begin"/>
      </w:r>
      <w:r w:rsidRPr="00797E9B">
        <w:instrText xml:space="preserve"> HYPERLINK  \l "_Changes_to_the_1" </w:instrText>
      </w:r>
      <w:r w:rsidRPr="00797E9B">
        <w:fldChar w:fldCharType="separate"/>
      </w:r>
      <w:r w:rsidRPr="00797E9B">
        <w:rPr>
          <w:rStyle w:val="Hyperlink"/>
          <w:color w:val="auto"/>
        </w:rPr>
        <w:t xml:space="preserve">changes to permitted tests and required </w:t>
      </w:r>
      <w:proofErr w:type="gramStart"/>
      <w:r w:rsidRPr="00797E9B">
        <w:rPr>
          <w:rStyle w:val="Hyperlink"/>
          <w:color w:val="auto"/>
        </w:rPr>
        <w:t>testing</w:t>
      </w:r>
      <w:proofErr w:type="gramEnd"/>
    </w:p>
    <w:p w14:paraId="24517A8B" w14:textId="77777777" w:rsidR="00057933" w:rsidRPr="00797E9B" w:rsidRDefault="00057933" w:rsidP="00057933">
      <w:pPr>
        <w:pStyle w:val="Bullet"/>
        <w:rPr>
          <w:rStyle w:val="Hyperlink"/>
          <w:color w:val="auto"/>
        </w:rPr>
      </w:pPr>
      <w:r w:rsidRPr="00797E9B">
        <w:fldChar w:fldCharType="end"/>
      </w:r>
      <w:r w:rsidRPr="00797E9B">
        <w:fldChar w:fldCharType="begin"/>
      </w:r>
      <w:r w:rsidRPr="00797E9B">
        <w:instrText xml:space="preserve"> HYPERLINK  \l "_Changes_to_requirements" </w:instrText>
      </w:r>
      <w:r w:rsidRPr="00797E9B">
        <w:fldChar w:fldCharType="separate"/>
      </w:r>
      <w:r w:rsidRPr="00797E9B">
        <w:rPr>
          <w:rStyle w:val="Hyperlink"/>
          <w:color w:val="auto"/>
        </w:rPr>
        <w:t>changes to requirements for laboratories</w:t>
      </w:r>
    </w:p>
    <w:p w14:paraId="64D6E1B1" w14:textId="77777777" w:rsidR="00057933" w:rsidRPr="00797E9B" w:rsidRDefault="00057933" w:rsidP="00057933">
      <w:pPr>
        <w:pStyle w:val="Bullet"/>
        <w:rPr>
          <w:rStyle w:val="Hyperlink"/>
          <w:color w:val="auto"/>
        </w:rPr>
      </w:pPr>
      <w:r w:rsidRPr="00797E9B">
        <w:fldChar w:fldCharType="end"/>
      </w:r>
      <w:r w:rsidRPr="00797E9B">
        <w:fldChar w:fldCharType="begin"/>
      </w:r>
      <w:r w:rsidRPr="00797E9B">
        <w:instrText xml:space="preserve"> HYPERLINK  \l "_Changes_to_pesticide" </w:instrText>
      </w:r>
      <w:r w:rsidRPr="00797E9B">
        <w:fldChar w:fldCharType="separate"/>
      </w:r>
      <w:r w:rsidRPr="00797E9B">
        <w:rPr>
          <w:rStyle w:val="Hyperlink"/>
          <w:color w:val="auto"/>
        </w:rPr>
        <w:t>changes to pesticide requirements.</w:t>
      </w:r>
    </w:p>
    <w:p w14:paraId="229D20D0" w14:textId="77777777" w:rsidR="00057933" w:rsidRDefault="00057933" w:rsidP="00057933">
      <w:r w:rsidRPr="00797E9B">
        <w:fldChar w:fldCharType="end"/>
      </w:r>
      <w:r w:rsidRPr="00797E9B">
        <w:t>These changes allow more flexibility in the required test</w:t>
      </w:r>
      <w:r>
        <w:t xml:space="preserve"> methods</w:t>
      </w:r>
      <w:r w:rsidRPr="00797E9B">
        <w:t>, where the testing is completed, and at which stage these tests must be completed. The</w:t>
      </w:r>
      <w:r>
        <w:t xml:space="preserve"> changes</w:t>
      </w:r>
      <w:r w:rsidRPr="00797E9B">
        <w:t xml:space="preserve"> </w:t>
      </w:r>
      <w:r>
        <w:t>also remove duplicate testing where appropriate. Changes to the pesticide requirements have been made to allow for the use of a broader range of pesticides.</w:t>
      </w:r>
    </w:p>
    <w:p w14:paraId="0100996B" w14:textId="01EAE272" w:rsidR="00057933" w:rsidRPr="00057933" w:rsidRDefault="00057933" w:rsidP="00057933">
      <w:pPr>
        <w:pStyle w:val="Heading2"/>
      </w:pPr>
      <w:bookmarkStart w:id="40" w:name="_Changes_to_when"/>
      <w:bookmarkStart w:id="41" w:name="_Changes_to_permitted"/>
      <w:bookmarkStart w:id="42" w:name="_Changes_to_permitted_2"/>
      <w:bookmarkStart w:id="43" w:name="_Toc167108796"/>
      <w:bookmarkStart w:id="44" w:name="_Toc170710463"/>
      <w:bookmarkEnd w:id="40"/>
      <w:bookmarkEnd w:id="41"/>
      <w:bookmarkEnd w:id="42"/>
      <w:r w:rsidRPr="00057933">
        <w:t>Dried cannabis as an ingredient in products</w:t>
      </w:r>
      <w:bookmarkEnd w:id="43"/>
      <w:bookmarkEnd w:id="44"/>
    </w:p>
    <w:p w14:paraId="0F0A46C9" w14:textId="77777777" w:rsidR="00057933" w:rsidRDefault="00057933" w:rsidP="00057933">
      <w:r>
        <w:t>Dried cannabis, when used as a cannabis-based ingredient (CBI) in products (eg, capsules) intended for domestic supply must comply with the minimum quality standard (MQS).</w:t>
      </w:r>
    </w:p>
    <w:p w14:paraId="184A473E" w14:textId="77777777" w:rsidR="00057933" w:rsidRDefault="00057933" w:rsidP="00057933">
      <w:r>
        <w:t>Where dried cannabis is used as a CBI in products, the required testing of a CBI, as well as testing for foreign matter, loss on drying, and total ash will be required.</w:t>
      </w:r>
      <w:r w:rsidDel="00C37126">
        <w:t xml:space="preserve"> </w:t>
      </w:r>
    </w:p>
    <w:p w14:paraId="749BD9AB" w14:textId="7720E5FF" w:rsidR="00057933" w:rsidRPr="00057933" w:rsidRDefault="00057933" w:rsidP="00057933">
      <w:pPr>
        <w:pStyle w:val="Heading2"/>
      </w:pPr>
      <w:bookmarkStart w:id="45" w:name="_Changes_to_permitted_3"/>
      <w:bookmarkStart w:id="46" w:name="_Toc167108797"/>
      <w:bookmarkStart w:id="47" w:name="_Toc170710464"/>
      <w:bookmarkEnd w:id="45"/>
      <w:r w:rsidRPr="00057933">
        <w:t>Changes to permitted tests and required testing</w:t>
      </w:r>
      <w:bookmarkEnd w:id="46"/>
      <w:bookmarkEnd w:id="47"/>
    </w:p>
    <w:p w14:paraId="19FA69E6" w14:textId="2B54D87F" w:rsidR="00057933" w:rsidRPr="00797E9B" w:rsidRDefault="00057933" w:rsidP="00057933">
      <w:r>
        <w:t xml:space="preserve">From </w:t>
      </w:r>
      <w:r w:rsidR="00DD14FB">
        <w:t xml:space="preserve">05 July 2024, </w:t>
      </w:r>
      <w:r>
        <w:t xml:space="preserve">a number of changes are being made to the tests and where testing is required. The changes are outlined in the following sections below. </w:t>
      </w:r>
    </w:p>
    <w:p w14:paraId="36BD66A9" w14:textId="49848B00" w:rsidR="00057933" w:rsidRPr="00057933" w:rsidRDefault="00057933" w:rsidP="00057933">
      <w:pPr>
        <w:pStyle w:val="Heading2"/>
      </w:pPr>
      <w:bookmarkStart w:id="48" w:name="_Changes_to_the"/>
      <w:bookmarkStart w:id="49" w:name="_Toc167108798"/>
      <w:bookmarkStart w:id="50" w:name="_Toc170710465"/>
      <w:bookmarkEnd w:id="48"/>
      <w:r w:rsidRPr="00057933">
        <w:t>Changes to the testing requirements</w:t>
      </w:r>
      <w:bookmarkEnd w:id="49"/>
      <w:bookmarkEnd w:id="50"/>
    </w:p>
    <w:p w14:paraId="1B182D86" w14:textId="63B0D5A0" w:rsidR="00057933" w:rsidRDefault="00057933" w:rsidP="00057933">
      <w:r>
        <w:t xml:space="preserve">From </w:t>
      </w:r>
      <w:r w:rsidR="00DD14FB">
        <w:t>05 July 2024</w:t>
      </w:r>
      <w:r>
        <w:t xml:space="preserve">, dosage products being verified as meeting the minimum quality standard (MQS) can have the following tests conducted in </w:t>
      </w:r>
      <w:r w:rsidRPr="00102ACD">
        <w:rPr>
          <w:b/>
          <w:bCs/>
        </w:rPr>
        <w:t>either</w:t>
      </w:r>
      <w:r>
        <w:t xml:space="preserve"> the cannabis-based ingredient (CBI) or the final dosage product:</w:t>
      </w:r>
    </w:p>
    <w:p w14:paraId="09973624" w14:textId="77777777" w:rsidR="00057933" w:rsidRDefault="00057933" w:rsidP="00057933">
      <w:pPr>
        <w:pStyle w:val="Bullet"/>
      </w:pPr>
      <w:r>
        <w:t>heavy metals</w:t>
      </w:r>
    </w:p>
    <w:p w14:paraId="0904A8FF" w14:textId="77777777" w:rsidR="00057933" w:rsidRDefault="00057933" w:rsidP="00057933">
      <w:pPr>
        <w:pStyle w:val="Bullet"/>
      </w:pPr>
      <w:r>
        <w:t>pesticides</w:t>
      </w:r>
    </w:p>
    <w:p w14:paraId="12D3EEAB" w14:textId="77777777" w:rsidR="00057933" w:rsidRDefault="00057933" w:rsidP="00057933">
      <w:pPr>
        <w:pStyle w:val="Bullet"/>
      </w:pPr>
      <w:r>
        <w:t>absence of aflatoxins</w:t>
      </w:r>
    </w:p>
    <w:p w14:paraId="6777DA27" w14:textId="77777777" w:rsidR="00057933" w:rsidRDefault="00057933" w:rsidP="00057933">
      <w:pPr>
        <w:pStyle w:val="Bullet"/>
      </w:pPr>
      <w:r>
        <w:t>ochratoxin A</w:t>
      </w:r>
    </w:p>
    <w:p w14:paraId="7BF907AB" w14:textId="77777777" w:rsidR="00057933" w:rsidRDefault="00057933" w:rsidP="00057933">
      <w:pPr>
        <w:pStyle w:val="Bullet"/>
      </w:pPr>
      <w:r>
        <w:t>residual solvents.</w:t>
      </w:r>
    </w:p>
    <w:p w14:paraId="1BA834D8" w14:textId="77777777" w:rsidR="00057933" w:rsidRPr="00057933" w:rsidRDefault="00057933" w:rsidP="00057933">
      <w:r w:rsidRPr="00057933">
        <w:t>If the above testing is only being conducted on the cannabis-based ingredient, then evidence to demonstrate that the final dosage product will not exceed the maximum limits for these</w:t>
      </w:r>
      <w:r>
        <w:t xml:space="preserve"> </w:t>
      </w:r>
      <w:r w:rsidRPr="00057933">
        <w:t xml:space="preserve">specifications will need to be provided as part of the product assessment application. </w:t>
      </w:r>
    </w:p>
    <w:p w14:paraId="1EFFF08D" w14:textId="77777777" w:rsidR="00057933" w:rsidRDefault="00057933" w:rsidP="00057933">
      <w:r>
        <w:t>For example, evidence could be provided to demonstrate that to produce the final product, the sole manufacturing step is dilution of the CBI with an excipient which does not contain any heavy metals. Therefore, testing for heavy metals would not also be required in the final product.</w:t>
      </w:r>
    </w:p>
    <w:p w14:paraId="5BBC1FE5" w14:textId="77777777" w:rsidR="00057933" w:rsidRDefault="00057933" w:rsidP="00057933">
      <w:r>
        <w:t xml:space="preserve">If the above testing is only being conducted in the </w:t>
      </w:r>
      <w:r w:rsidRPr="00B10EF9">
        <w:t>final dosage product</w:t>
      </w:r>
      <w:r>
        <w:t>, a product assessment application for the CBI still needs to be provided for assessment of other parameters such as stability</w:t>
      </w:r>
      <w:r>
        <w:rPr>
          <w:rStyle w:val="CommentReference"/>
        </w:rPr>
        <w:t>.</w:t>
      </w:r>
      <w:r>
        <w:t xml:space="preserve"> However, the CBI will not be verified by the Agency as meeting the MQS unless the full set of testing requirements under the Regulations are met.</w:t>
      </w:r>
    </w:p>
    <w:p w14:paraId="5B2089C1" w14:textId="6CB957A6" w:rsidR="00057933" w:rsidRDefault="00057933" w:rsidP="00057933">
      <w:r>
        <w:t>The medicinal cannabis will also need to be tested as applicable to the category of product (eg, dried product, CBI for sale, final product). Please see Table 1 below for an overview of the updated testing requirements.</w:t>
      </w:r>
    </w:p>
    <w:p w14:paraId="0A518ABB" w14:textId="75219CD1" w:rsidR="00057933" w:rsidRDefault="00057933" w:rsidP="00057933">
      <w:pPr>
        <w:pStyle w:val="Table"/>
      </w:pPr>
      <w:bookmarkStart w:id="51" w:name="_Toc170710472"/>
      <w:r>
        <w:t xml:space="preserve">Table </w:t>
      </w:r>
      <w:fldSimple w:instr=" SEQ Table \* ARABIC ">
        <w:r w:rsidR="00EC30BF">
          <w:rPr>
            <w:noProof/>
          </w:rPr>
          <w:t>1</w:t>
        </w:r>
      </w:fldSimple>
      <w:r>
        <w:t>: Testing requirements for medicinal cannabis to meet the minimum quality standard</w:t>
      </w:r>
      <w:bookmarkEnd w:id="51"/>
    </w:p>
    <w:tbl>
      <w:tblPr>
        <w:tblW w:w="864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10"/>
        <w:gridCol w:w="1277"/>
        <w:gridCol w:w="1275"/>
        <w:gridCol w:w="1134"/>
        <w:gridCol w:w="1276"/>
        <w:gridCol w:w="1276"/>
      </w:tblGrid>
      <w:tr w:rsidR="00057933" w:rsidRPr="007E1AE6" w14:paraId="169492DB" w14:textId="77777777" w:rsidTr="00057933">
        <w:trPr>
          <w:cantSplit/>
          <w:trHeight w:val="652"/>
          <w:tblHeader/>
        </w:trPr>
        <w:tc>
          <w:tcPr>
            <w:tcW w:w="2410" w:type="dxa"/>
            <w:tcBorders>
              <w:bottom w:val="single" w:sz="4" w:space="0" w:color="FFFFFF" w:themeColor="background1"/>
            </w:tcBorders>
            <w:shd w:val="clear" w:color="auto" w:fill="076283"/>
          </w:tcPr>
          <w:p w14:paraId="7543E4B3" w14:textId="77777777" w:rsidR="00057933" w:rsidRPr="007E1AE6" w:rsidRDefault="00057933" w:rsidP="009A7E53">
            <w:pPr>
              <w:pStyle w:val="TableText"/>
              <w:rPr>
                <w:b/>
                <w:color w:val="FFFFFF" w:themeColor="background1"/>
              </w:rPr>
            </w:pPr>
            <w:r>
              <w:rPr>
                <w:b/>
                <w:color w:val="FFFFFF" w:themeColor="background1"/>
              </w:rPr>
              <w:t>Applicable test</w:t>
            </w:r>
          </w:p>
        </w:tc>
        <w:tc>
          <w:tcPr>
            <w:tcW w:w="1277" w:type="dxa"/>
            <w:tcBorders>
              <w:bottom w:val="single" w:sz="4" w:space="0" w:color="FFFFFF" w:themeColor="background1"/>
            </w:tcBorders>
            <w:shd w:val="clear" w:color="auto" w:fill="076283"/>
          </w:tcPr>
          <w:p w14:paraId="48A98CC8" w14:textId="77777777" w:rsidR="00057933" w:rsidRPr="007E1AE6" w:rsidRDefault="00057933" w:rsidP="009A7E53">
            <w:pPr>
              <w:pStyle w:val="TableText"/>
              <w:rPr>
                <w:b/>
                <w:color w:val="FFFFFF" w:themeColor="background1"/>
              </w:rPr>
            </w:pPr>
            <w:r>
              <w:rPr>
                <w:b/>
                <w:color w:val="FFFFFF" w:themeColor="background1"/>
              </w:rPr>
              <w:t>Test in dried product</w:t>
            </w:r>
          </w:p>
        </w:tc>
        <w:tc>
          <w:tcPr>
            <w:tcW w:w="1275" w:type="dxa"/>
            <w:tcBorders>
              <w:bottom w:val="single" w:sz="4" w:space="0" w:color="FFFFFF" w:themeColor="background1"/>
            </w:tcBorders>
            <w:shd w:val="clear" w:color="auto" w:fill="076283"/>
          </w:tcPr>
          <w:p w14:paraId="2B8AA1E9" w14:textId="77777777" w:rsidR="00057933" w:rsidRPr="007E1AE6" w:rsidRDefault="00057933" w:rsidP="009A7E53">
            <w:pPr>
              <w:pStyle w:val="TableText"/>
              <w:rPr>
                <w:b/>
                <w:color w:val="FFFFFF" w:themeColor="background1"/>
              </w:rPr>
            </w:pPr>
            <w:r>
              <w:rPr>
                <w:b/>
                <w:color w:val="FFFFFF" w:themeColor="background1"/>
              </w:rPr>
              <w:t>Test in dried CBI</w:t>
            </w:r>
          </w:p>
        </w:tc>
        <w:tc>
          <w:tcPr>
            <w:tcW w:w="1134" w:type="dxa"/>
            <w:tcBorders>
              <w:bottom w:val="single" w:sz="4" w:space="0" w:color="FFFFFF" w:themeColor="background1"/>
            </w:tcBorders>
            <w:shd w:val="clear" w:color="auto" w:fill="076283"/>
          </w:tcPr>
          <w:p w14:paraId="0072258A" w14:textId="77777777" w:rsidR="00057933" w:rsidRDefault="00057933" w:rsidP="009A7E53">
            <w:pPr>
              <w:pStyle w:val="TableText"/>
              <w:rPr>
                <w:b/>
                <w:color w:val="FFFFFF" w:themeColor="background1"/>
              </w:rPr>
            </w:pPr>
            <w:r>
              <w:rPr>
                <w:b/>
                <w:color w:val="FFFFFF" w:themeColor="background1"/>
              </w:rPr>
              <w:t>Test in CBI</w:t>
            </w:r>
          </w:p>
        </w:tc>
        <w:tc>
          <w:tcPr>
            <w:tcW w:w="1276" w:type="dxa"/>
            <w:tcBorders>
              <w:bottom w:val="single" w:sz="4" w:space="0" w:color="FFFFFF" w:themeColor="background1"/>
            </w:tcBorders>
            <w:shd w:val="clear" w:color="auto" w:fill="076283"/>
          </w:tcPr>
          <w:p w14:paraId="3616D3F5" w14:textId="77777777" w:rsidR="00057933" w:rsidRDefault="00057933" w:rsidP="009A7E53">
            <w:pPr>
              <w:pStyle w:val="TableText"/>
              <w:rPr>
                <w:b/>
                <w:color w:val="FFFFFF" w:themeColor="background1"/>
              </w:rPr>
            </w:pPr>
            <w:r>
              <w:rPr>
                <w:b/>
                <w:color w:val="FFFFFF" w:themeColor="background1"/>
              </w:rPr>
              <w:t>Test in CBI not for supply</w:t>
            </w:r>
          </w:p>
        </w:tc>
        <w:tc>
          <w:tcPr>
            <w:tcW w:w="1276" w:type="dxa"/>
            <w:tcBorders>
              <w:bottom w:val="single" w:sz="4" w:space="0" w:color="FFFFFF" w:themeColor="background1"/>
            </w:tcBorders>
            <w:shd w:val="clear" w:color="auto" w:fill="076283"/>
          </w:tcPr>
          <w:p w14:paraId="24CE3A05" w14:textId="77777777" w:rsidR="00057933" w:rsidRDefault="00057933" w:rsidP="009A7E53">
            <w:pPr>
              <w:pStyle w:val="TableText"/>
              <w:rPr>
                <w:b/>
                <w:color w:val="FFFFFF" w:themeColor="background1"/>
              </w:rPr>
            </w:pPr>
            <w:r>
              <w:rPr>
                <w:b/>
                <w:color w:val="FFFFFF" w:themeColor="background1"/>
              </w:rPr>
              <w:t>Final dosage product</w:t>
            </w:r>
          </w:p>
        </w:tc>
      </w:tr>
      <w:tr w:rsidR="00057933" w:rsidRPr="00490081" w14:paraId="43D684A4" w14:textId="77777777" w:rsidTr="00057933">
        <w:trPr>
          <w:cantSplit/>
          <w:trHeight w:val="419"/>
          <w:tblHeader/>
        </w:trPr>
        <w:tc>
          <w:tcPr>
            <w:tcW w:w="2410" w:type="dxa"/>
            <w:shd w:val="clear" w:color="auto" w:fill="076283"/>
          </w:tcPr>
          <w:p w14:paraId="5CD2A882" w14:textId="77777777" w:rsidR="00057933" w:rsidRDefault="00057933" w:rsidP="009A7E53">
            <w:pPr>
              <w:pStyle w:val="TableText"/>
              <w:rPr>
                <w:color w:val="FFFFFF" w:themeColor="background1"/>
              </w:rPr>
            </w:pPr>
            <w:r>
              <w:rPr>
                <w:color w:val="FFFFFF" w:themeColor="background1"/>
              </w:rPr>
              <w:t>Identification of Cannabis (microscopic and macroscopic)</w:t>
            </w:r>
          </w:p>
        </w:tc>
        <w:tc>
          <w:tcPr>
            <w:tcW w:w="1277" w:type="dxa"/>
            <w:tcBorders>
              <w:bottom w:val="single" w:sz="4" w:space="0" w:color="FFFFFF" w:themeColor="background1"/>
            </w:tcBorders>
            <w:shd w:val="clear" w:color="auto" w:fill="B4CFD9"/>
            <w:vAlign w:val="center"/>
          </w:tcPr>
          <w:p w14:paraId="189771F9"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B4CFD9"/>
            <w:vAlign w:val="center"/>
          </w:tcPr>
          <w:p w14:paraId="04FC22C5"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B4CFD9"/>
            <w:vAlign w:val="center"/>
          </w:tcPr>
          <w:p w14:paraId="57CE93B7"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B4CFD9"/>
            <w:vAlign w:val="center"/>
          </w:tcPr>
          <w:p w14:paraId="2B05BD81"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B4CFD9"/>
            <w:vAlign w:val="center"/>
          </w:tcPr>
          <w:p w14:paraId="1643D888" w14:textId="77777777" w:rsidR="00057933" w:rsidRPr="00D86CC7" w:rsidRDefault="00057933" w:rsidP="00057933">
            <w:pPr>
              <w:pStyle w:val="TableText"/>
              <w:numPr>
                <w:ilvl w:val="0"/>
                <w:numId w:val="7"/>
              </w:numPr>
              <w:jc w:val="center"/>
              <w:rPr>
                <w:sz w:val="14"/>
                <w:szCs w:val="16"/>
              </w:rPr>
            </w:pPr>
          </w:p>
        </w:tc>
      </w:tr>
      <w:tr w:rsidR="00057933" w:rsidRPr="00490081" w14:paraId="02472C68" w14:textId="77777777" w:rsidTr="00057933">
        <w:trPr>
          <w:cantSplit/>
          <w:trHeight w:val="419"/>
          <w:tblHeader/>
        </w:trPr>
        <w:tc>
          <w:tcPr>
            <w:tcW w:w="2410" w:type="dxa"/>
            <w:shd w:val="clear" w:color="auto" w:fill="076283"/>
          </w:tcPr>
          <w:p w14:paraId="17AB5A01" w14:textId="77777777" w:rsidR="00057933" w:rsidRDefault="00057933" w:rsidP="009A7E53">
            <w:pPr>
              <w:pStyle w:val="TableText"/>
              <w:rPr>
                <w:color w:val="FFFFFF" w:themeColor="background1"/>
              </w:rPr>
            </w:pPr>
            <w:r>
              <w:rPr>
                <w:color w:val="FFFFFF" w:themeColor="background1"/>
              </w:rPr>
              <w:t>Identification of active ingredients</w:t>
            </w:r>
          </w:p>
        </w:tc>
        <w:tc>
          <w:tcPr>
            <w:tcW w:w="1277" w:type="dxa"/>
            <w:tcBorders>
              <w:bottom w:val="single" w:sz="4" w:space="0" w:color="FFFFFF" w:themeColor="background1"/>
            </w:tcBorders>
            <w:shd w:val="clear" w:color="auto" w:fill="D9E7EC"/>
            <w:vAlign w:val="center"/>
          </w:tcPr>
          <w:p w14:paraId="23A88459"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D9E7EC"/>
            <w:vAlign w:val="center"/>
          </w:tcPr>
          <w:p w14:paraId="12EA15B7"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D9E7EC"/>
            <w:vAlign w:val="center"/>
          </w:tcPr>
          <w:p w14:paraId="394FB69E"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D9E7EC"/>
            <w:vAlign w:val="center"/>
          </w:tcPr>
          <w:p w14:paraId="421D9A86"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D9E7EC"/>
            <w:vAlign w:val="center"/>
          </w:tcPr>
          <w:p w14:paraId="04BDD954" w14:textId="77777777" w:rsidR="00057933" w:rsidRPr="00D86CC7" w:rsidRDefault="00057933" w:rsidP="00057933">
            <w:pPr>
              <w:pStyle w:val="TableText"/>
              <w:numPr>
                <w:ilvl w:val="0"/>
                <w:numId w:val="7"/>
              </w:numPr>
              <w:jc w:val="center"/>
              <w:rPr>
                <w:sz w:val="14"/>
                <w:szCs w:val="16"/>
              </w:rPr>
            </w:pPr>
          </w:p>
        </w:tc>
      </w:tr>
      <w:tr w:rsidR="00057933" w:rsidRPr="00490081" w14:paraId="1ED20100" w14:textId="77777777" w:rsidTr="00057933">
        <w:trPr>
          <w:cantSplit/>
          <w:trHeight w:val="419"/>
          <w:tblHeader/>
        </w:trPr>
        <w:tc>
          <w:tcPr>
            <w:tcW w:w="2410" w:type="dxa"/>
            <w:shd w:val="clear" w:color="auto" w:fill="076283"/>
          </w:tcPr>
          <w:p w14:paraId="7F7F50CB" w14:textId="77777777" w:rsidR="00057933" w:rsidRDefault="00057933" w:rsidP="009A7E53">
            <w:pPr>
              <w:pStyle w:val="TableText"/>
              <w:rPr>
                <w:color w:val="FFFFFF" w:themeColor="background1"/>
              </w:rPr>
            </w:pPr>
            <w:r>
              <w:rPr>
                <w:color w:val="FFFFFF" w:themeColor="background1"/>
              </w:rPr>
              <w:t>Microbiological contamination</w:t>
            </w:r>
          </w:p>
        </w:tc>
        <w:tc>
          <w:tcPr>
            <w:tcW w:w="1277" w:type="dxa"/>
            <w:tcBorders>
              <w:bottom w:val="single" w:sz="4" w:space="0" w:color="FFFFFF" w:themeColor="background1"/>
            </w:tcBorders>
            <w:shd w:val="clear" w:color="auto" w:fill="B4CFD9"/>
            <w:vAlign w:val="center"/>
          </w:tcPr>
          <w:p w14:paraId="524B72BC"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B4CFD9"/>
            <w:vAlign w:val="center"/>
          </w:tcPr>
          <w:p w14:paraId="337D71EF"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B4CFD9"/>
            <w:vAlign w:val="center"/>
          </w:tcPr>
          <w:p w14:paraId="6E88BD48"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B4CFD9"/>
            <w:vAlign w:val="center"/>
          </w:tcPr>
          <w:p w14:paraId="0ED25CBC"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B4CFD9"/>
            <w:vAlign w:val="center"/>
          </w:tcPr>
          <w:p w14:paraId="373C493A" w14:textId="77777777" w:rsidR="00057933" w:rsidRPr="00D86CC7" w:rsidRDefault="00057933" w:rsidP="00057933">
            <w:pPr>
              <w:pStyle w:val="TableText"/>
              <w:numPr>
                <w:ilvl w:val="0"/>
                <w:numId w:val="7"/>
              </w:numPr>
              <w:jc w:val="center"/>
              <w:rPr>
                <w:sz w:val="14"/>
                <w:szCs w:val="16"/>
              </w:rPr>
            </w:pPr>
          </w:p>
        </w:tc>
      </w:tr>
      <w:tr w:rsidR="00057933" w:rsidRPr="00490081" w14:paraId="2DA9856F" w14:textId="77777777" w:rsidTr="00057933">
        <w:trPr>
          <w:cantSplit/>
          <w:trHeight w:val="419"/>
          <w:tblHeader/>
        </w:trPr>
        <w:tc>
          <w:tcPr>
            <w:tcW w:w="2410" w:type="dxa"/>
            <w:shd w:val="clear" w:color="auto" w:fill="076283"/>
          </w:tcPr>
          <w:p w14:paraId="797D290D" w14:textId="77777777" w:rsidR="00057933" w:rsidRDefault="00057933" w:rsidP="009A7E53">
            <w:pPr>
              <w:pStyle w:val="TableText"/>
              <w:rPr>
                <w:color w:val="FFFFFF" w:themeColor="background1"/>
              </w:rPr>
            </w:pPr>
            <w:r>
              <w:rPr>
                <w:color w:val="FFFFFF" w:themeColor="background1"/>
              </w:rPr>
              <w:t>Heavy Metals</w:t>
            </w:r>
          </w:p>
        </w:tc>
        <w:tc>
          <w:tcPr>
            <w:tcW w:w="1277" w:type="dxa"/>
            <w:tcBorders>
              <w:bottom w:val="single" w:sz="4" w:space="0" w:color="FFFFFF" w:themeColor="background1"/>
            </w:tcBorders>
            <w:shd w:val="clear" w:color="auto" w:fill="D9E7EC"/>
            <w:vAlign w:val="center"/>
          </w:tcPr>
          <w:p w14:paraId="519CBF93"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D9E7EC"/>
            <w:vAlign w:val="center"/>
          </w:tcPr>
          <w:p w14:paraId="056E3AF4"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D9E7EC"/>
            <w:vAlign w:val="center"/>
          </w:tcPr>
          <w:p w14:paraId="70D8603B"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D9E7EC"/>
            <w:vAlign w:val="center"/>
          </w:tcPr>
          <w:p w14:paraId="37F09D1D" w14:textId="77777777" w:rsidR="00057933" w:rsidRPr="00D86CC7" w:rsidRDefault="00057933" w:rsidP="00057933">
            <w:pPr>
              <w:pStyle w:val="TableText"/>
              <w:numPr>
                <w:ilvl w:val="0"/>
                <w:numId w:val="7"/>
              </w:numPr>
              <w:jc w:val="center"/>
              <w:rPr>
                <w:sz w:val="14"/>
                <w:szCs w:val="16"/>
              </w:rPr>
            </w:pPr>
            <w:r w:rsidRPr="00154014">
              <w:rPr>
                <w:sz w:val="30"/>
                <w:szCs w:val="40"/>
              </w:rPr>
              <w:t>*</w:t>
            </w:r>
          </w:p>
        </w:tc>
        <w:tc>
          <w:tcPr>
            <w:tcW w:w="1276" w:type="dxa"/>
            <w:tcBorders>
              <w:bottom w:val="single" w:sz="4" w:space="0" w:color="FFFFFF" w:themeColor="background1"/>
            </w:tcBorders>
            <w:shd w:val="clear" w:color="auto" w:fill="D9E7EC"/>
            <w:vAlign w:val="center"/>
          </w:tcPr>
          <w:p w14:paraId="24C827BF" w14:textId="77777777" w:rsidR="00057933" w:rsidRPr="00D86CC7" w:rsidRDefault="00057933" w:rsidP="00057933">
            <w:pPr>
              <w:pStyle w:val="TableText"/>
              <w:numPr>
                <w:ilvl w:val="0"/>
                <w:numId w:val="7"/>
              </w:numPr>
              <w:jc w:val="center"/>
              <w:rPr>
                <w:sz w:val="14"/>
                <w:szCs w:val="16"/>
              </w:rPr>
            </w:pPr>
            <w:r w:rsidRPr="00120EE4">
              <w:rPr>
                <w:sz w:val="30"/>
                <w:szCs w:val="40"/>
              </w:rPr>
              <w:t>*</w:t>
            </w:r>
          </w:p>
        </w:tc>
      </w:tr>
      <w:tr w:rsidR="00057933" w:rsidRPr="00490081" w14:paraId="575DECC4" w14:textId="77777777" w:rsidTr="00057933">
        <w:trPr>
          <w:cantSplit/>
          <w:trHeight w:val="419"/>
          <w:tblHeader/>
        </w:trPr>
        <w:tc>
          <w:tcPr>
            <w:tcW w:w="2410" w:type="dxa"/>
            <w:shd w:val="clear" w:color="auto" w:fill="076283"/>
          </w:tcPr>
          <w:p w14:paraId="5B70ABE5" w14:textId="77777777" w:rsidR="00057933" w:rsidRDefault="00057933" w:rsidP="009A7E53">
            <w:pPr>
              <w:pStyle w:val="TableText"/>
              <w:rPr>
                <w:color w:val="FFFFFF" w:themeColor="background1"/>
              </w:rPr>
            </w:pPr>
            <w:r>
              <w:rPr>
                <w:color w:val="FFFFFF" w:themeColor="background1"/>
              </w:rPr>
              <w:t>Pesticides</w:t>
            </w:r>
            <w:r>
              <w:rPr>
                <w:rFonts w:ascii="Wingdings" w:eastAsia="Wingdings" w:hAnsi="Wingdings" w:cs="Wingdings"/>
              </w:rPr>
              <w:sym w:font="Wingdings" w:char="F06E"/>
            </w:r>
          </w:p>
        </w:tc>
        <w:tc>
          <w:tcPr>
            <w:tcW w:w="1277" w:type="dxa"/>
            <w:tcBorders>
              <w:bottom w:val="single" w:sz="4" w:space="0" w:color="FFFFFF" w:themeColor="background1"/>
            </w:tcBorders>
            <w:shd w:val="clear" w:color="auto" w:fill="B4CFD9"/>
            <w:vAlign w:val="center"/>
          </w:tcPr>
          <w:p w14:paraId="0C7F4F5B"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B4CFD9"/>
            <w:vAlign w:val="center"/>
          </w:tcPr>
          <w:p w14:paraId="0B13FD66"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B4CFD9"/>
            <w:vAlign w:val="center"/>
          </w:tcPr>
          <w:p w14:paraId="18ECF365"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B4CFD9"/>
            <w:vAlign w:val="center"/>
          </w:tcPr>
          <w:p w14:paraId="55422C27" w14:textId="77777777" w:rsidR="00057933" w:rsidRPr="00D86CC7" w:rsidRDefault="00057933" w:rsidP="00057933">
            <w:pPr>
              <w:pStyle w:val="TableText"/>
              <w:numPr>
                <w:ilvl w:val="0"/>
                <w:numId w:val="7"/>
              </w:numPr>
              <w:jc w:val="center"/>
              <w:rPr>
                <w:sz w:val="14"/>
                <w:szCs w:val="16"/>
              </w:rPr>
            </w:pPr>
            <w:r w:rsidRPr="00120EE4">
              <w:rPr>
                <w:sz w:val="30"/>
                <w:szCs w:val="40"/>
              </w:rPr>
              <w:t>*</w:t>
            </w:r>
          </w:p>
        </w:tc>
        <w:tc>
          <w:tcPr>
            <w:tcW w:w="1276" w:type="dxa"/>
            <w:tcBorders>
              <w:bottom w:val="single" w:sz="4" w:space="0" w:color="FFFFFF" w:themeColor="background1"/>
            </w:tcBorders>
            <w:shd w:val="clear" w:color="auto" w:fill="B4CFD9"/>
            <w:vAlign w:val="center"/>
          </w:tcPr>
          <w:p w14:paraId="66A4B26D" w14:textId="77777777" w:rsidR="00057933" w:rsidRPr="00D86CC7" w:rsidRDefault="00057933" w:rsidP="00057933">
            <w:pPr>
              <w:pStyle w:val="TableText"/>
              <w:numPr>
                <w:ilvl w:val="0"/>
                <w:numId w:val="7"/>
              </w:numPr>
              <w:jc w:val="center"/>
              <w:rPr>
                <w:sz w:val="14"/>
                <w:szCs w:val="16"/>
              </w:rPr>
            </w:pPr>
            <w:r w:rsidRPr="00120EE4">
              <w:rPr>
                <w:sz w:val="30"/>
                <w:szCs w:val="40"/>
              </w:rPr>
              <w:t>*</w:t>
            </w:r>
          </w:p>
        </w:tc>
      </w:tr>
      <w:tr w:rsidR="00057933" w:rsidRPr="00490081" w14:paraId="4888D9C1" w14:textId="77777777" w:rsidTr="00057933">
        <w:trPr>
          <w:cantSplit/>
          <w:trHeight w:val="419"/>
          <w:tblHeader/>
        </w:trPr>
        <w:tc>
          <w:tcPr>
            <w:tcW w:w="2410" w:type="dxa"/>
            <w:shd w:val="clear" w:color="auto" w:fill="076283"/>
          </w:tcPr>
          <w:p w14:paraId="49510DFE" w14:textId="77777777" w:rsidR="00057933" w:rsidRDefault="00057933" w:rsidP="009A7E53">
            <w:pPr>
              <w:pStyle w:val="TableText"/>
              <w:rPr>
                <w:color w:val="FFFFFF" w:themeColor="background1"/>
              </w:rPr>
            </w:pPr>
            <w:r>
              <w:rPr>
                <w:color w:val="FFFFFF" w:themeColor="background1"/>
              </w:rPr>
              <w:t>Absence of Aflatoxins</w:t>
            </w:r>
          </w:p>
        </w:tc>
        <w:tc>
          <w:tcPr>
            <w:tcW w:w="1277" w:type="dxa"/>
            <w:tcBorders>
              <w:bottom w:val="single" w:sz="4" w:space="0" w:color="FFFFFF" w:themeColor="background1"/>
            </w:tcBorders>
            <w:shd w:val="clear" w:color="auto" w:fill="D9E7EC"/>
            <w:vAlign w:val="center"/>
          </w:tcPr>
          <w:p w14:paraId="4592AD9A"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D9E7EC"/>
            <w:vAlign w:val="center"/>
          </w:tcPr>
          <w:p w14:paraId="271ACF1A"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D9E7EC"/>
            <w:vAlign w:val="center"/>
          </w:tcPr>
          <w:p w14:paraId="4A87F056"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D9E7EC"/>
            <w:vAlign w:val="center"/>
          </w:tcPr>
          <w:p w14:paraId="5C1BEF8D" w14:textId="77777777" w:rsidR="00057933" w:rsidRPr="00D86CC7" w:rsidRDefault="00057933" w:rsidP="00057933">
            <w:pPr>
              <w:pStyle w:val="TableText"/>
              <w:numPr>
                <w:ilvl w:val="0"/>
                <w:numId w:val="7"/>
              </w:numPr>
              <w:jc w:val="center"/>
              <w:rPr>
                <w:sz w:val="14"/>
                <w:szCs w:val="16"/>
              </w:rPr>
            </w:pPr>
            <w:r w:rsidRPr="00120EE4">
              <w:rPr>
                <w:sz w:val="30"/>
                <w:szCs w:val="40"/>
              </w:rPr>
              <w:t>*</w:t>
            </w:r>
          </w:p>
        </w:tc>
        <w:tc>
          <w:tcPr>
            <w:tcW w:w="1276" w:type="dxa"/>
            <w:tcBorders>
              <w:bottom w:val="single" w:sz="4" w:space="0" w:color="FFFFFF" w:themeColor="background1"/>
            </w:tcBorders>
            <w:shd w:val="clear" w:color="auto" w:fill="D9E7EC"/>
            <w:vAlign w:val="center"/>
          </w:tcPr>
          <w:p w14:paraId="36C1EC09" w14:textId="77777777" w:rsidR="00057933" w:rsidRPr="00D86CC7" w:rsidRDefault="00057933" w:rsidP="00057933">
            <w:pPr>
              <w:pStyle w:val="TableText"/>
              <w:numPr>
                <w:ilvl w:val="0"/>
                <w:numId w:val="7"/>
              </w:numPr>
              <w:jc w:val="center"/>
              <w:rPr>
                <w:sz w:val="14"/>
                <w:szCs w:val="16"/>
              </w:rPr>
            </w:pPr>
            <w:r w:rsidRPr="00120EE4">
              <w:rPr>
                <w:sz w:val="30"/>
                <w:szCs w:val="40"/>
              </w:rPr>
              <w:t>*</w:t>
            </w:r>
          </w:p>
        </w:tc>
      </w:tr>
      <w:tr w:rsidR="00057933" w:rsidRPr="00490081" w14:paraId="650EBF66" w14:textId="77777777" w:rsidTr="00057933">
        <w:trPr>
          <w:cantSplit/>
          <w:trHeight w:val="419"/>
          <w:tblHeader/>
        </w:trPr>
        <w:tc>
          <w:tcPr>
            <w:tcW w:w="2410" w:type="dxa"/>
            <w:shd w:val="clear" w:color="auto" w:fill="076283"/>
          </w:tcPr>
          <w:p w14:paraId="45169BB4" w14:textId="77777777" w:rsidR="00057933" w:rsidRDefault="00057933" w:rsidP="009A7E53">
            <w:pPr>
              <w:pStyle w:val="TableText"/>
              <w:rPr>
                <w:color w:val="FFFFFF" w:themeColor="background1"/>
              </w:rPr>
            </w:pPr>
            <w:r>
              <w:rPr>
                <w:color w:val="FFFFFF" w:themeColor="background1"/>
              </w:rPr>
              <w:t>Ochratoxin A</w:t>
            </w:r>
          </w:p>
        </w:tc>
        <w:tc>
          <w:tcPr>
            <w:tcW w:w="1277" w:type="dxa"/>
            <w:tcBorders>
              <w:bottom w:val="single" w:sz="4" w:space="0" w:color="FFFFFF" w:themeColor="background1"/>
            </w:tcBorders>
            <w:shd w:val="clear" w:color="auto" w:fill="B4CFD9"/>
            <w:vAlign w:val="center"/>
          </w:tcPr>
          <w:p w14:paraId="0F601306"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B4CFD9"/>
            <w:vAlign w:val="center"/>
          </w:tcPr>
          <w:p w14:paraId="73C67D5B"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B4CFD9"/>
            <w:vAlign w:val="center"/>
          </w:tcPr>
          <w:p w14:paraId="20C40465" w14:textId="77777777" w:rsidR="00057933" w:rsidRPr="00D86CC7" w:rsidRDefault="00057933" w:rsidP="00057933">
            <w:pPr>
              <w:pStyle w:val="TableText"/>
              <w:numPr>
                <w:ilvl w:val="0"/>
                <w:numId w:val="7"/>
              </w:numPr>
              <w:jc w:val="center"/>
              <w:rPr>
                <w:sz w:val="14"/>
                <w:szCs w:val="16"/>
              </w:rPr>
            </w:pPr>
          </w:p>
        </w:tc>
        <w:tc>
          <w:tcPr>
            <w:tcW w:w="1276" w:type="dxa"/>
            <w:tcBorders>
              <w:bottom w:val="single" w:sz="4" w:space="0" w:color="FFFFFF" w:themeColor="background1"/>
            </w:tcBorders>
            <w:shd w:val="clear" w:color="auto" w:fill="B4CFD9"/>
            <w:vAlign w:val="center"/>
          </w:tcPr>
          <w:p w14:paraId="1AE965BE" w14:textId="77777777" w:rsidR="00057933" w:rsidRPr="00D86CC7" w:rsidRDefault="00057933" w:rsidP="00057933">
            <w:pPr>
              <w:pStyle w:val="TableText"/>
              <w:numPr>
                <w:ilvl w:val="0"/>
                <w:numId w:val="7"/>
              </w:numPr>
              <w:jc w:val="center"/>
              <w:rPr>
                <w:sz w:val="14"/>
                <w:szCs w:val="16"/>
              </w:rPr>
            </w:pPr>
            <w:r w:rsidRPr="00120EE4">
              <w:rPr>
                <w:sz w:val="30"/>
                <w:szCs w:val="40"/>
              </w:rPr>
              <w:t>*</w:t>
            </w:r>
          </w:p>
        </w:tc>
        <w:tc>
          <w:tcPr>
            <w:tcW w:w="1276" w:type="dxa"/>
            <w:tcBorders>
              <w:bottom w:val="single" w:sz="4" w:space="0" w:color="FFFFFF" w:themeColor="background1"/>
            </w:tcBorders>
            <w:shd w:val="clear" w:color="auto" w:fill="B4CFD9"/>
            <w:vAlign w:val="center"/>
          </w:tcPr>
          <w:p w14:paraId="06F0F5B4" w14:textId="77777777" w:rsidR="00057933" w:rsidRPr="00D86CC7" w:rsidRDefault="00057933" w:rsidP="00057933">
            <w:pPr>
              <w:pStyle w:val="TableText"/>
              <w:numPr>
                <w:ilvl w:val="0"/>
                <w:numId w:val="7"/>
              </w:numPr>
              <w:jc w:val="center"/>
              <w:rPr>
                <w:sz w:val="14"/>
                <w:szCs w:val="16"/>
              </w:rPr>
            </w:pPr>
            <w:r w:rsidRPr="00120EE4">
              <w:rPr>
                <w:sz w:val="30"/>
                <w:szCs w:val="40"/>
              </w:rPr>
              <w:t>*</w:t>
            </w:r>
          </w:p>
        </w:tc>
      </w:tr>
      <w:tr w:rsidR="00057933" w:rsidRPr="00490081" w14:paraId="3B5D6D0F" w14:textId="77777777" w:rsidTr="00057933">
        <w:trPr>
          <w:cantSplit/>
          <w:trHeight w:val="419"/>
          <w:tblHeader/>
        </w:trPr>
        <w:tc>
          <w:tcPr>
            <w:tcW w:w="2410" w:type="dxa"/>
            <w:shd w:val="clear" w:color="auto" w:fill="076283"/>
          </w:tcPr>
          <w:p w14:paraId="01D19110" w14:textId="77777777" w:rsidR="00057933" w:rsidRDefault="00057933" w:rsidP="009A7E53">
            <w:pPr>
              <w:pStyle w:val="TableText"/>
              <w:rPr>
                <w:color w:val="FFFFFF" w:themeColor="background1"/>
              </w:rPr>
            </w:pPr>
            <w:r>
              <w:rPr>
                <w:color w:val="FFFFFF" w:themeColor="background1"/>
              </w:rPr>
              <w:t xml:space="preserve">Foreign Matter </w:t>
            </w:r>
          </w:p>
        </w:tc>
        <w:tc>
          <w:tcPr>
            <w:tcW w:w="1277" w:type="dxa"/>
            <w:tcBorders>
              <w:bottom w:val="single" w:sz="4" w:space="0" w:color="FFFFFF" w:themeColor="background1"/>
            </w:tcBorders>
            <w:shd w:val="clear" w:color="auto" w:fill="D9E7EC"/>
            <w:vAlign w:val="center"/>
          </w:tcPr>
          <w:p w14:paraId="5FB6C098" w14:textId="77777777" w:rsidR="00057933" w:rsidRPr="00D86CC7" w:rsidRDefault="00057933" w:rsidP="00057933">
            <w:pPr>
              <w:pStyle w:val="TableText"/>
              <w:numPr>
                <w:ilvl w:val="0"/>
                <w:numId w:val="7"/>
              </w:numPr>
              <w:jc w:val="center"/>
              <w:rPr>
                <w:sz w:val="14"/>
                <w:szCs w:val="16"/>
              </w:rPr>
            </w:pPr>
          </w:p>
        </w:tc>
        <w:tc>
          <w:tcPr>
            <w:tcW w:w="1275" w:type="dxa"/>
            <w:tcBorders>
              <w:bottom w:val="single" w:sz="4" w:space="0" w:color="FFFFFF" w:themeColor="background1"/>
            </w:tcBorders>
            <w:shd w:val="clear" w:color="auto" w:fill="D9E7EC"/>
            <w:vAlign w:val="center"/>
          </w:tcPr>
          <w:p w14:paraId="01076064" w14:textId="77777777" w:rsidR="00057933" w:rsidRPr="00D86CC7" w:rsidRDefault="00057933" w:rsidP="00057933">
            <w:pPr>
              <w:pStyle w:val="TableText"/>
              <w:numPr>
                <w:ilvl w:val="0"/>
                <w:numId w:val="7"/>
              </w:numPr>
              <w:jc w:val="center"/>
              <w:rPr>
                <w:sz w:val="14"/>
                <w:szCs w:val="16"/>
              </w:rPr>
            </w:pPr>
          </w:p>
        </w:tc>
        <w:tc>
          <w:tcPr>
            <w:tcW w:w="1134" w:type="dxa"/>
            <w:tcBorders>
              <w:bottom w:val="single" w:sz="4" w:space="0" w:color="FFFFFF" w:themeColor="background1"/>
            </w:tcBorders>
            <w:shd w:val="clear" w:color="auto" w:fill="D9E7EC"/>
            <w:vAlign w:val="center"/>
          </w:tcPr>
          <w:p w14:paraId="1309864B" w14:textId="77777777" w:rsidR="00057933" w:rsidRPr="00D86CC7" w:rsidRDefault="00057933" w:rsidP="009A7E53">
            <w:pPr>
              <w:pStyle w:val="TableText"/>
              <w:ind w:left="720"/>
              <w:jc w:val="center"/>
              <w:rPr>
                <w:sz w:val="14"/>
                <w:szCs w:val="16"/>
              </w:rPr>
            </w:pPr>
          </w:p>
        </w:tc>
        <w:tc>
          <w:tcPr>
            <w:tcW w:w="1276" w:type="dxa"/>
            <w:tcBorders>
              <w:bottom w:val="single" w:sz="4" w:space="0" w:color="FFFFFF" w:themeColor="background1"/>
            </w:tcBorders>
            <w:shd w:val="clear" w:color="auto" w:fill="D9E7EC"/>
            <w:vAlign w:val="center"/>
          </w:tcPr>
          <w:p w14:paraId="6F7193EE" w14:textId="77777777" w:rsidR="00057933" w:rsidRPr="00D86CC7" w:rsidRDefault="00057933" w:rsidP="009A7E53">
            <w:pPr>
              <w:pStyle w:val="TableText"/>
              <w:ind w:left="720"/>
              <w:jc w:val="center"/>
              <w:rPr>
                <w:sz w:val="14"/>
                <w:szCs w:val="16"/>
              </w:rPr>
            </w:pPr>
          </w:p>
        </w:tc>
        <w:tc>
          <w:tcPr>
            <w:tcW w:w="1276" w:type="dxa"/>
            <w:tcBorders>
              <w:bottom w:val="single" w:sz="4" w:space="0" w:color="FFFFFF" w:themeColor="background1"/>
            </w:tcBorders>
            <w:shd w:val="clear" w:color="auto" w:fill="D9E7EC"/>
            <w:vAlign w:val="center"/>
          </w:tcPr>
          <w:p w14:paraId="73450F00" w14:textId="77777777" w:rsidR="00057933" w:rsidRPr="00D86CC7" w:rsidRDefault="00057933" w:rsidP="009A7E53">
            <w:pPr>
              <w:pStyle w:val="TableText"/>
              <w:ind w:left="720"/>
              <w:jc w:val="center"/>
              <w:rPr>
                <w:sz w:val="14"/>
                <w:szCs w:val="16"/>
              </w:rPr>
            </w:pPr>
          </w:p>
        </w:tc>
      </w:tr>
      <w:tr w:rsidR="00057933" w:rsidRPr="00490081" w14:paraId="6D39E900" w14:textId="77777777" w:rsidTr="00057933">
        <w:trPr>
          <w:cantSplit/>
          <w:trHeight w:val="419"/>
          <w:tblHeader/>
        </w:trPr>
        <w:tc>
          <w:tcPr>
            <w:tcW w:w="2410" w:type="dxa"/>
            <w:shd w:val="clear" w:color="auto" w:fill="076283"/>
          </w:tcPr>
          <w:p w14:paraId="0A2DAE3F" w14:textId="77777777" w:rsidR="00057933" w:rsidRDefault="00057933" w:rsidP="009A7E53">
            <w:pPr>
              <w:pStyle w:val="TableText"/>
              <w:rPr>
                <w:color w:val="FFFFFF" w:themeColor="background1"/>
              </w:rPr>
            </w:pPr>
            <w:r>
              <w:rPr>
                <w:color w:val="FFFFFF" w:themeColor="background1"/>
              </w:rPr>
              <w:t>Loss on drying</w:t>
            </w:r>
          </w:p>
        </w:tc>
        <w:tc>
          <w:tcPr>
            <w:tcW w:w="1277" w:type="dxa"/>
            <w:shd w:val="clear" w:color="auto" w:fill="B4CFD9"/>
            <w:vAlign w:val="center"/>
          </w:tcPr>
          <w:p w14:paraId="1582598B" w14:textId="77777777" w:rsidR="00057933" w:rsidRPr="00D86CC7" w:rsidRDefault="00057933" w:rsidP="00057933">
            <w:pPr>
              <w:pStyle w:val="TableText"/>
              <w:numPr>
                <w:ilvl w:val="0"/>
                <w:numId w:val="7"/>
              </w:numPr>
              <w:jc w:val="center"/>
              <w:rPr>
                <w:sz w:val="14"/>
                <w:szCs w:val="16"/>
              </w:rPr>
            </w:pPr>
          </w:p>
        </w:tc>
        <w:tc>
          <w:tcPr>
            <w:tcW w:w="1275" w:type="dxa"/>
            <w:shd w:val="clear" w:color="auto" w:fill="B4CFD9"/>
            <w:vAlign w:val="center"/>
          </w:tcPr>
          <w:p w14:paraId="44B1D4E1" w14:textId="77777777" w:rsidR="00057933" w:rsidRPr="00D86CC7" w:rsidRDefault="00057933" w:rsidP="00057933">
            <w:pPr>
              <w:pStyle w:val="TableText"/>
              <w:numPr>
                <w:ilvl w:val="0"/>
                <w:numId w:val="7"/>
              </w:numPr>
              <w:jc w:val="center"/>
              <w:rPr>
                <w:sz w:val="14"/>
                <w:szCs w:val="16"/>
              </w:rPr>
            </w:pPr>
          </w:p>
        </w:tc>
        <w:tc>
          <w:tcPr>
            <w:tcW w:w="1134" w:type="dxa"/>
            <w:shd w:val="clear" w:color="auto" w:fill="B4CFD9"/>
            <w:vAlign w:val="center"/>
          </w:tcPr>
          <w:p w14:paraId="75409C18" w14:textId="77777777" w:rsidR="00057933" w:rsidRPr="00D86CC7" w:rsidRDefault="00057933" w:rsidP="009A7E53">
            <w:pPr>
              <w:pStyle w:val="TableText"/>
              <w:ind w:left="720"/>
              <w:jc w:val="center"/>
              <w:rPr>
                <w:sz w:val="14"/>
                <w:szCs w:val="16"/>
              </w:rPr>
            </w:pPr>
          </w:p>
        </w:tc>
        <w:tc>
          <w:tcPr>
            <w:tcW w:w="1276" w:type="dxa"/>
            <w:shd w:val="clear" w:color="auto" w:fill="B4CFD9"/>
            <w:vAlign w:val="center"/>
          </w:tcPr>
          <w:p w14:paraId="4AB13530" w14:textId="77777777" w:rsidR="00057933" w:rsidRPr="00D86CC7" w:rsidRDefault="00057933" w:rsidP="009A7E53">
            <w:pPr>
              <w:pStyle w:val="TableText"/>
              <w:ind w:left="720"/>
              <w:jc w:val="center"/>
              <w:rPr>
                <w:sz w:val="14"/>
                <w:szCs w:val="16"/>
              </w:rPr>
            </w:pPr>
          </w:p>
        </w:tc>
        <w:tc>
          <w:tcPr>
            <w:tcW w:w="1276" w:type="dxa"/>
            <w:shd w:val="clear" w:color="auto" w:fill="B4CFD9"/>
            <w:vAlign w:val="center"/>
          </w:tcPr>
          <w:p w14:paraId="0B523EA5" w14:textId="77777777" w:rsidR="00057933" w:rsidRPr="00D86CC7" w:rsidRDefault="00057933" w:rsidP="009A7E53">
            <w:pPr>
              <w:pStyle w:val="TableText"/>
              <w:ind w:left="720"/>
              <w:jc w:val="center"/>
              <w:rPr>
                <w:sz w:val="14"/>
                <w:szCs w:val="16"/>
              </w:rPr>
            </w:pPr>
          </w:p>
        </w:tc>
      </w:tr>
      <w:tr w:rsidR="00057933" w:rsidRPr="00490081" w14:paraId="113288C8" w14:textId="77777777" w:rsidTr="00057933">
        <w:trPr>
          <w:cantSplit/>
          <w:trHeight w:val="419"/>
          <w:tblHeader/>
        </w:trPr>
        <w:tc>
          <w:tcPr>
            <w:tcW w:w="2410" w:type="dxa"/>
            <w:shd w:val="clear" w:color="auto" w:fill="076283"/>
          </w:tcPr>
          <w:p w14:paraId="61AC9384" w14:textId="77777777" w:rsidR="00057933" w:rsidRDefault="00057933" w:rsidP="009A7E53">
            <w:pPr>
              <w:pStyle w:val="TableText"/>
              <w:rPr>
                <w:color w:val="FFFFFF" w:themeColor="background1"/>
              </w:rPr>
            </w:pPr>
            <w:r>
              <w:rPr>
                <w:color w:val="FFFFFF" w:themeColor="background1"/>
              </w:rPr>
              <w:t>Total ash</w:t>
            </w:r>
          </w:p>
        </w:tc>
        <w:tc>
          <w:tcPr>
            <w:tcW w:w="1277" w:type="dxa"/>
            <w:shd w:val="clear" w:color="auto" w:fill="D9E7EC"/>
            <w:vAlign w:val="center"/>
          </w:tcPr>
          <w:p w14:paraId="34A42C29" w14:textId="77777777" w:rsidR="00057933" w:rsidRPr="00D86CC7" w:rsidRDefault="00057933" w:rsidP="00057933">
            <w:pPr>
              <w:pStyle w:val="TableText"/>
              <w:numPr>
                <w:ilvl w:val="0"/>
                <w:numId w:val="7"/>
              </w:numPr>
              <w:jc w:val="center"/>
              <w:rPr>
                <w:sz w:val="14"/>
                <w:szCs w:val="16"/>
              </w:rPr>
            </w:pPr>
          </w:p>
        </w:tc>
        <w:tc>
          <w:tcPr>
            <w:tcW w:w="1275" w:type="dxa"/>
            <w:shd w:val="clear" w:color="auto" w:fill="D9E7EC"/>
            <w:vAlign w:val="center"/>
          </w:tcPr>
          <w:p w14:paraId="193EE861" w14:textId="77777777" w:rsidR="00057933" w:rsidRPr="00D86CC7" w:rsidRDefault="00057933" w:rsidP="00057933">
            <w:pPr>
              <w:pStyle w:val="TableText"/>
              <w:numPr>
                <w:ilvl w:val="0"/>
                <w:numId w:val="7"/>
              </w:numPr>
              <w:jc w:val="center"/>
              <w:rPr>
                <w:sz w:val="14"/>
                <w:szCs w:val="16"/>
              </w:rPr>
            </w:pPr>
          </w:p>
        </w:tc>
        <w:tc>
          <w:tcPr>
            <w:tcW w:w="1134" w:type="dxa"/>
            <w:shd w:val="clear" w:color="auto" w:fill="D9E7EC"/>
            <w:vAlign w:val="center"/>
          </w:tcPr>
          <w:p w14:paraId="1D658FA8" w14:textId="77777777" w:rsidR="00057933" w:rsidRPr="00D86CC7" w:rsidRDefault="00057933" w:rsidP="009A7E53">
            <w:pPr>
              <w:pStyle w:val="TableText"/>
              <w:ind w:left="720"/>
              <w:jc w:val="center"/>
              <w:rPr>
                <w:sz w:val="14"/>
                <w:szCs w:val="16"/>
              </w:rPr>
            </w:pPr>
          </w:p>
        </w:tc>
        <w:tc>
          <w:tcPr>
            <w:tcW w:w="1276" w:type="dxa"/>
            <w:shd w:val="clear" w:color="auto" w:fill="D9E7EC"/>
            <w:vAlign w:val="center"/>
          </w:tcPr>
          <w:p w14:paraId="5C44DF45" w14:textId="77777777" w:rsidR="00057933" w:rsidRPr="00D86CC7" w:rsidRDefault="00057933" w:rsidP="009A7E53">
            <w:pPr>
              <w:pStyle w:val="TableText"/>
              <w:ind w:left="720"/>
              <w:jc w:val="center"/>
              <w:rPr>
                <w:sz w:val="14"/>
                <w:szCs w:val="16"/>
              </w:rPr>
            </w:pPr>
          </w:p>
        </w:tc>
        <w:tc>
          <w:tcPr>
            <w:tcW w:w="1276" w:type="dxa"/>
            <w:shd w:val="clear" w:color="auto" w:fill="D9E7EC"/>
            <w:vAlign w:val="center"/>
          </w:tcPr>
          <w:p w14:paraId="59363F98" w14:textId="77777777" w:rsidR="00057933" w:rsidRPr="00D86CC7" w:rsidRDefault="00057933" w:rsidP="009A7E53">
            <w:pPr>
              <w:pStyle w:val="TableText"/>
              <w:ind w:left="720"/>
              <w:jc w:val="center"/>
              <w:rPr>
                <w:sz w:val="14"/>
                <w:szCs w:val="16"/>
              </w:rPr>
            </w:pPr>
          </w:p>
        </w:tc>
      </w:tr>
      <w:tr w:rsidR="00057933" w:rsidRPr="00490081" w14:paraId="1DBE0593" w14:textId="77777777" w:rsidTr="00057933">
        <w:trPr>
          <w:cantSplit/>
          <w:trHeight w:val="419"/>
          <w:tblHeader/>
        </w:trPr>
        <w:tc>
          <w:tcPr>
            <w:tcW w:w="2410" w:type="dxa"/>
            <w:shd w:val="clear" w:color="auto" w:fill="076283"/>
          </w:tcPr>
          <w:p w14:paraId="5AB61CF9" w14:textId="77777777" w:rsidR="00057933" w:rsidRDefault="00057933" w:rsidP="009A7E53">
            <w:pPr>
              <w:pStyle w:val="TableText"/>
              <w:rPr>
                <w:color w:val="FFFFFF" w:themeColor="background1"/>
              </w:rPr>
            </w:pPr>
            <w:r>
              <w:rPr>
                <w:color w:val="FFFFFF" w:themeColor="background1"/>
              </w:rPr>
              <w:t>Residual solvents</w:t>
            </w:r>
            <w:r>
              <w:rPr>
                <w:rFonts w:ascii="Arial" w:hAnsi="Arial" w:cs="Arial"/>
              </w:rPr>
              <w:t>▲</w:t>
            </w:r>
          </w:p>
        </w:tc>
        <w:tc>
          <w:tcPr>
            <w:tcW w:w="1277" w:type="dxa"/>
            <w:tcBorders>
              <w:bottom w:val="single" w:sz="4" w:space="0" w:color="FFFFFF" w:themeColor="background1"/>
            </w:tcBorders>
            <w:shd w:val="clear" w:color="auto" w:fill="B4CFD9"/>
            <w:vAlign w:val="center"/>
          </w:tcPr>
          <w:p w14:paraId="17825EC4" w14:textId="77777777" w:rsidR="00057933" w:rsidRPr="00D86CC7" w:rsidRDefault="00057933" w:rsidP="00057933">
            <w:pPr>
              <w:pStyle w:val="TableText"/>
              <w:numPr>
                <w:ilvl w:val="0"/>
                <w:numId w:val="7"/>
              </w:numPr>
              <w:jc w:val="center"/>
              <w:rPr>
                <w:sz w:val="14"/>
                <w:szCs w:val="16"/>
              </w:rPr>
            </w:pPr>
            <w:r w:rsidRPr="00007C2C">
              <w:rPr>
                <w:sz w:val="30"/>
                <w:szCs w:val="40"/>
                <w:vertAlign w:val="superscript"/>
              </w:rPr>
              <w:t>▲</w:t>
            </w:r>
          </w:p>
        </w:tc>
        <w:tc>
          <w:tcPr>
            <w:tcW w:w="1275" w:type="dxa"/>
            <w:tcBorders>
              <w:bottom w:val="single" w:sz="4" w:space="0" w:color="FFFFFF" w:themeColor="background1"/>
            </w:tcBorders>
            <w:shd w:val="clear" w:color="auto" w:fill="B4CFD9"/>
            <w:vAlign w:val="center"/>
          </w:tcPr>
          <w:p w14:paraId="7F7A44AA" w14:textId="77777777" w:rsidR="00057933" w:rsidRPr="00D86CC7" w:rsidRDefault="00057933" w:rsidP="00057933">
            <w:pPr>
              <w:pStyle w:val="TableText"/>
              <w:numPr>
                <w:ilvl w:val="0"/>
                <w:numId w:val="7"/>
              </w:numPr>
              <w:jc w:val="center"/>
              <w:rPr>
                <w:sz w:val="14"/>
                <w:szCs w:val="16"/>
              </w:rPr>
            </w:pPr>
            <w:r w:rsidRPr="00007C2C">
              <w:rPr>
                <w:sz w:val="30"/>
                <w:szCs w:val="40"/>
                <w:vertAlign w:val="superscript"/>
              </w:rPr>
              <w:t>▲</w:t>
            </w:r>
          </w:p>
        </w:tc>
        <w:tc>
          <w:tcPr>
            <w:tcW w:w="1134" w:type="dxa"/>
            <w:tcBorders>
              <w:bottom w:val="single" w:sz="4" w:space="0" w:color="FFFFFF" w:themeColor="background1"/>
            </w:tcBorders>
            <w:shd w:val="clear" w:color="auto" w:fill="B4CFD9"/>
            <w:vAlign w:val="center"/>
          </w:tcPr>
          <w:p w14:paraId="10A92832" w14:textId="77777777" w:rsidR="00057933" w:rsidRPr="00D86CC7" w:rsidRDefault="00057933" w:rsidP="00057933">
            <w:pPr>
              <w:pStyle w:val="TableText"/>
              <w:numPr>
                <w:ilvl w:val="0"/>
                <w:numId w:val="7"/>
              </w:numPr>
              <w:jc w:val="center"/>
              <w:rPr>
                <w:sz w:val="14"/>
                <w:szCs w:val="16"/>
              </w:rPr>
            </w:pPr>
            <w:r w:rsidRPr="00007C2C">
              <w:rPr>
                <w:sz w:val="30"/>
                <w:szCs w:val="40"/>
                <w:vertAlign w:val="superscript"/>
              </w:rPr>
              <w:t>▲</w:t>
            </w:r>
          </w:p>
        </w:tc>
        <w:tc>
          <w:tcPr>
            <w:tcW w:w="1276" w:type="dxa"/>
            <w:tcBorders>
              <w:bottom w:val="single" w:sz="4" w:space="0" w:color="FFFFFF" w:themeColor="background1"/>
            </w:tcBorders>
            <w:shd w:val="clear" w:color="auto" w:fill="B4CFD9"/>
            <w:vAlign w:val="center"/>
          </w:tcPr>
          <w:p w14:paraId="4477B226" w14:textId="77777777" w:rsidR="00057933" w:rsidRPr="00D86CC7" w:rsidRDefault="00057933" w:rsidP="00057933">
            <w:pPr>
              <w:pStyle w:val="TableText"/>
              <w:numPr>
                <w:ilvl w:val="0"/>
                <w:numId w:val="7"/>
              </w:numPr>
              <w:jc w:val="center"/>
              <w:rPr>
                <w:sz w:val="14"/>
                <w:szCs w:val="16"/>
              </w:rPr>
            </w:pPr>
            <w:r w:rsidRPr="00120EE4">
              <w:rPr>
                <w:sz w:val="30"/>
                <w:szCs w:val="40"/>
              </w:rPr>
              <w:t>*</w:t>
            </w:r>
            <w:r w:rsidRPr="00007C2C">
              <w:rPr>
                <w:sz w:val="30"/>
                <w:szCs w:val="40"/>
                <w:vertAlign w:val="superscript"/>
              </w:rPr>
              <w:t>▲</w:t>
            </w:r>
          </w:p>
        </w:tc>
        <w:tc>
          <w:tcPr>
            <w:tcW w:w="1276" w:type="dxa"/>
            <w:tcBorders>
              <w:bottom w:val="single" w:sz="4" w:space="0" w:color="FFFFFF" w:themeColor="background1"/>
            </w:tcBorders>
            <w:shd w:val="clear" w:color="auto" w:fill="B4CFD9"/>
            <w:vAlign w:val="center"/>
          </w:tcPr>
          <w:p w14:paraId="3EFA272F" w14:textId="77777777" w:rsidR="00057933" w:rsidRPr="00D86CC7" w:rsidRDefault="00057933" w:rsidP="00057933">
            <w:pPr>
              <w:pStyle w:val="TableText"/>
              <w:numPr>
                <w:ilvl w:val="0"/>
                <w:numId w:val="7"/>
              </w:numPr>
              <w:jc w:val="center"/>
              <w:rPr>
                <w:sz w:val="14"/>
                <w:szCs w:val="16"/>
              </w:rPr>
            </w:pPr>
            <w:r w:rsidRPr="00120EE4">
              <w:rPr>
                <w:sz w:val="30"/>
                <w:szCs w:val="40"/>
              </w:rPr>
              <w:t>*</w:t>
            </w:r>
            <w:r w:rsidRPr="00007C2C">
              <w:rPr>
                <w:sz w:val="30"/>
                <w:szCs w:val="40"/>
                <w:vertAlign w:val="superscript"/>
              </w:rPr>
              <w:t>▲</w:t>
            </w:r>
          </w:p>
        </w:tc>
      </w:tr>
    </w:tbl>
    <w:p w14:paraId="1DE8A787" w14:textId="4CB8D363" w:rsidR="00057933" w:rsidRDefault="00057933" w:rsidP="00057933">
      <w:pPr>
        <w:pStyle w:val="Note"/>
      </w:pPr>
      <w:r>
        <w:t>* These may be tested in either the final dosage product only, or in the CBI only, if can be demonstrated that there is no risk that the final dosage product exceeds the test limits specified.</w:t>
      </w:r>
    </w:p>
    <w:p w14:paraId="016FB8B1" w14:textId="77777777" w:rsidR="00057933" w:rsidRDefault="00057933" w:rsidP="00057933">
      <w:pPr>
        <w:pStyle w:val="Note"/>
      </w:pPr>
      <w:r>
        <w:rPr>
          <w:rFonts w:ascii="Arial" w:hAnsi="Arial" w:cs="Arial"/>
        </w:rPr>
        <w:t>▲</w:t>
      </w:r>
      <w:r>
        <w:t xml:space="preserve"> You may not need to test for residual solvents if you can demonstrate that there is no risk of their presence (for instance if you are producing dried cannabis, and solvents are not used during manufacture).</w:t>
      </w:r>
    </w:p>
    <w:p w14:paraId="360D1F31" w14:textId="77777777" w:rsidR="00057933" w:rsidRPr="007E3CD2" w:rsidRDefault="00057933" w:rsidP="00057933">
      <w:pPr>
        <w:pStyle w:val="Note"/>
      </w:pPr>
      <w:r>
        <w:rPr>
          <w:rFonts w:ascii="Wingdings" w:eastAsia="Wingdings" w:hAnsi="Wingdings" w:cs="Wingdings"/>
        </w:rPr>
        <w:sym w:font="Wingdings" w:char="F06E"/>
      </w:r>
      <w:r>
        <w:t xml:space="preserve"> Note, there are different pesticide testing requirements for imported medicinal cannabis compared to New Zealand grown cannabis. For further details, see the </w:t>
      </w:r>
      <w:r w:rsidRPr="003D226A">
        <w:rPr>
          <w:i/>
          <w:iCs/>
        </w:rPr>
        <w:t>Guideline on the regulation of medicinal cannabis in New Zealand: Pesticide use on medicinal cannabis crops</w:t>
      </w:r>
      <w:r>
        <w:rPr>
          <w:i/>
          <w:iCs/>
        </w:rPr>
        <w:t>.</w:t>
      </w:r>
    </w:p>
    <w:p w14:paraId="34E24583" w14:textId="77777777" w:rsidR="00057933" w:rsidRPr="00057933" w:rsidRDefault="00057933" w:rsidP="00057933">
      <w:pPr>
        <w:pStyle w:val="Heading3"/>
      </w:pPr>
      <w:bookmarkStart w:id="52" w:name="_Changes_to_the_1"/>
      <w:bookmarkStart w:id="53" w:name="_Toc166222488"/>
      <w:bookmarkStart w:id="54" w:name="_Toc167108799"/>
      <w:bookmarkStart w:id="55" w:name="_Toc167108803"/>
      <w:bookmarkStart w:id="56" w:name="_Toc170710466"/>
      <w:bookmarkEnd w:id="52"/>
      <w:bookmarkEnd w:id="53"/>
      <w:bookmarkEnd w:id="54"/>
      <w:r w:rsidRPr="00057933">
        <w:t>Changes to the permitted tests</w:t>
      </w:r>
      <w:bookmarkEnd w:id="55"/>
      <w:bookmarkEnd w:id="56"/>
    </w:p>
    <w:p w14:paraId="679187C8" w14:textId="2D3ECE33" w:rsidR="00057933" w:rsidRDefault="00057933" w:rsidP="00057933">
      <w:r>
        <w:t xml:space="preserve">From </w:t>
      </w:r>
      <w:r w:rsidR="00521F20">
        <w:t>05 July 2024</w:t>
      </w:r>
      <w:r>
        <w:t>, you will be able to use a wider range of permitted tests. Please note that while the Medicinal Cannabis Agency will now accept a wider range of tests, the maximum limits will remain consistent.</w:t>
      </w:r>
    </w:p>
    <w:p w14:paraId="5512F1A6" w14:textId="77777777" w:rsidR="00057933" w:rsidRDefault="00057933" w:rsidP="00057933">
      <w:r>
        <w:t xml:space="preserve">The following alternative test methods from the </w:t>
      </w:r>
      <w:r w:rsidRPr="00CF5DF4">
        <w:rPr>
          <w:i/>
          <w:iCs/>
        </w:rPr>
        <w:t>United States Pharmacopoeia – National Formulary</w:t>
      </w:r>
      <w:r>
        <w:rPr>
          <w:i/>
          <w:iCs/>
        </w:rPr>
        <w:t xml:space="preserve"> (2023 issue 1)</w:t>
      </w:r>
      <w:r>
        <w:t xml:space="preserve"> will be accepted:</w:t>
      </w:r>
    </w:p>
    <w:p w14:paraId="52CD6005" w14:textId="77777777" w:rsidR="00057933" w:rsidRDefault="00057933" w:rsidP="00057933">
      <w:pPr>
        <w:pStyle w:val="Bullet"/>
      </w:pPr>
      <w:r>
        <w:t>heavy metals (USP &lt;561&gt;)</w:t>
      </w:r>
    </w:p>
    <w:p w14:paraId="2BE97D2E" w14:textId="77777777" w:rsidR="00057933" w:rsidRDefault="00057933" w:rsidP="00057933">
      <w:pPr>
        <w:pStyle w:val="Bullet"/>
      </w:pPr>
      <w:r>
        <w:t>pesticides (USP &lt;561&gt;)</w:t>
      </w:r>
    </w:p>
    <w:p w14:paraId="37740DA0" w14:textId="77777777" w:rsidR="00057933" w:rsidRDefault="00057933" w:rsidP="00057933">
      <w:pPr>
        <w:pStyle w:val="Bullet"/>
      </w:pPr>
      <w:r>
        <w:t>absence of aflatoxins (USP &lt;561&gt;)</w:t>
      </w:r>
    </w:p>
    <w:p w14:paraId="7A3B8AA3" w14:textId="77777777" w:rsidR="00057933" w:rsidRDefault="00057933" w:rsidP="00057933">
      <w:pPr>
        <w:pStyle w:val="Bullet"/>
      </w:pPr>
      <w:r>
        <w:t>loss on drying (USP &lt;731&gt;)</w:t>
      </w:r>
    </w:p>
    <w:p w14:paraId="59429569" w14:textId="77777777" w:rsidR="00057933" w:rsidRDefault="00057933" w:rsidP="00057933">
      <w:pPr>
        <w:pStyle w:val="Bullet"/>
      </w:pPr>
      <w:r>
        <w:t>total ash (USP &lt;561&gt;)</w:t>
      </w:r>
    </w:p>
    <w:p w14:paraId="6A6AC345" w14:textId="77777777" w:rsidR="00057933" w:rsidRDefault="00057933" w:rsidP="00057933">
      <w:pPr>
        <w:pStyle w:val="Bullet"/>
      </w:pPr>
      <w:r>
        <w:t>residual solvents (USP &lt;467&gt;).</w:t>
      </w:r>
    </w:p>
    <w:p w14:paraId="1CD21E03" w14:textId="77777777" w:rsidR="00057933" w:rsidRDefault="00057933" w:rsidP="00057933">
      <w:r>
        <w:t xml:space="preserve">The following alternative test method from the </w:t>
      </w:r>
      <w:r w:rsidRPr="00CF5DF4">
        <w:rPr>
          <w:i/>
          <w:iCs/>
        </w:rPr>
        <w:t>British Pharmacopoeia</w:t>
      </w:r>
      <w:r>
        <w:rPr>
          <w:i/>
          <w:iCs/>
        </w:rPr>
        <w:t xml:space="preserve"> 2023</w:t>
      </w:r>
      <w:r>
        <w:t xml:space="preserve"> will be accepted:</w:t>
      </w:r>
    </w:p>
    <w:p w14:paraId="43D61ACD" w14:textId="77777777" w:rsidR="00057933" w:rsidRDefault="00057933" w:rsidP="00057933">
      <w:pPr>
        <w:pStyle w:val="Bullet"/>
      </w:pPr>
      <w:r>
        <w:t>total ash (BP Appendix XI.J).</w:t>
      </w:r>
    </w:p>
    <w:p w14:paraId="07CF0FC8" w14:textId="77777777" w:rsidR="00057933" w:rsidRDefault="00057933" w:rsidP="00057933">
      <w:r>
        <w:t xml:space="preserve">Please note that many test methods in the </w:t>
      </w:r>
      <w:r w:rsidRPr="00CF5DF4">
        <w:rPr>
          <w:i/>
          <w:iCs/>
        </w:rPr>
        <w:t>British Pharmacopoeia</w:t>
      </w:r>
      <w:r>
        <w:rPr>
          <w:i/>
          <w:iCs/>
        </w:rPr>
        <w:t xml:space="preserve"> 2023</w:t>
      </w:r>
      <w:r>
        <w:t xml:space="preserve"> are harmonised with the </w:t>
      </w:r>
      <w:r w:rsidRPr="00CF5DF4">
        <w:rPr>
          <w:i/>
          <w:iCs/>
        </w:rPr>
        <w:t>European Pharmacopoeia</w:t>
      </w:r>
      <w:r>
        <w:rPr>
          <w:i/>
          <w:iCs/>
        </w:rPr>
        <w:t xml:space="preserve"> (</w:t>
      </w:r>
      <w:r w:rsidRPr="005F7BE7">
        <w:rPr>
          <w:i/>
          <w:iCs/>
        </w:rPr>
        <w:t>11th edition, version 11.0 of the European Pharmacopoeia, including supplement 11.3</w:t>
      </w:r>
      <w:r>
        <w:rPr>
          <w:i/>
          <w:iCs/>
        </w:rPr>
        <w:t>)</w:t>
      </w:r>
      <w:r>
        <w:t xml:space="preserve"> and are considered equivalent.</w:t>
      </w:r>
    </w:p>
    <w:p w14:paraId="2D9D0EF3" w14:textId="77777777" w:rsidR="00057933" w:rsidRPr="00057933" w:rsidRDefault="00057933" w:rsidP="00057933">
      <w:pPr>
        <w:pStyle w:val="Heading3"/>
      </w:pPr>
      <w:bookmarkStart w:id="57" w:name="_Changes_to_permitted_1"/>
      <w:bookmarkStart w:id="58" w:name="_Toc167108804"/>
      <w:bookmarkStart w:id="59" w:name="_Toc170710467"/>
      <w:bookmarkEnd w:id="57"/>
      <w:r w:rsidRPr="00057933">
        <w:t>Changes to permitted excipients</w:t>
      </w:r>
      <w:bookmarkEnd w:id="58"/>
      <w:bookmarkEnd w:id="59"/>
    </w:p>
    <w:p w14:paraId="7D5348F4" w14:textId="5A49B9FC" w:rsidR="00057933" w:rsidRDefault="00057933" w:rsidP="00057933">
      <w:r>
        <w:t xml:space="preserve">From </w:t>
      </w:r>
      <w:r w:rsidR="00521F20">
        <w:t>05 July 2024</w:t>
      </w:r>
      <w:r>
        <w:t xml:space="preserve">, in addition to the </w:t>
      </w:r>
      <w:r w:rsidRPr="00CF5DF4">
        <w:rPr>
          <w:i/>
          <w:iCs/>
        </w:rPr>
        <w:t>European Pharmacopoeia</w:t>
      </w:r>
      <w:r>
        <w:t>, you will be permitted to use excipients with monographs in the following pharmacopoeia:</w:t>
      </w:r>
    </w:p>
    <w:p w14:paraId="7F22C02F" w14:textId="77777777" w:rsidR="00057933" w:rsidRDefault="00057933" w:rsidP="00057933">
      <w:pPr>
        <w:pStyle w:val="Bullet"/>
      </w:pPr>
      <w:r>
        <w:t xml:space="preserve">the </w:t>
      </w:r>
      <w:r w:rsidRPr="00057933">
        <w:rPr>
          <w:i/>
          <w:iCs/>
        </w:rPr>
        <w:t>British Pharmacopoeia 2023</w:t>
      </w:r>
    </w:p>
    <w:p w14:paraId="7333BB8A" w14:textId="77777777" w:rsidR="00057933" w:rsidRDefault="00057933" w:rsidP="00057933">
      <w:pPr>
        <w:pStyle w:val="Bullet"/>
      </w:pPr>
      <w:r>
        <w:t xml:space="preserve">the </w:t>
      </w:r>
      <w:r w:rsidRPr="00057933">
        <w:rPr>
          <w:i/>
          <w:iCs/>
        </w:rPr>
        <w:t>United States Pharmacopoeia – National Formulary (2023 issue 1).</w:t>
      </w:r>
    </w:p>
    <w:p w14:paraId="22AE8FB3" w14:textId="77777777" w:rsidR="00057933" w:rsidRPr="00057933" w:rsidRDefault="00057933" w:rsidP="00057933">
      <w:pPr>
        <w:pStyle w:val="Heading3"/>
      </w:pPr>
      <w:bookmarkStart w:id="60" w:name="_Changes_to_assay"/>
      <w:bookmarkStart w:id="61" w:name="_Toc167108805"/>
      <w:bookmarkStart w:id="62" w:name="_Toc170710468"/>
      <w:bookmarkEnd w:id="60"/>
      <w:r w:rsidRPr="00057933">
        <w:t>Changes to assay limits of active ingredients</w:t>
      </w:r>
      <w:bookmarkEnd w:id="61"/>
      <w:bookmarkEnd w:id="62"/>
    </w:p>
    <w:p w14:paraId="1DCB9587" w14:textId="6BB52F7B" w:rsidR="00057933" w:rsidRDefault="00057933" w:rsidP="00057933">
      <w:r>
        <w:t xml:space="preserve">From </w:t>
      </w:r>
      <w:r w:rsidR="00521F20">
        <w:t>05 July 2024</w:t>
      </w:r>
      <w:r>
        <w:t>, the requirements for assay limits will change in the following ways:</w:t>
      </w:r>
    </w:p>
    <w:p w14:paraId="26342B2B" w14:textId="77777777" w:rsidR="00057933" w:rsidRDefault="00057933" w:rsidP="00057933">
      <w:pPr>
        <w:pStyle w:val="Bullet"/>
      </w:pPr>
      <w:r>
        <w:t>for cannabis-based ingredients (CBIs), manufacturers will be able to set their own assay limits, these must be set in compliance with GMP</w:t>
      </w:r>
    </w:p>
    <w:p w14:paraId="3A68E345" w14:textId="77777777" w:rsidR="00057933" w:rsidRDefault="00057933" w:rsidP="00057933">
      <w:pPr>
        <w:pStyle w:val="Bullet"/>
      </w:pPr>
      <w:r>
        <w:t>for medicinal cannabis products, a ‘less than’ limit may be applied when an active ingredient (meaning THC, THCA, CBD, and CBDA) in a medicinal cannabis product is present at very low levels and difficult to control within the specified range.</w:t>
      </w:r>
    </w:p>
    <w:p w14:paraId="64E38EF4" w14:textId="77777777" w:rsidR="00057933" w:rsidRDefault="00057933" w:rsidP="00057933">
      <w:r>
        <w:t>For cannabis-based ingredients (CBIs) where the manufacturer has specified assay limits, you will need to demonstrate that the active ingredient present is within the range specified.</w:t>
      </w:r>
    </w:p>
    <w:p w14:paraId="08F00C06" w14:textId="77777777" w:rsidR="00057933" w:rsidRDefault="00057933" w:rsidP="00057933">
      <w:r>
        <w:t>For medicinal cannabis products, you will need to demonstrate that the level of the active ingredient is low and difficult to control within the specified range for a ‘less than’ limit to be applied. Examples of levels that are considered low levels, where a less than limit may be appropriate, include the following:</w:t>
      </w:r>
    </w:p>
    <w:p w14:paraId="7C09EC70" w14:textId="77777777" w:rsidR="00057933" w:rsidRDefault="00057933" w:rsidP="00057933">
      <w:pPr>
        <w:pStyle w:val="Bullet"/>
      </w:pPr>
      <w:r>
        <w:t>oral liquids – where the active ingredient is less than 2 mg/mL</w:t>
      </w:r>
    </w:p>
    <w:p w14:paraId="23C06F9D" w14:textId="77777777" w:rsidR="00057933" w:rsidRDefault="00057933" w:rsidP="00057933">
      <w:pPr>
        <w:pStyle w:val="Bullet"/>
      </w:pPr>
      <w:r>
        <w:t>dried cannabis flower (flower for inhalation or tea)– where the active ingredient is less than 10 mg/g or 1% w/w.</w:t>
      </w:r>
    </w:p>
    <w:p w14:paraId="2886954E" w14:textId="77777777" w:rsidR="00057933" w:rsidRDefault="00057933" w:rsidP="00057933">
      <w:r>
        <w:t>The Agency will not verify medicinal cannabis products where all active ingredients are assayed at a ‘less than’ limit specified by the manufacturer. The Agency will also consider the differences between active ingredient concentrations when determining if a ‘less than’ assay limit is justifiable.</w:t>
      </w:r>
    </w:p>
    <w:p w14:paraId="4E1A9ED0" w14:textId="77777777" w:rsidR="00057933" w:rsidRPr="00057933" w:rsidRDefault="00057933" w:rsidP="00057933">
      <w:pPr>
        <w:pStyle w:val="Heading3"/>
      </w:pPr>
      <w:bookmarkStart w:id="63" w:name="_Changes_to_packaging"/>
      <w:bookmarkStart w:id="64" w:name="_Toc167108806"/>
      <w:bookmarkStart w:id="65" w:name="_Toc170710469"/>
      <w:bookmarkEnd w:id="63"/>
      <w:r w:rsidRPr="00057933">
        <w:t>Changes to container material requirements</w:t>
      </w:r>
      <w:bookmarkEnd w:id="64"/>
      <w:bookmarkEnd w:id="65"/>
    </w:p>
    <w:p w14:paraId="6E4B645B" w14:textId="7A7367B3" w:rsidR="00057933" w:rsidRDefault="00057933" w:rsidP="00057933">
      <w:r>
        <w:t xml:space="preserve">From </w:t>
      </w:r>
      <w:r w:rsidR="00521F20">
        <w:t>05 July 2024</w:t>
      </w:r>
      <w:r>
        <w:t>, container material may comply with any of the following:</w:t>
      </w:r>
    </w:p>
    <w:p w14:paraId="5D55EC3F" w14:textId="77777777" w:rsidR="00057933" w:rsidRPr="00955FFC" w:rsidRDefault="00057933" w:rsidP="00057933">
      <w:pPr>
        <w:pStyle w:val="Bullet"/>
      </w:pPr>
      <w:r w:rsidRPr="00057933">
        <w:rPr>
          <w:i/>
          <w:iCs/>
        </w:rPr>
        <w:t>European pharmacopoeia</w:t>
      </w:r>
      <w:r>
        <w:t xml:space="preserve"> Chapters 3.1 and 3.2</w:t>
      </w:r>
    </w:p>
    <w:p w14:paraId="44550A06" w14:textId="77777777" w:rsidR="00057933" w:rsidRDefault="00057933" w:rsidP="00057933">
      <w:pPr>
        <w:pStyle w:val="Bullet"/>
      </w:pPr>
      <w:r w:rsidRPr="00057933">
        <w:rPr>
          <w:i/>
          <w:iCs/>
        </w:rPr>
        <w:t>United States Pharmacopoeia – National Formulary (2023 issue 1)</w:t>
      </w:r>
      <w:r>
        <w:t xml:space="preserve"> Chapters &lt;660&gt;, &lt;661.1&gt;, or &lt;661.2&gt;</w:t>
      </w:r>
    </w:p>
    <w:p w14:paraId="0D6E598E" w14:textId="77777777" w:rsidR="00057933" w:rsidRPr="00057933" w:rsidRDefault="00057933" w:rsidP="00057933">
      <w:pPr>
        <w:pStyle w:val="Bullet"/>
        <w:rPr>
          <w:i/>
          <w:iCs/>
        </w:rPr>
      </w:pPr>
      <w:r w:rsidRPr="00057933">
        <w:rPr>
          <w:i/>
          <w:iCs/>
        </w:rPr>
        <w:t>European Medicines Agency Guideline on Plastic Immediate Packaging Materials.</w:t>
      </w:r>
    </w:p>
    <w:p w14:paraId="5D6E5A1A" w14:textId="77777777" w:rsidR="00057933" w:rsidRDefault="00057933" w:rsidP="00057933">
      <w:r>
        <w:t xml:space="preserve">If food grade plastic packaging is being used in accordance with the </w:t>
      </w:r>
      <w:r w:rsidRPr="00D6636A">
        <w:rPr>
          <w:i/>
          <w:iCs/>
        </w:rPr>
        <w:t>European Medicines Agency Guideline on Plastic Immediate Packaging Materials</w:t>
      </w:r>
      <w:r>
        <w:t>, the materials will need to be appropriately certified. Examples of appropriate certification includes, but is not limited to, the following:</w:t>
      </w:r>
    </w:p>
    <w:p w14:paraId="6D837627" w14:textId="77777777" w:rsidR="00057933" w:rsidRDefault="00057933" w:rsidP="00057933">
      <w:pPr>
        <w:pStyle w:val="Bullet"/>
      </w:pPr>
      <w:r>
        <w:t>certification demonstrating compliance with EC 2023/2006 and EC 10/2011</w:t>
      </w:r>
    </w:p>
    <w:p w14:paraId="6758A6C8" w14:textId="77777777" w:rsidR="00057933" w:rsidRDefault="00057933" w:rsidP="00057933">
      <w:pPr>
        <w:pStyle w:val="Bullet"/>
      </w:pPr>
      <w:r>
        <w:t>certification demonstrating compliance with US FDA 21 CFR Part 177 and US FDA 21 CFR 176.170.</w:t>
      </w:r>
    </w:p>
    <w:p w14:paraId="4F034728" w14:textId="7080F085" w:rsidR="00057933" w:rsidRPr="00057933" w:rsidRDefault="00057933" w:rsidP="00057933">
      <w:pPr>
        <w:pStyle w:val="Heading2"/>
      </w:pPr>
      <w:bookmarkStart w:id="66" w:name="_Changes_to_requirements"/>
      <w:bookmarkStart w:id="67" w:name="_Toc167108807"/>
      <w:bookmarkStart w:id="68" w:name="_Toc170710470"/>
      <w:bookmarkEnd w:id="66"/>
      <w:r w:rsidRPr="00057933">
        <w:t>Changes to requirements for laboratories</w:t>
      </w:r>
      <w:bookmarkEnd w:id="67"/>
      <w:bookmarkEnd w:id="68"/>
    </w:p>
    <w:p w14:paraId="4BCDB713" w14:textId="58D054DF" w:rsidR="00057933" w:rsidRDefault="00057933" w:rsidP="00057933">
      <w:r>
        <w:t xml:space="preserve">From </w:t>
      </w:r>
      <w:r w:rsidR="00521F20">
        <w:t>05 July 2024</w:t>
      </w:r>
      <w:r>
        <w:t xml:space="preserve">, non-critical tests will be able to be carried out by either GMP certified manufacturers, or laboratories with GMP accreditation or ISO/IEC 17025:2017 accreditation. This means that GMP certification will only be mandatory for the following testing (critical tests). </w:t>
      </w:r>
    </w:p>
    <w:p w14:paraId="2DF5432C" w14:textId="77777777" w:rsidR="00057933" w:rsidRDefault="00057933" w:rsidP="00057933">
      <w:pPr>
        <w:pStyle w:val="Bullet"/>
      </w:pPr>
      <w:r>
        <w:t>Assay limits for active ingredients.</w:t>
      </w:r>
    </w:p>
    <w:p w14:paraId="351EBEB6" w14:textId="77777777" w:rsidR="00057933" w:rsidRDefault="00057933" w:rsidP="00057933">
      <w:pPr>
        <w:pStyle w:val="Bullet"/>
      </w:pPr>
      <w:r>
        <w:t>Dosage form requirements.</w:t>
      </w:r>
    </w:p>
    <w:p w14:paraId="778709C8" w14:textId="77777777" w:rsidR="00057933" w:rsidRDefault="00057933" w:rsidP="00057933">
      <w:r>
        <w:t>ISO/IEC 17025:2017 accreditation or GMP certification will be accepted for the following testing:</w:t>
      </w:r>
    </w:p>
    <w:p w14:paraId="128F2A4E" w14:textId="77777777" w:rsidR="00057933" w:rsidRDefault="00057933" w:rsidP="00057933">
      <w:pPr>
        <w:pStyle w:val="Bullet"/>
      </w:pPr>
      <w:r>
        <w:t>microbiological contamination</w:t>
      </w:r>
    </w:p>
    <w:p w14:paraId="1956B480" w14:textId="77777777" w:rsidR="00057933" w:rsidRDefault="00057933" w:rsidP="00057933">
      <w:pPr>
        <w:pStyle w:val="Bullet"/>
      </w:pPr>
      <w:r>
        <w:t>heavy metals</w:t>
      </w:r>
    </w:p>
    <w:p w14:paraId="2E5754E3" w14:textId="77777777" w:rsidR="00057933" w:rsidRDefault="00057933" w:rsidP="00057933">
      <w:pPr>
        <w:pStyle w:val="Bullet"/>
      </w:pPr>
      <w:r>
        <w:t>pesticides</w:t>
      </w:r>
    </w:p>
    <w:p w14:paraId="67605FC1" w14:textId="77777777" w:rsidR="00057933" w:rsidRDefault="00057933" w:rsidP="00057933">
      <w:pPr>
        <w:pStyle w:val="Bullet"/>
      </w:pPr>
      <w:r>
        <w:t>absence of aflatoxins</w:t>
      </w:r>
    </w:p>
    <w:p w14:paraId="77466067" w14:textId="77777777" w:rsidR="00057933" w:rsidRDefault="00057933" w:rsidP="00057933">
      <w:pPr>
        <w:pStyle w:val="Bullet"/>
      </w:pPr>
      <w:r>
        <w:t>ochratoxin A</w:t>
      </w:r>
    </w:p>
    <w:p w14:paraId="61ED41D5" w14:textId="77777777" w:rsidR="00057933" w:rsidRDefault="00057933" w:rsidP="00057933">
      <w:pPr>
        <w:pStyle w:val="Bullet"/>
      </w:pPr>
      <w:r>
        <w:t>foreign matter</w:t>
      </w:r>
    </w:p>
    <w:p w14:paraId="6603704D" w14:textId="77777777" w:rsidR="00057933" w:rsidRDefault="00057933" w:rsidP="00057933">
      <w:pPr>
        <w:pStyle w:val="Bullet"/>
      </w:pPr>
      <w:r>
        <w:t>loss on drying</w:t>
      </w:r>
    </w:p>
    <w:p w14:paraId="2CF837B4" w14:textId="77777777" w:rsidR="00057933" w:rsidRDefault="00057933" w:rsidP="00057933">
      <w:pPr>
        <w:pStyle w:val="Bullet"/>
      </w:pPr>
      <w:r>
        <w:t>total ash</w:t>
      </w:r>
    </w:p>
    <w:p w14:paraId="497DC649" w14:textId="77777777" w:rsidR="00057933" w:rsidRDefault="00057933" w:rsidP="00057933">
      <w:pPr>
        <w:pStyle w:val="Bullet"/>
      </w:pPr>
      <w:r>
        <w:t>residual solvents.</w:t>
      </w:r>
    </w:p>
    <w:p w14:paraId="792CCCD0" w14:textId="77777777" w:rsidR="00057933" w:rsidRDefault="00057933" w:rsidP="00057933">
      <w:r>
        <w:t xml:space="preserve">ISO 17025:2017 accredited laboratories will need to be signatories to the International Laboratory Accreditation Cooperation (ILAC) Mutual Recognition Agreement. </w:t>
      </w:r>
    </w:p>
    <w:p w14:paraId="46BA2FCA" w14:textId="77777777" w:rsidR="00057933" w:rsidRDefault="00057933" w:rsidP="00057933">
      <w:r>
        <w:t>Testing of container material will be exempted from being carried out by a GMP-certified manufacturer or laboratory. See the Guideline on the regulation of medicinal cannabis in New Zealand – Guidance for a New Medicinal Cannabis Product application.</w:t>
      </w:r>
    </w:p>
    <w:p w14:paraId="6FC82555" w14:textId="77777777" w:rsidR="00057933" w:rsidRPr="00057933" w:rsidRDefault="00057933" w:rsidP="00057933">
      <w:pPr>
        <w:pStyle w:val="Heading2"/>
      </w:pPr>
      <w:bookmarkStart w:id="69" w:name="_Changes_to_pesticide"/>
      <w:bookmarkEnd w:id="69"/>
      <w:r w:rsidRPr="00057933">
        <w:t xml:space="preserve"> </w:t>
      </w:r>
      <w:bookmarkStart w:id="70" w:name="_Toc167108808"/>
      <w:bookmarkStart w:id="71" w:name="_Toc170710471"/>
      <w:r w:rsidRPr="00057933">
        <w:t>Changes to pesticide requirements</w:t>
      </w:r>
      <w:bookmarkEnd w:id="70"/>
      <w:bookmarkEnd w:id="71"/>
    </w:p>
    <w:p w14:paraId="6C4D1C9F" w14:textId="57A3BF38" w:rsidR="00057933" w:rsidRDefault="00057933" w:rsidP="00057933">
      <w:pPr>
        <w:rPr>
          <w:lang w:eastAsia="en-NZ"/>
        </w:rPr>
      </w:pPr>
      <w:r>
        <w:t xml:space="preserve">From </w:t>
      </w:r>
      <w:r w:rsidR="00521F20">
        <w:t>05 July 2024</w:t>
      </w:r>
      <w:r>
        <w:t xml:space="preserve">, the pesticides permitted for use on medicinal cannabis will be expanded. </w:t>
      </w:r>
      <w:r>
        <w:rPr>
          <w:lang w:eastAsia="en-NZ"/>
        </w:rPr>
        <w:t>There will be different requirements for:</w:t>
      </w:r>
    </w:p>
    <w:p w14:paraId="654FEB95" w14:textId="77777777" w:rsidR="00057933" w:rsidRDefault="00057933" w:rsidP="00057933">
      <w:pPr>
        <w:pStyle w:val="Bullet"/>
        <w:rPr>
          <w:lang w:eastAsia="en-NZ"/>
        </w:rPr>
      </w:pPr>
      <w:r>
        <w:rPr>
          <w:lang w:eastAsia="en-NZ"/>
        </w:rPr>
        <w:t>medicinal cannabis to be used in inhalation products</w:t>
      </w:r>
    </w:p>
    <w:p w14:paraId="460D9BA7" w14:textId="77777777" w:rsidR="00057933" w:rsidRDefault="00057933" w:rsidP="00057933">
      <w:pPr>
        <w:pStyle w:val="Bullet"/>
        <w:rPr>
          <w:lang w:eastAsia="en-NZ"/>
        </w:rPr>
      </w:pPr>
      <w:r>
        <w:rPr>
          <w:lang w:eastAsia="en-NZ"/>
        </w:rPr>
        <w:t>medicinal cannabis to be used in non-inhalation products.</w:t>
      </w:r>
    </w:p>
    <w:p w14:paraId="13193E6C" w14:textId="77777777" w:rsidR="00057933" w:rsidRDefault="00057933" w:rsidP="00057933">
      <w:r>
        <w:t>An overview of the new requirements can be seen in the following table.</w:t>
      </w:r>
    </w:p>
    <w:p w14:paraId="4A7C662A" w14:textId="5D6A1646" w:rsidR="00057933" w:rsidRPr="00490081" w:rsidRDefault="00057933" w:rsidP="00057933">
      <w:pPr>
        <w:pStyle w:val="Table"/>
      </w:pPr>
      <w:bookmarkStart w:id="72" w:name="_Toc170710473"/>
      <w:r>
        <w:t xml:space="preserve">Table </w:t>
      </w:r>
      <w:fldSimple w:instr=" SEQ Table \* ARABIC ">
        <w:r w:rsidR="00EC30BF">
          <w:rPr>
            <w:noProof/>
          </w:rPr>
          <w:t>2</w:t>
        </w:r>
      </w:fldSimple>
      <w:r>
        <w:t>: Guidance on allowable pesticide us on medicinal cannabis under the minimum quality standard.</w:t>
      </w:r>
      <w:bookmarkEnd w:id="72"/>
    </w:p>
    <w:tbl>
      <w:tblPr>
        <w:tblW w:w="879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959"/>
        <w:gridCol w:w="1919"/>
        <w:gridCol w:w="1919"/>
      </w:tblGrid>
      <w:tr w:rsidR="00057933" w:rsidRPr="007E1AE6" w14:paraId="1E6A6ABE" w14:textId="77777777" w:rsidTr="009A7E53">
        <w:trPr>
          <w:cantSplit/>
          <w:trHeight w:val="844"/>
          <w:tblHeader/>
          <w:jc w:val="center"/>
        </w:trPr>
        <w:tc>
          <w:tcPr>
            <w:tcW w:w="4959" w:type="dxa"/>
            <w:tcBorders>
              <w:bottom w:val="single" w:sz="4" w:space="0" w:color="FFFFFF" w:themeColor="background1"/>
            </w:tcBorders>
            <w:shd w:val="clear" w:color="auto" w:fill="076283"/>
          </w:tcPr>
          <w:p w14:paraId="21682430" w14:textId="77777777" w:rsidR="00057933" w:rsidRPr="007E1AE6" w:rsidRDefault="00057933" w:rsidP="009A7E53">
            <w:pPr>
              <w:pStyle w:val="TableText"/>
              <w:rPr>
                <w:b/>
                <w:color w:val="FFFFFF" w:themeColor="background1"/>
              </w:rPr>
            </w:pPr>
            <w:r>
              <w:rPr>
                <w:b/>
                <w:color w:val="FFFFFF" w:themeColor="background1"/>
              </w:rPr>
              <w:t>Pesticide requirement that applies to meet the minimum quality standard</w:t>
            </w:r>
          </w:p>
        </w:tc>
        <w:tc>
          <w:tcPr>
            <w:tcW w:w="1919" w:type="dxa"/>
            <w:tcBorders>
              <w:bottom w:val="single" w:sz="4" w:space="0" w:color="FFFFFF" w:themeColor="background1"/>
            </w:tcBorders>
            <w:shd w:val="clear" w:color="auto" w:fill="076283"/>
          </w:tcPr>
          <w:p w14:paraId="3341117E" w14:textId="77777777" w:rsidR="00057933" w:rsidRPr="007E1AE6" w:rsidRDefault="00057933" w:rsidP="009A7E53">
            <w:pPr>
              <w:pStyle w:val="TableText"/>
              <w:rPr>
                <w:b/>
                <w:color w:val="FFFFFF" w:themeColor="background1"/>
              </w:rPr>
            </w:pPr>
            <w:r>
              <w:rPr>
                <w:b/>
                <w:color w:val="FFFFFF" w:themeColor="background1"/>
              </w:rPr>
              <w:t>Medicinal cannabis for inhalation products</w:t>
            </w:r>
          </w:p>
        </w:tc>
        <w:tc>
          <w:tcPr>
            <w:tcW w:w="1919" w:type="dxa"/>
            <w:tcBorders>
              <w:bottom w:val="single" w:sz="4" w:space="0" w:color="FFFFFF" w:themeColor="background1"/>
            </w:tcBorders>
            <w:shd w:val="clear" w:color="auto" w:fill="076283"/>
          </w:tcPr>
          <w:p w14:paraId="6248D042" w14:textId="77777777" w:rsidR="00057933" w:rsidRPr="007E1AE6" w:rsidRDefault="00057933" w:rsidP="009A7E53">
            <w:pPr>
              <w:pStyle w:val="TableText"/>
              <w:rPr>
                <w:b/>
                <w:color w:val="FFFFFF" w:themeColor="background1"/>
              </w:rPr>
            </w:pPr>
            <w:r>
              <w:rPr>
                <w:b/>
                <w:color w:val="FFFFFF" w:themeColor="background1"/>
              </w:rPr>
              <w:t>Medicinal cannabis for non-inhalation products</w:t>
            </w:r>
          </w:p>
        </w:tc>
      </w:tr>
      <w:tr w:rsidR="00057933" w:rsidRPr="00490081" w14:paraId="739489A0" w14:textId="77777777" w:rsidTr="00057933">
        <w:trPr>
          <w:cantSplit/>
          <w:trHeight w:val="543"/>
          <w:tblHeader/>
          <w:jc w:val="center"/>
        </w:trPr>
        <w:tc>
          <w:tcPr>
            <w:tcW w:w="4959" w:type="dxa"/>
            <w:shd w:val="clear" w:color="auto" w:fill="076283"/>
          </w:tcPr>
          <w:p w14:paraId="738DAAAD" w14:textId="77777777" w:rsidR="00057933" w:rsidRPr="007E1AE6" w:rsidRDefault="00057933" w:rsidP="009A7E53">
            <w:pPr>
              <w:pStyle w:val="TableText"/>
              <w:rPr>
                <w:color w:val="FFFFFF" w:themeColor="background1"/>
              </w:rPr>
            </w:pPr>
            <w:r>
              <w:rPr>
                <w:color w:val="FFFFFF" w:themeColor="background1"/>
              </w:rPr>
              <w:t xml:space="preserve">Pesticide use must be permitted in the country that the medicinal cannabis is grown. </w:t>
            </w:r>
          </w:p>
        </w:tc>
        <w:tc>
          <w:tcPr>
            <w:tcW w:w="1919" w:type="dxa"/>
            <w:tcBorders>
              <w:bottom w:val="single" w:sz="4" w:space="0" w:color="FFFFFF" w:themeColor="background1"/>
            </w:tcBorders>
            <w:shd w:val="clear" w:color="auto" w:fill="B4CFD9"/>
            <w:vAlign w:val="center"/>
          </w:tcPr>
          <w:p w14:paraId="1CD99CC5" w14:textId="77777777" w:rsidR="00057933" w:rsidRPr="00D86CC7" w:rsidRDefault="00057933" w:rsidP="00057933">
            <w:pPr>
              <w:pStyle w:val="TableText"/>
              <w:numPr>
                <w:ilvl w:val="0"/>
                <w:numId w:val="7"/>
              </w:numPr>
              <w:jc w:val="center"/>
              <w:rPr>
                <w:sz w:val="14"/>
                <w:szCs w:val="16"/>
              </w:rPr>
            </w:pPr>
          </w:p>
        </w:tc>
        <w:tc>
          <w:tcPr>
            <w:tcW w:w="1919" w:type="dxa"/>
            <w:tcBorders>
              <w:bottom w:val="single" w:sz="4" w:space="0" w:color="FFFFFF" w:themeColor="background1"/>
            </w:tcBorders>
            <w:shd w:val="clear" w:color="auto" w:fill="B4CFD9"/>
            <w:vAlign w:val="center"/>
          </w:tcPr>
          <w:p w14:paraId="635FF706" w14:textId="77777777" w:rsidR="00057933" w:rsidRPr="00D86CC7" w:rsidRDefault="00057933" w:rsidP="00057933">
            <w:pPr>
              <w:pStyle w:val="TableText"/>
              <w:numPr>
                <w:ilvl w:val="0"/>
                <w:numId w:val="7"/>
              </w:numPr>
              <w:jc w:val="center"/>
              <w:rPr>
                <w:sz w:val="14"/>
                <w:szCs w:val="16"/>
              </w:rPr>
            </w:pPr>
          </w:p>
        </w:tc>
      </w:tr>
      <w:tr w:rsidR="00057933" w:rsidRPr="00490081" w14:paraId="0FF637A1" w14:textId="77777777" w:rsidTr="00057933">
        <w:trPr>
          <w:cantSplit/>
          <w:trHeight w:val="236"/>
          <w:tblHeader/>
          <w:jc w:val="center"/>
        </w:trPr>
        <w:tc>
          <w:tcPr>
            <w:tcW w:w="4959" w:type="dxa"/>
            <w:shd w:val="clear" w:color="auto" w:fill="076283"/>
          </w:tcPr>
          <w:p w14:paraId="2470C746" w14:textId="77777777" w:rsidR="00057933" w:rsidRPr="007E1AE6" w:rsidRDefault="00057933" w:rsidP="009A7E53">
            <w:pPr>
              <w:pStyle w:val="TableText"/>
              <w:rPr>
                <w:color w:val="FFFFFF" w:themeColor="background1"/>
              </w:rPr>
            </w:pPr>
            <w:r>
              <w:rPr>
                <w:color w:val="FFFFFF" w:themeColor="background1"/>
              </w:rPr>
              <w:t>Pesticide products specifically authorised for use on medicinal cannabis may be used. Details of the assessment authorising use must be provided and label conditions must be followed.</w:t>
            </w:r>
          </w:p>
        </w:tc>
        <w:tc>
          <w:tcPr>
            <w:tcW w:w="1919" w:type="dxa"/>
            <w:tcBorders>
              <w:bottom w:val="single" w:sz="4" w:space="0" w:color="FFFFFF" w:themeColor="background1"/>
            </w:tcBorders>
            <w:shd w:val="clear" w:color="auto" w:fill="D9E7EC"/>
            <w:vAlign w:val="center"/>
          </w:tcPr>
          <w:p w14:paraId="15997D8F" w14:textId="77777777" w:rsidR="00057933" w:rsidRPr="00D86CC7" w:rsidRDefault="00057933" w:rsidP="00057933">
            <w:pPr>
              <w:pStyle w:val="TableText"/>
              <w:numPr>
                <w:ilvl w:val="0"/>
                <w:numId w:val="7"/>
              </w:numPr>
              <w:jc w:val="center"/>
              <w:rPr>
                <w:sz w:val="14"/>
                <w:szCs w:val="16"/>
              </w:rPr>
            </w:pPr>
          </w:p>
        </w:tc>
        <w:tc>
          <w:tcPr>
            <w:tcW w:w="1919" w:type="dxa"/>
            <w:tcBorders>
              <w:bottom w:val="single" w:sz="4" w:space="0" w:color="FFFFFF" w:themeColor="background1"/>
            </w:tcBorders>
            <w:shd w:val="clear" w:color="auto" w:fill="D9E7EC"/>
            <w:vAlign w:val="center"/>
          </w:tcPr>
          <w:p w14:paraId="3C72821C" w14:textId="77777777" w:rsidR="00057933" w:rsidRPr="00D86CC7" w:rsidRDefault="00057933" w:rsidP="00057933">
            <w:pPr>
              <w:pStyle w:val="TableText"/>
              <w:numPr>
                <w:ilvl w:val="0"/>
                <w:numId w:val="7"/>
              </w:numPr>
              <w:jc w:val="center"/>
              <w:rPr>
                <w:sz w:val="14"/>
                <w:szCs w:val="16"/>
              </w:rPr>
            </w:pPr>
          </w:p>
        </w:tc>
      </w:tr>
      <w:tr w:rsidR="00057933" w:rsidRPr="00490081" w14:paraId="4FD0052B" w14:textId="77777777" w:rsidTr="00057933">
        <w:trPr>
          <w:cantSplit/>
          <w:trHeight w:val="236"/>
          <w:tblHeader/>
          <w:jc w:val="center"/>
        </w:trPr>
        <w:tc>
          <w:tcPr>
            <w:tcW w:w="4959" w:type="dxa"/>
            <w:shd w:val="clear" w:color="auto" w:fill="076283"/>
          </w:tcPr>
          <w:p w14:paraId="73C0CB97" w14:textId="77777777" w:rsidR="00057933" w:rsidRDefault="00057933" w:rsidP="009A7E53">
            <w:pPr>
              <w:pStyle w:val="TableText"/>
              <w:rPr>
                <w:color w:val="FFFFFF" w:themeColor="background1"/>
              </w:rPr>
            </w:pPr>
            <w:r>
              <w:rPr>
                <w:color w:val="FFFFFF" w:themeColor="background1"/>
              </w:rPr>
              <w:t>Pesticides with active ingredients listed in the Regulations may be used.</w:t>
            </w:r>
          </w:p>
        </w:tc>
        <w:tc>
          <w:tcPr>
            <w:tcW w:w="1919" w:type="dxa"/>
            <w:tcBorders>
              <w:bottom w:val="single" w:sz="4" w:space="0" w:color="FFFFFF" w:themeColor="background1"/>
            </w:tcBorders>
            <w:shd w:val="clear" w:color="auto" w:fill="B4CFD9"/>
            <w:vAlign w:val="center"/>
          </w:tcPr>
          <w:p w14:paraId="464F5139" w14:textId="77777777" w:rsidR="00057933" w:rsidRPr="00D86CC7" w:rsidRDefault="00057933" w:rsidP="00057933">
            <w:pPr>
              <w:pStyle w:val="TableText"/>
              <w:numPr>
                <w:ilvl w:val="0"/>
                <w:numId w:val="7"/>
              </w:numPr>
              <w:jc w:val="center"/>
              <w:rPr>
                <w:sz w:val="14"/>
                <w:szCs w:val="16"/>
              </w:rPr>
            </w:pPr>
          </w:p>
        </w:tc>
        <w:tc>
          <w:tcPr>
            <w:tcW w:w="1919" w:type="dxa"/>
            <w:tcBorders>
              <w:bottom w:val="single" w:sz="4" w:space="0" w:color="FFFFFF" w:themeColor="background1"/>
            </w:tcBorders>
            <w:shd w:val="clear" w:color="auto" w:fill="B4CFD9"/>
            <w:vAlign w:val="center"/>
          </w:tcPr>
          <w:p w14:paraId="6BEBCACD" w14:textId="77777777" w:rsidR="00057933" w:rsidRPr="00D86CC7" w:rsidRDefault="00057933" w:rsidP="00057933">
            <w:pPr>
              <w:pStyle w:val="TableText"/>
              <w:numPr>
                <w:ilvl w:val="0"/>
                <w:numId w:val="7"/>
              </w:numPr>
              <w:jc w:val="center"/>
              <w:rPr>
                <w:sz w:val="14"/>
                <w:szCs w:val="16"/>
              </w:rPr>
            </w:pPr>
          </w:p>
        </w:tc>
      </w:tr>
      <w:tr w:rsidR="00057933" w:rsidRPr="00490081" w14:paraId="79C9FDC6" w14:textId="77777777" w:rsidTr="00057933">
        <w:trPr>
          <w:cantSplit/>
          <w:trHeight w:val="236"/>
          <w:tblHeader/>
          <w:jc w:val="center"/>
        </w:trPr>
        <w:tc>
          <w:tcPr>
            <w:tcW w:w="4959" w:type="dxa"/>
            <w:shd w:val="clear" w:color="auto" w:fill="076283"/>
          </w:tcPr>
          <w:p w14:paraId="7A6335A2" w14:textId="77777777" w:rsidR="00057933" w:rsidRDefault="00057933" w:rsidP="009A7E53">
            <w:pPr>
              <w:pStyle w:val="TableText"/>
              <w:rPr>
                <w:color w:val="FFFFFF" w:themeColor="background1"/>
              </w:rPr>
            </w:pPr>
            <w:r>
              <w:rPr>
                <w:color w:val="FFFFFF" w:themeColor="background1"/>
              </w:rPr>
              <w:t xml:space="preserve">Pesticides with active ingredients listed in Schedule 2 of the </w:t>
            </w:r>
            <w:hyperlink r:id="rId31" w:history="1">
              <w:r w:rsidRPr="00A525E3">
                <w:rPr>
                  <w:rStyle w:val="Hyperlink"/>
                  <w:color w:val="B6DDE8" w:themeColor="accent5" w:themeTint="66"/>
                  <w:sz w:val="18"/>
                </w:rPr>
                <w:t>Food Notice: Maximum Residue Levels for Agricultural Compounds</w:t>
              </w:r>
            </w:hyperlink>
            <w:r w:rsidRPr="00A525E3">
              <w:rPr>
                <w:color w:val="B6DDE8" w:themeColor="accent5" w:themeTint="66"/>
              </w:rPr>
              <w:t xml:space="preserve"> </w:t>
            </w:r>
            <w:r>
              <w:rPr>
                <w:color w:val="FFFFFF" w:themeColor="background1"/>
              </w:rPr>
              <w:t>may be used</w:t>
            </w:r>
          </w:p>
        </w:tc>
        <w:tc>
          <w:tcPr>
            <w:tcW w:w="1919" w:type="dxa"/>
            <w:tcBorders>
              <w:bottom w:val="single" w:sz="4" w:space="0" w:color="FFFFFF" w:themeColor="background1"/>
            </w:tcBorders>
            <w:shd w:val="clear" w:color="auto" w:fill="D9E7EC"/>
            <w:vAlign w:val="center"/>
          </w:tcPr>
          <w:p w14:paraId="4B0D8116" w14:textId="77777777" w:rsidR="00057933" w:rsidRPr="00D86CC7" w:rsidRDefault="00057933" w:rsidP="009A7E53">
            <w:pPr>
              <w:pStyle w:val="TableText"/>
              <w:ind w:left="720"/>
              <w:rPr>
                <w:sz w:val="14"/>
                <w:szCs w:val="16"/>
              </w:rPr>
            </w:pPr>
          </w:p>
        </w:tc>
        <w:tc>
          <w:tcPr>
            <w:tcW w:w="1919" w:type="dxa"/>
            <w:tcBorders>
              <w:bottom w:val="single" w:sz="4" w:space="0" w:color="FFFFFF" w:themeColor="background1"/>
            </w:tcBorders>
            <w:shd w:val="clear" w:color="auto" w:fill="D9E7EC"/>
            <w:vAlign w:val="center"/>
          </w:tcPr>
          <w:p w14:paraId="601DFEEF" w14:textId="77777777" w:rsidR="00057933" w:rsidRPr="00D86CC7" w:rsidRDefault="00057933" w:rsidP="00057933">
            <w:pPr>
              <w:pStyle w:val="TableText"/>
              <w:numPr>
                <w:ilvl w:val="0"/>
                <w:numId w:val="7"/>
              </w:numPr>
              <w:jc w:val="center"/>
              <w:rPr>
                <w:sz w:val="14"/>
                <w:szCs w:val="16"/>
              </w:rPr>
            </w:pPr>
          </w:p>
        </w:tc>
      </w:tr>
      <w:tr w:rsidR="00057933" w:rsidRPr="00490081" w14:paraId="1E7FD2F4" w14:textId="77777777" w:rsidTr="00057933">
        <w:trPr>
          <w:cantSplit/>
          <w:trHeight w:val="236"/>
          <w:tblHeader/>
          <w:jc w:val="center"/>
        </w:trPr>
        <w:tc>
          <w:tcPr>
            <w:tcW w:w="4959" w:type="dxa"/>
            <w:shd w:val="clear" w:color="auto" w:fill="076283"/>
          </w:tcPr>
          <w:p w14:paraId="551984CC" w14:textId="77777777" w:rsidR="00057933" w:rsidRDefault="00057933" w:rsidP="009A7E53">
            <w:pPr>
              <w:pStyle w:val="TableText"/>
              <w:rPr>
                <w:color w:val="FFFFFF" w:themeColor="background1"/>
              </w:rPr>
            </w:pPr>
            <w:r>
              <w:rPr>
                <w:color w:val="FFFFFF" w:themeColor="background1"/>
              </w:rPr>
              <w:t>Pesticide</w:t>
            </w:r>
            <w:r w:rsidRPr="007C3C07">
              <w:rPr>
                <w:color w:val="FFFFFF" w:themeColor="background1"/>
              </w:rPr>
              <w:t xml:space="preserve"> active ingredients in A</w:t>
            </w:r>
            <w:r>
              <w:rPr>
                <w:color w:val="FFFFFF" w:themeColor="background1"/>
              </w:rPr>
              <w:t xml:space="preserve">gricultural Compounds and Veterinary Medicines Act 1997 </w:t>
            </w:r>
            <w:r w:rsidRPr="007C3C07">
              <w:rPr>
                <w:color w:val="FFFFFF" w:themeColor="background1"/>
              </w:rPr>
              <w:t xml:space="preserve">registered products, that are allowed for use on food, and may be used </w:t>
            </w:r>
            <w:r>
              <w:rPr>
                <w:color w:val="FFFFFF" w:themeColor="background1"/>
              </w:rPr>
              <w:t xml:space="preserve">(as </w:t>
            </w:r>
            <w:r w:rsidRPr="007C3C07">
              <w:rPr>
                <w:color w:val="FFFFFF" w:themeColor="background1"/>
              </w:rPr>
              <w:t>off label</w:t>
            </w:r>
            <w:r>
              <w:rPr>
                <w:color w:val="FFFFFF" w:themeColor="background1"/>
              </w:rPr>
              <w:t xml:space="preserve"> use). Pesticide products used in New Zealand must be registered products. Pesticide products used overseas must be permitted for use on foods in the country of use.</w:t>
            </w:r>
          </w:p>
        </w:tc>
        <w:tc>
          <w:tcPr>
            <w:tcW w:w="1919" w:type="dxa"/>
            <w:tcBorders>
              <w:bottom w:val="single" w:sz="4" w:space="0" w:color="FFFFFF" w:themeColor="background1"/>
            </w:tcBorders>
            <w:shd w:val="clear" w:color="auto" w:fill="B4CFD9"/>
            <w:vAlign w:val="center"/>
          </w:tcPr>
          <w:p w14:paraId="4F08674A" w14:textId="77777777" w:rsidR="00057933" w:rsidRPr="00D86CC7" w:rsidRDefault="00057933" w:rsidP="009A7E53">
            <w:pPr>
              <w:pStyle w:val="TableText"/>
              <w:ind w:left="720"/>
              <w:rPr>
                <w:sz w:val="14"/>
                <w:szCs w:val="16"/>
              </w:rPr>
            </w:pPr>
          </w:p>
        </w:tc>
        <w:tc>
          <w:tcPr>
            <w:tcW w:w="1919" w:type="dxa"/>
            <w:tcBorders>
              <w:bottom w:val="single" w:sz="4" w:space="0" w:color="FFFFFF" w:themeColor="background1"/>
            </w:tcBorders>
            <w:shd w:val="clear" w:color="auto" w:fill="B4CFD9"/>
            <w:vAlign w:val="center"/>
          </w:tcPr>
          <w:p w14:paraId="106F7247" w14:textId="77777777" w:rsidR="00057933" w:rsidRPr="00D86CC7" w:rsidRDefault="00057933" w:rsidP="00057933">
            <w:pPr>
              <w:pStyle w:val="TableText"/>
              <w:numPr>
                <w:ilvl w:val="0"/>
                <w:numId w:val="7"/>
              </w:numPr>
              <w:jc w:val="center"/>
              <w:rPr>
                <w:sz w:val="14"/>
                <w:szCs w:val="16"/>
              </w:rPr>
            </w:pPr>
          </w:p>
        </w:tc>
      </w:tr>
      <w:tr w:rsidR="00057933" w:rsidRPr="00490081" w14:paraId="4CCA661D" w14:textId="77777777" w:rsidTr="00057933">
        <w:trPr>
          <w:cantSplit/>
          <w:trHeight w:val="236"/>
          <w:tblHeader/>
          <w:jc w:val="center"/>
        </w:trPr>
        <w:tc>
          <w:tcPr>
            <w:tcW w:w="4959" w:type="dxa"/>
            <w:shd w:val="clear" w:color="auto" w:fill="076283"/>
          </w:tcPr>
          <w:p w14:paraId="28CCA738" w14:textId="77777777" w:rsidR="00057933" w:rsidRDefault="00057933" w:rsidP="009A7E53">
            <w:pPr>
              <w:pStyle w:val="TableText"/>
              <w:rPr>
                <w:color w:val="FFFFFF" w:themeColor="background1"/>
              </w:rPr>
            </w:pPr>
            <w:r>
              <w:rPr>
                <w:color w:val="FFFFFF" w:themeColor="background1"/>
              </w:rPr>
              <w:t>Residues in Regulation 7 must be tested for.</w:t>
            </w:r>
          </w:p>
        </w:tc>
        <w:tc>
          <w:tcPr>
            <w:tcW w:w="1919" w:type="dxa"/>
            <w:tcBorders>
              <w:bottom w:val="single" w:sz="4" w:space="0" w:color="FFFFFF" w:themeColor="background1"/>
            </w:tcBorders>
            <w:shd w:val="clear" w:color="auto" w:fill="D9E7EC"/>
            <w:vAlign w:val="center"/>
          </w:tcPr>
          <w:p w14:paraId="4E37DB3F" w14:textId="77777777" w:rsidR="00057933" w:rsidRPr="00D86CC7" w:rsidRDefault="00057933" w:rsidP="00057933">
            <w:pPr>
              <w:pStyle w:val="TableText"/>
              <w:numPr>
                <w:ilvl w:val="0"/>
                <w:numId w:val="8"/>
              </w:numPr>
              <w:ind w:left="879"/>
              <w:rPr>
                <w:sz w:val="14"/>
                <w:szCs w:val="16"/>
              </w:rPr>
            </w:pPr>
          </w:p>
        </w:tc>
        <w:tc>
          <w:tcPr>
            <w:tcW w:w="1919" w:type="dxa"/>
            <w:tcBorders>
              <w:bottom w:val="single" w:sz="4" w:space="0" w:color="FFFFFF" w:themeColor="background1"/>
            </w:tcBorders>
            <w:shd w:val="clear" w:color="auto" w:fill="D9E7EC"/>
            <w:vAlign w:val="center"/>
          </w:tcPr>
          <w:p w14:paraId="4FE2D9CD" w14:textId="77777777" w:rsidR="00057933" w:rsidRPr="00D86CC7" w:rsidRDefault="00057933" w:rsidP="00057933">
            <w:pPr>
              <w:pStyle w:val="TableText"/>
              <w:numPr>
                <w:ilvl w:val="0"/>
                <w:numId w:val="7"/>
              </w:numPr>
              <w:jc w:val="center"/>
              <w:rPr>
                <w:sz w:val="14"/>
                <w:szCs w:val="16"/>
              </w:rPr>
            </w:pPr>
          </w:p>
        </w:tc>
      </w:tr>
      <w:tr w:rsidR="00057933" w:rsidRPr="00490081" w14:paraId="6916611B" w14:textId="77777777" w:rsidTr="00057933">
        <w:trPr>
          <w:cantSplit/>
          <w:trHeight w:val="236"/>
          <w:tblHeader/>
          <w:jc w:val="center"/>
        </w:trPr>
        <w:tc>
          <w:tcPr>
            <w:tcW w:w="4959" w:type="dxa"/>
            <w:shd w:val="clear" w:color="auto" w:fill="076283"/>
          </w:tcPr>
          <w:p w14:paraId="0BBC3BCF" w14:textId="77777777" w:rsidR="00057933" w:rsidRDefault="00057933" w:rsidP="009A7E53">
            <w:pPr>
              <w:pStyle w:val="TableText"/>
              <w:rPr>
                <w:color w:val="FFFFFF" w:themeColor="background1"/>
              </w:rPr>
            </w:pPr>
            <w:r>
              <w:rPr>
                <w:color w:val="FFFFFF" w:themeColor="background1"/>
              </w:rPr>
              <w:t xml:space="preserve">Residues of any pesticides that may be used which are not on this list or in Schedule 2 of the </w:t>
            </w:r>
            <w:hyperlink r:id="rId32" w:history="1">
              <w:r w:rsidRPr="00A525E3">
                <w:rPr>
                  <w:rStyle w:val="Hyperlink"/>
                  <w:color w:val="B6DDE8" w:themeColor="accent5" w:themeTint="66"/>
                  <w:sz w:val="18"/>
                </w:rPr>
                <w:t>Food Notice: Maximum Residue Levels for Agricultural Compounds</w:t>
              </w:r>
            </w:hyperlink>
            <w:r w:rsidRPr="00A525E3">
              <w:rPr>
                <w:color w:val="B6DDE8" w:themeColor="accent5" w:themeTint="66"/>
              </w:rPr>
              <w:t xml:space="preserve"> </w:t>
            </w:r>
            <w:r>
              <w:rPr>
                <w:color w:val="FFFFFF" w:themeColor="background1"/>
              </w:rPr>
              <w:t>must be tested for</w:t>
            </w:r>
          </w:p>
        </w:tc>
        <w:tc>
          <w:tcPr>
            <w:tcW w:w="1919" w:type="dxa"/>
            <w:tcBorders>
              <w:bottom w:val="single" w:sz="4" w:space="0" w:color="FFFFFF" w:themeColor="background1"/>
            </w:tcBorders>
            <w:shd w:val="clear" w:color="auto" w:fill="B4CFD9"/>
            <w:vAlign w:val="center"/>
          </w:tcPr>
          <w:p w14:paraId="4F4F1C6F" w14:textId="77777777" w:rsidR="00057933" w:rsidRPr="00D86CC7" w:rsidRDefault="00057933" w:rsidP="009A7E53">
            <w:pPr>
              <w:pStyle w:val="TableText"/>
              <w:ind w:left="360"/>
              <w:rPr>
                <w:sz w:val="14"/>
                <w:szCs w:val="16"/>
              </w:rPr>
            </w:pPr>
          </w:p>
        </w:tc>
        <w:tc>
          <w:tcPr>
            <w:tcW w:w="1919" w:type="dxa"/>
            <w:tcBorders>
              <w:bottom w:val="single" w:sz="4" w:space="0" w:color="FFFFFF" w:themeColor="background1"/>
            </w:tcBorders>
            <w:shd w:val="clear" w:color="auto" w:fill="B4CFD9"/>
            <w:vAlign w:val="center"/>
          </w:tcPr>
          <w:p w14:paraId="2902BCEC" w14:textId="77777777" w:rsidR="00057933" w:rsidRPr="00D86CC7" w:rsidRDefault="00057933" w:rsidP="00057933">
            <w:pPr>
              <w:pStyle w:val="TableText"/>
              <w:numPr>
                <w:ilvl w:val="0"/>
                <w:numId w:val="7"/>
              </w:numPr>
              <w:jc w:val="center"/>
              <w:rPr>
                <w:sz w:val="14"/>
                <w:szCs w:val="16"/>
              </w:rPr>
            </w:pPr>
          </w:p>
        </w:tc>
      </w:tr>
    </w:tbl>
    <w:p w14:paraId="1A982B91" w14:textId="77777777" w:rsidR="00057933" w:rsidRDefault="00057933" w:rsidP="00057933">
      <w:pPr>
        <w:spacing w:before="0" w:line="240" w:lineRule="auto"/>
      </w:pPr>
    </w:p>
    <w:p w14:paraId="5ACC1C96" w14:textId="77777777" w:rsidR="00057933" w:rsidRPr="007653E3" w:rsidRDefault="00057933" w:rsidP="00057933">
      <w:pPr>
        <w:spacing w:before="0" w:line="240" w:lineRule="auto"/>
      </w:pPr>
      <w:r>
        <w:t xml:space="preserve">Whilst we have provided a summary of the changes to pesticide requirements above, the changes to pesticide requirements have been outlined in full in the </w:t>
      </w:r>
      <w:r w:rsidRPr="007D7321">
        <w:rPr>
          <w:b/>
          <w:bCs/>
          <w:i/>
          <w:iCs/>
          <w:lang w:eastAsia="en-NZ"/>
        </w:rPr>
        <w:t>Guideline on the regulation of medicinal cannabis in New Zealand: Pesticide use on medicinal cannabis,</w:t>
      </w:r>
      <w:r>
        <w:t xml:space="preserve"> and it is highly recommended that you refer to the full Guideline. </w:t>
      </w:r>
      <w:bookmarkStart w:id="73" w:name="_Other_minor_technical"/>
      <w:bookmarkStart w:id="74" w:name="_Other_minor_technical_1"/>
      <w:bookmarkStart w:id="75" w:name="_Toc33791070"/>
      <w:bookmarkStart w:id="76" w:name="_Toc33791071"/>
      <w:bookmarkStart w:id="77" w:name="_Toc33791072"/>
      <w:bookmarkStart w:id="78" w:name="_Toc33791073"/>
      <w:bookmarkStart w:id="79" w:name="_Toc33791074"/>
      <w:bookmarkStart w:id="80" w:name="_Toc33791075"/>
      <w:bookmarkStart w:id="81" w:name="_Toc33791078"/>
      <w:bookmarkStart w:id="82" w:name="_Toc33791080"/>
      <w:bookmarkStart w:id="83" w:name="_Toc33791081"/>
      <w:bookmarkStart w:id="84" w:name="_Toc33791082"/>
      <w:bookmarkStart w:id="85" w:name="_Toc33791083"/>
      <w:bookmarkStart w:id="86" w:name="_Toc33791084"/>
      <w:bookmarkStart w:id="87" w:name="_Toc33791085"/>
      <w:bookmarkStart w:id="88" w:name="_Toc33791086"/>
      <w:bookmarkStart w:id="89" w:name="_Toc33791087"/>
      <w:bookmarkStart w:id="90" w:name="_Toc33791088"/>
      <w:bookmarkStart w:id="91" w:name="_Toc33711254"/>
      <w:bookmarkStart w:id="92" w:name="_Toc33711306"/>
      <w:bookmarkStart w:id="93" w:name="_Toc33711345"/>
      <w:bookmarkStart w:id="94" w:name="_Toc33773410"/>
      <w:bookmarkStart w:id="95" w:name="_Toc33791189"/>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8"/>
    <w:p w14:paraId="082A7EBA" w14:textId="77777777" w:rsidR="00057933" w:rsidRPr="00057933" w:rsidRDefault="00057933" w:rsidP="00057933"/>
    <w:sectPr w:rsidR="00057933" w:rsidRPr="00057933" w:rsidSect="00B10EF9">
      <w:pgSz w:w="11907" w:h="16834" w:code="9"/>
      <w:pgMar w:top="1418" w:right="1418" w:bottom="1418" w:left="1418"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D3CF" w14:textId="77777777" w:rsidR="00884684" w:rsidRDefault="00884684">
      <w:r>
        <w:separator/>
      </w:r>
    </w:p>
    <w:p w14:paraId="45008CEF" w14:textId="77777777" w:rsidR="00884684" w:rsidRDefault="00884684"/>
  </w:endnote>
  <w:endnote w:type="continuationSeparator" w:id="0">
    <w:p w14:paraId="3AF73AAB" w14:textId="77777777" w:rsidR="00884684" w:rsidRDefault="00884684">
      <w:r>
        <w:continuationSeparator/>
      </w:r>
    </w:p>
    <w:p w14:paraId="39927C73" w14:textId="77777777" w:rsidR="00884684" w:rsidRDefault="00884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3BC2" w14:textId="77777777" w:rsidR="00602903" w:rsidRDefault="00602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129"/>
      <w:gridCol w:w="1498"/>
      <w:gridCol w:w="7289"/>
    </w:tblGrid>
    <w:tr w:rsidR="00530526"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530526" w:rsidRPr="00702088" w:rsidRDefault="00530526"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26A36183" w:rsidR="00530526" w:rsidRPr="00702088" w:rsidRDefault="00530526"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602903">
            <w:rPr>
              <w:b/>
              <w:color w:val="FFFFFF" w:themeColor="background1"/>
              <w:sz w:val="18"/>
              <w:szCs w:val="18"/>
              <w:lang w:val="en-NZ"/>
            </w:rPr>
            <w:t>1</w:t>
          </w:r>
          <w:r w:rsidRPr="00702088">
            <w:rPr>
              <w:b/>
              <w:color w:val="FFFFFF" w:themeColor="background1"/>
              <w:sz w:val="18"/>
              <w:szCs w:val="18"/>
              <w:lang w:val="en-NZ"/>
            </w:rPr>
            <w:t>.0</w:t>
          </w:r>
          <w:r w:rsidRPr="00702088">
            <w:rPr>
              <w:color w:val="FFFFFF" w:themeColor="background1"/>
              <w:sz w:val="18"/>
              <w:szCs w:val="18"/>
              <w:lang w:val="en-NZ"/>
            </w:rPr>
            <w:br/>
          </w:r>
          <w:r w:rsidR="00B40FCA">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10074128" w:rsidR="00530526" w:rsidRPr="00702088" w:rsidRDefault="00A0734D" w:rsidP="00F11E28">
          <w:pPr>
            <w:pStyle w:val="Footer"/>
            <w:spacing w:before="120" w:after="120" w:line="240" w:lineRule="auto"/>
            <w:jc w:val="right"/>
            <w:rPr>
              <w:lang w:val="en-NZ"/>
            </w:rPr>
          </w:pPr>
          <w:r>
            <w:rPr>
              <w:noProof/>
            </w:rPr>
            <w:drawing>
              <wp:anchor distT="0" distB="0" distL="114300" distR="114300" simplePos="0" relativeHeight="251659264" behindDoc="0" locked="0" layoutInCell="1" allowOverlap="1" wp14:anchorId="015B5BAD" wp14:editId="308288B4">
                <wp:simplePos x="0" y="0"/>
                <wp:positionH relativeFrom="column">
                  <wp:posOffset>2651760</wp:posOffset>
                </wp:positionH>
                <wp:positionV relativeFrom="page">
                  <wp:posOffset>-66040</wp:posOffset>
                </wp:positionV>
                <wp:extent cx="2292350" cy="5422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530526" w:rsidRPr="00FB554D" w:rsidRDefault="00530526" w:rsidP="00FB554D">
    <w:pPr>
      <w:pStyle w:val="Foote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5DFD" w14:textId="77777777" w:rsidR="00602903" w:rsidRDefault="006029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530526" w14:paraId="226DF217" w14:textId="77777777" w:rsidTr="00707425">
      <w:trPr>
        <w:cantSplit/>
      </w:trPr>
      <w:tc>
        <w:tcPr>
          <w:tcW w:w="567" w:type="dxa"/>
          <w:vAlign w:val="center"/>
        </w:tcPr>
        <w:p w14:paraId="37BB3B93" w14:textId="77777777" w:rsidR="00530526" w:rsidRPr="00931466" w:rsidRDefault="00530526"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7265B04E" w:rsidR="00530526" w:rsidRDefault="00530526" w:rsidP="00F7308E">
          <w:pPr>
            <w:pStyle w:val="RectoFooter"/>
            <w:jc w:val="left"/>
          </w:pPr>
          <w:r>
            <w:t>Guideline on the Regulation of Medicinal Cannabis in New Zealand</w:t>
          </w:r>
          <w:r>
            <w:br/>
          </w:r>
          <w:r w:rsidR="00057933" w:rsidRPr="00057933">
            <w:t xml:space="preserve">Key changes to the Medicinal Cannabis Scheme </w:t>
          </w:r>
        </w:p>
      </w:tc>
    </w:tr>
  </w:tbl>
  <w:p w14:paraId="6EED2196" w14:textId="77777777" w:rsidR="00530526" w:rsidRPr="004751DA" w:rsidRDefault="00530526" w:rsidP="004751DA">
    <w:pPr>
      <w:spacing w:before="0"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530526" w:rsidRPr="004751DA" w:rsidRDefault="00530526" w:rsidP="004751DA">
    <w:pPr>
      <w:spacing w:before="0" w:line="240"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530526" w14:paraId="11367F58" w14:textId="77777777" w:rsidTr="00707425">
      <w:trPr>
        <w:cantSplit/>
      </w:trPr>
      <w:tc>
        <w:tcPr>
          <w:tcW w:w="8222" w:type="dxa"/>
          <w:vAlign w:val="center"/>
        </w:tcPr>
        <w:p w14:paraId="0B0367D3" w14:textId="7E579EC4" w:rsidR="00530526" w:rsidRDefault="00530526" w:rsidP="00F7308E">
          <w:pPr>
            <w:pStyle w:val="RectoFooter"/>
          </w:pPr>
          <w:r>
            <w:t>Guideline on the Regulation of Medicinal Cannabis in New Zealand</w:t>
          </w:r>
          <w:r>
            <w:br/>
          </w:r>
          <w:r w:rsidR="00057933" w:rsidRPr="00057933">
            <w:t>Key changes to the Medicinal Cannabis Scheme</w:t>
          </w:r>
        </w:p>
      </w:tc>
      <w:tc>
        <w:tcPr>
          <w:tcW w:w="567" w:type="dxa"/>
          <w:vAlign w:val="center"/>
        </w:tcPr>
        <w:p w14:paraId="1CB2C4D9" w14:textId="77777777" w:rsidR="00530526" w:rsidRPr="00931466" w:rsidRDefault="00530526"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72C00385" w14:textId="77777777" w:rsidR="00530526" w:rsidRPr="004751DA" w:rsidRDefault="00530526"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B086" w14:textId="77777777" w:rsidR="00884684" w:rsidRPr="00A26E6B" w:rsidRDefault="00884684" w:rsidP="00A26E6B"/>
  </w:footnote>
  <w:footnote w:type="continuationSeparator" w:id="0">
    <w:p w14:paraId="48833242" w14:textId="77777777" w:rsidR="00884684" w:rsidRDefault="00884684">
      <w:r>
        <w:continuationSeparator/>
      </w:r>
    </w:p>
    <w:p w14:paraId="6C2BE8B6" w14:textId="77777777" w:rsidR="00884684" w:rsidRDefault="00884684"/>
  </w:footnote>
  <w:footnote w:id="1">
    <w:p w14:paraId="7013BCD9" w14:textId="77777777" w:rsidR="00057933" w:rsidRDefault="00057933" w:rsidP="00057933">
      <w:pPr>
        <w:pStyle w:val="FootnoteText"/>
      </w:pPr>
      <w:r>
        <w:rPr>
          <w:rStyle w:val="FootnoteReference"/>
        </w:rPr>
        <w:footnoteRef/>
      </w:r>
      <w:r>
        <w:t xml:space="preserve"> As defined in section 2A of the Misuse of Drugs Act 1975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544A" w14:textId="77777777" w:rsidR="00602903" w:rsidRDefault="00602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530526" w14:paraId="77ADF5D4" w14:textId="77777777" w:rsidTr="00FB554D">
      <w:trPr>
        <w:cantSplit/>
      </w:trPr>
      <w:tc>
        <w:tcPr>
          <w:tcW w:w="5210" w:type="dxa"/>
        </w:tcPr>
        <w:p w14:paraId="388327EE" w14:textId="77777777" w:rsidR="00530526" w:rsidRDefault="00530526" w:rsidP="00FB554D">
          <w:pPr>
            <w:pStyle w:val="Header"/>
          </w:pPr>
          <w:r>
            <w:rPr>
              <w:noProof/>
              <w:lang w:eastAsia="en-NZ"/>
            </w:rPr>
            <w:drawing>
              <wp:inline distT="0" distB="0" distL="0" distR="0" wp14:anchorId="6E6A87C2" wp14:editId="586AD9CE">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56904C04" w:rsidR="00530526" w:rsidRDefault="00530526" w:rsidP="00FB554D">
          <w:pPr>
            <w:pStyle w:val="Header"/>
            <w:jc w:val="right"/>
          </w:pPr>
          <w:r>
            <w:rPr>
              <w:noProof/>
              <w:lang w:eastAsia="en-NZ"/>
            </w:rPr>
            <w:drawing>
              <wp:inline distT="0" distB="0" distL="0" distR="0" wp14:anchorId="78C126BE" wp14:editId="1632A8CD">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530526" w:rsidRPr="00FB554D" w:rsidRDefault="0053052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CD26" w14:textId="77777777" w:rsidR="00602903" w:rsidRDefault="006029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530526" w:rsidRDefault="00530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37CE42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025925"/>
    <w:multiLevelType w:val="hybridMultilevel"/>
    <w:tmpl w:val="EC7282A0"/>
    <w:lvl w:ilvl="0" w:tplc="984ABC04">
      <w:start w:val="1"/>
      <w:numFmt w:val="bullet"/>
      <w:lvlText w:val=""/>
      <w:lvlJc w:val="left"/>
      <w:pPr>
        <w:ind w:left="1440" w:hanging="360"/>
      </w:pPr>
      <w:rPr>
        <w:rFonts w:ascii="Wingdings" w:hAnsi="Wingdings" w:hint="default"/>
        <w:sz w:val="28"/>
        <w:szCs w:val="32"/>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7E4003"/>
    <w:multiLevelType w:val="hybridMultilevel"/>
    <w:tmpl w:val="B65458FE"/>
    <w:lvl w:ilvl="0" w:tplc="76C25EC8">
      <w:start w:val="1"/>
      <w:numFmt w:val="bullet"/>
      <w:lvlText w:val=""/>
      <w:lvlJc w:val="left"/>
      <w:pPr>
        <w:ind w:left="360" w:hanging="360"/>
      </w:pPr>
      <w:rPr>
        <w:rFonts w:ascii="Wingdings" w:hAnsi="Wingdings" w:hint="default"/>
        <w:sz w:val="30"/>
        <w:szCs w:val="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EC3448"/>
    <w:multiLevelType w:val="multilevel"/>
    <w:tmpl w:val="CC4C0EF2"/>
    <w:lvl w:ilvl="0">
      <w:start w:val="1"/>
      <w:numFmt w:val="decimal"/>
      <w:pStyle w:val="Heading1"/>
      <w:suff w:val="nothing"/>
      <w:lvlText w:val="Section %1: "/>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2055234312">
    <w:abstractNumId w:val="7"/>
  </w:num>
  <w:num w:numId="2" w16cid:durableId="269748183">
    <w:abstractNumId w:val="3"/>
  </w:num>
  <w:num w:numId="3" w16cid:durableId="594823112">
    <w:abstractNumId w:val="4"/>
  </w:num>
  <w:num w:numId="4" w16cid:durableId="440807250">
    <w:abstractNumId w:val="1"/>
  </w:num>
  <w:num w:numId="5" w16cid:durableId="317685023">
    <w:abstractNumId w:val="0"/>
  </w:num>
  <w:num w:numId="6" w16cid:durableId="1859276602">
    <w:abstractNumId w:val="6"/>
  </w:num>
  <w:num w:numId="7" w16cid:durableId="328796725">
    <w:abstractNumId w:val="5"/>
  </w:num>
  <w:num w:numId="8" w16cid:durableId="12528156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45A4"/>
    <w:rsid w:val="00025A6F"/>
    <w:rsid w:val="0002618D"/>
    <w:rsid w:val="00030746"/>
    <w:rsid w:val="00030B26"/>
    <w:rsid w:val="00030E84"/>
    <w:rsid w:val="00032C0A"/>
    <w:rsid w:val="00035257"/>
    <w:rsid w:val="00035C17"/>
    <w:rsid w:val="00035D68"/>
    <w:rsid w:val="00036027"/>
    <w:rsid w:val="00045613"/>
    <w:rsid w:val="00047899"/>
    <w:rsid w:val="00053921"/>
    <w:rsid w:val="00054B44"/>
    <w:rsid w:val="00057933"/>
    <w:rsid w:val="0006006B"/>
    <w:rsid w:val="0006228D"/>
    <w:rsid w:val="000712C6"/>
    <w:rsid w:val="00072BD6"/>
    <w:rsid w:val="000739AA"/>
    <w:rsid w:val="0007497C"/>
    <w:rsid w:val="00075B78"/>
    <w:rsid w:val="000763E9"/>
    <w:rsid w:val="00082CD6"/>
    <w:rsid w:val="00084151"/>
    <w:rsid w:val="0008437D"/>
    <w:rsid w:val="00085AFE"/>
    <w:rsid w:val="00094800"/>
    <w:rsid w:val="00094BC6"/>
    <w:rsid w:val="00095A52"/>
    <w:rsid w:val="000A0158"/>
    <w:rsid w:val="000A373D"/>
    <w:rsid w:val="000A41ED"/>
    <w:rsid w:val="000B0730"/>
    <w:rsid w:val="000B2F62"/>
    <w:rsid w:val="000C7335"/>
    <w:rsid w:val="000D19F4"/>
    <w:rsid w:val="000D37D6"/>
    <w:rsid w:val="000D58DD"/>
    <w:rsid w:val="000E7D0E"/>
    <w:rsid w:val="000F1F42"/>
    <w:rsid w:val="000F2AE2"/>
    <w:rsid w:val="000F2BFF"/>
    <w:rsid w:val="000F3765"/>
    <w:rsid w:val="00102063"/>
    <w:rsid w:val="0010541C"/>
    <w:rsid w:val="00105770"/>
    <w:rsid w:val="00106F93"/>
    <w:rsid w:val="00111D50"/>
    <w:rsid w:val="00112264"/>
    <w:rsid w:val="00113B8E"/>
    <w:rsid w:val="00117F59"/>
    <w:rsid w:val="0012053C"/>
    <w:rsid w:val="00122363"/>
    <w:rsid w:val="00125D45"/>
    <w:rsid w:val="001342C7"/>
    <w:rsid w:val="0013585C"/>
    <w:rsid w:val="00141538"/>
    <w:rsid w:val="00142261"/>
    <w:rsid w:val="00142954"/>
    <w:rsid w:val="001460E0"/>
    <w:rsid w:val="001472F0"/>
    <w:rsid w:val="00147F71"/>
    <w:rsid w:val="00150A6E"/>
    <w:rsid w:val="0016304B"/>
    <w:rsid w:val="0016318F"/>
    <w:rsid w:val="0016468A"/>
    <w:rsid w:val="00167677"/>
    <w:rsid w:val="0017070E"/>
    <w:rsid w:val="00174F02"/>
    <w:rsid w:val="001774AA"/>
    <w:rsid w:val="0018184B"/>
    <w:rsid w:val="0018376C"/>
    <w:rsid w:val="0018662D"/>
    <w:rsid w:val="00197427"/>
    <w:rsid w:val="001A21B4"/>
    <w:rsid w:val="001A5CF5"/>
    <w:rsid w:val="001B19C9"/>
    <w:rsid w:val="001B30E5"/>
    <w:rsid w:val="001B39D2"/>
    <w:rsid w:val="001B4BF8"/>
    <w:rsid w:val="001B7B14"/>
    <w:rsid w:val="001C0157"/>
    <w:rsid w:val="001C0FFF"/>
    <w:rsid w:val="001C30AE"/>
    <w:rsid w:val="001C4326"/>
    <w:rsid w:val="001C665E"/>
    <w:rsid w:val="001C678E"/>
    <w:rsid w:val="001D3541"/>
    <w:rsid w:val="001D3E4E"/>
    <w:rsid w:val="001E254A"/>
    <w:rsid w:val="001E7386"/>
    <w:rsid w:val="001F45A7"/>
    <w:rsid w:val="001F5E27"/>
    <w:rsid w:val="001F64C6"/>
    <w:rsid w:val="0020027C"/>
    <w:rsid w:val="00201A01"/>
    <w:rsid w:val="0020754B"/>
    <w:rsid w:val="002104D3"/>
    <w:rsid w:val="00213A33"/>
    <w:rsid w:val="0021763B"/>
    <w:rsid w:val="00225031"/>
    <w:rsid w:val="00232E9F"/>
    <w:rsid w:val="00235BF1"/>
    <w:rsid w:val="0023776A"/>
    <w:rsid w:val="00245748"/>
    <w:rsid w:val="00246DB1"/>
    <w:rsid w:val="002476B5"/>
    <w:rsid w:val="002520CC"/>
    <w:rsid w:val="00253ECF"/>
    <w:rsid w:val="00254044"/>
    <w:rsid w:val="002546A1"/>
    <w:rsid w:val="002575E8"/>
    <w:rsid w:val="00257EF1"/>
    <w:rsid w:val="00260582"/>
    <w:rsid w:val="002628F4"/>
    <w:rsid w:val="0027275C"/>
    <w:rsid w:val="0027461A"/>
    <w:rsid w:val="00275D08"/>
    <w:rsid w:val="002839AF"/>
    <w:rsid w:val="00283B1D"/>
    <w:rsid w:val="002842EA"/>
    <w:rsid w:val="002858E3"/>
    <w:rsid w:val="0029190A"/>
    <w:rsid w:val="00292C5A"/>
    <w:rsid w:val="00295241"/>
    <w:rsid w:val="002A4DFC"/>
    <w:rsid w:val="002B047D"/>
    <w:rsid w:val="002B732B"/>
    <w:rsid w:val="002B76A7"/>
    <w:rsid w:val="002B7BEC"/>
    <w:rsid w:val="002C0B97"/>
    <w:rsid w:val="002C1056"/>
    <w:rsid w:val="002C2219"/>
    <w:rsid w:val="002C2552"/>
    <w:rsid w:val="002C380A"/>
    <w:rsid w:val="002D0DF2"/>
    <w:rsid w:val="002D23BD"/>
    <w:rsid w:val="002E0B47"/>
    <w:rsid w:val="002E7563"/>
    <w:rsid w:val="002F3A0D"/>
    <w:rsid w:val="002F4685"/>
    <w:rsid w:val="002F7213"/>
    <w:rsid w:val="0030382F"/>
    <w:rsid w:val="0030408D"/>
    <w:rsid w:val="003060E4"/>
    <w:rsid w:val="00311CF4"/>
    <w:rsid w:val="003160E7"/>
    <w:rsid w:val="0031739E"/>
    <w:rsid w:val="00317DA3"/>
    <w:rsid w:val="00321381"/>
    <w:rsid w:val="003235C6"/>
    <w:rsid w:val="003309CA"/>
    <w:rsid w:val="00331A25"/>
    <w:rsid w:val="003325AB"/>
    <w:rsid w:val="00332709"/>
    <w:rsid w:val="003332D1"/>
    <w:rsid w:val="00333FED"/>
    <w:rsid w:val="0033412B"/>
    <w:rsid w:val="0033448B"/>
    <w:rsid w:val="00337838"/>
    <w:rsid w:val="00341161"/>
    <w:rsid w:val="00343230"/>
    <w:rsid w:val="00343365"/>
    <w:rsid w:val="003445F4"/>
    <w:rsid w:val="003450E8"/>
    <w:rsid w:val="00353501"/>
    <w:rsid w:val="00353734"/>
    <w:rsid w:val="003538D4"/>
    <w:rsid w:val="003545F5"/>
    <w:rsid w:val="003606F8"/>
    <w:rsid w:val="003648EF"/>
    <w:rsid w:val="003673E6"/>
    <w:rsid w:val="00371E7E"/>
    <w:rsid w:val="00377264"/>
    <w:rsid w:val="003779D2"/>
    <w:rsid w:val="0038199E"/>
    <w:rsid w:val="00385355"/>
    <w:rsid w:val="00385E38"/>
    <w:rsid w:val="00386795"/>
    <w:rsid w:val="00394F7F"/>
    <w:rsid w:val="003A26A5"/>
    <w:rsid w:val="003A3761"/>
    <w:rsid w:val="003A512D"/>
    <w:rsid w:val="003A5FEA"/>
    <w:rsid w:val="003A710B"/>
    <w:rsid w:val="003B1D10"/>
    <w:rsid w:val="003B57A0"/>
    <w:rsid w:val="003C310C"/>
    <w:rsid w:val="003C76D4"/>
    <w:rsid w:val="003D137D"/>
    <w:rsid w:val="003D2CC5"/>
    <w:rsid w:val="003D3E5C"/>
    <w:rsid w:val="003E04C1"/>
    <w:rsid w:val="003E0887"/>
    <w:rsid w:val="003E3865"/>
    <w:rsid w:val="003E484E"/>
    <w:rsid w:val="003E74C8"/>
    <w:rsid w:val="003E74E2"/>
    <w:rsid w:val="003E7C46"/>
    <w:rsid w:val="003F2106"/>
    <w:rsid w:val="003F44BE"/>
    <w:rsid w:val="003F52A7"/>
    <w:rsid w:val="003F7013"/>
    <w:rsid w:val="003F7F6A"/>
    <w:rsid w:val="0040240C"/>
    <w:rsid w:val="00413021"/>
    <w:rsid w:val="00414C35"/>
    <w:rsid w:val="004171B7"/>
    <w:rsid w:val="00420D66"/>
    <w:rsid w:val="00424C53"/>
    <w:rsid w:val="004301C6"/>
    <w:rsid w:val="00433FB2"/>
    <w:rsid w:val="0043478F"/>
    <w:rsid w:val="0043602B"/>
    <w:rsid w:val="004367D2"/>
    <w:rsid w:val="00440BE0"/>
    <w:rsid w:val="00440F14"/>
    <w:rsid w:val="00442A06"/>
    <w:rsid w:val="00442C1C"/>
    <w:rsid w:val="004448FE"/>
    <w:rsid w:val="0044584B"/>
    <w:rsid w:val="00447CB7"/>
    <w:rsid w:val="00455CC9"/>
    <w:rsid w:val="00460826"/>
    <w:rsid w:val="00460B1E"/>
    <w:rsid w:val="00460EA7"/>
    <w:rsid w:val="0046195B"/>
    <w:rsid w:val="0046210D"/>
    <w:rsid w:val="0046362D"/>
    <w:rsid w:val="0046596D"/>
    <w:rsid w:val="004751DA"/>
    <w:rsid w:val="00475F27"/>
    <w:rsid w:val="00482202"/>
    <w:rsid w:val="004852AB"/>
    <w:rsid w:val="00487C04"/>
    <w:rsid w:val="004907E1"/>
    <w:rsid w:val="00490900"/>
    <w:rsid w:val="00494C8E"/>
    <w:rsid w:val="004A035B"/>
    <w:rsid w:val="004A13D1"/>
    <w:rsid w:val="004A1E15"/>
    <w:rsid w:val="004A2108"/>
    <w:rsid w:val="004A38D7"/>
    <w:rsid w:val="004A5C95"/>
    <w:rsid w:val="004A778C"/>
    <w:rsid w:val="004B14DD"/>
    <w:rsid w:val="004B3536"/>
    <w:rsid w:val="004B48C7"/>
    <w:rsid w:val="004B7926"/>
    <w:rsid w:val="004C2E6A"/>
    <w:rsid w:val="004C64B8"/>
    <w:rsid w:val="004D2A2D"/>
    <w:rsid w:val="004D3914"/>
    <w:rsid w:val="004D479F"/>
    <w:rsid w:val="004D6689"/>
    <w:rsid w:val="004E1D1D"/>
    <w:rsid w:val="004E2375"/>
    <w:rsid w:val="004E333C"/>
    <w:rsid w:val="004E3A1B"/>
    <w:rsid w:val="004E7AC8"/>
    <w:rsid w:val="004F05F4"/>
    <w:rsid w:val="004F0C94"/>
    <w:rsid w:val="004F4ABE"/>
    <w:rsid w:val="005019AE"/>
    <w:rsid w:val="00503749"/>
    <w:rsid w:val="00503D59"/>
    <w:rsid w:val="00504CF4"/>
    <w:rsid w:val="0050635B"/>
    <w:rsid w:val="005075B3"/>
    <w:rsid w:val="00511891"/>
    <w:rsid w:val="005151C2"/>
    <w:rsid w:val="00515750"/>
    <w:rsid w:val="00521F20"/>
    <w:rsid w:val="00522A41"/>
    <w:rsid w:val="005275E8"/>
    <w:rsid w:val="00530526"/>
    <w:rsid w:val="005309FE"/>
    <w:rsid w:val="0053199F"/>
    <w:rsid w:val="00531E12"/>
    <w:rsid w:val="00533B90"/>
    <w:rsid w:val="005410F8"/>
    <w:rsid w:val="005448EC"/>
    <w:rsid w:val="0054528E"/>
    <w:rsid w:val="00545963"/>
    <w:rsid w:val="00550256"/>
    <w:rsid w:val="00553165"/>
    <w:rsid w:val="00553958"/>
    <w:rsid w:val="00556BB7"/>
    <w:rsid w:val="0055763D"/>
    <w:rsid w:val="00561516"/>
    <w:rsid w:val="005621F2"/>
    <w:rsid w:val="00567B58"/>
    <w:rsid w:val="00571223"/>
    <w:rsid w:val="005756F8"/>
    <w:rsid w:val="005763E0"/>
    <w:rsid w:val="00576C17"/>
    <w:rsid w:val="00581136"/>
    <w:rsid w:val="00581EB8"/>
    <w:rsid w:val="005827A6"/>
    <w:rsid w:val="005839E7"/>
    <w:rsid w:val="0058437F"/>
    <w:rsid w:val="0059368A"/>
    <w:rsid w:val="005A27CA"/>
    <w:rsid w:val="005A43BD"/>
    <w:rsid w:val="005A5C19"/>
    <w:rsid w:val="005A7968"/>
    <w:rsid w:val="005A79E5"/>
    <w:rsid w:val="005B59F3"/>
    <w:rsid w:val="005B68A6"/>
    <w:rsid w:val="005D034C"/>
    <w:rsid w:val="005D50B4"/>
    <w:rsid w:val="005E11C7"/>
    <w:rsid w:val="005E226E"/>
    <w:rsid w:val="005E2636"/>
    <w:rsid w:val="005E522D"/>
    <w:rsid w:val="005F0388"/>
    <w:rsid w:val="005F6B52"/>
    <w:rsid w:val="006015D7"/>
    <w:rsid w:val="00601B21"/>
    <w:rsid w:val="00602903"/>
    <w:rsid w:val="006041F0"/>
    <w:rsid w:val="00605BE8"/>
    <w:rsid w:val="00605C6D"/>
    <w:rsid w:val="00606CDC"/>
    <w:rsid w:val="00610487"/>
    <w:rsid w:val="006120CA"/>
    <w:rsid w:val="0061443A"/>
    <w:rsid w:val="00624174"/>
    <w:rsid w:val="00626CF8"/>
    <w:rsid w:val="006314AF"/>
    <w:rsid w:val="006331CD"/>
    <w:rsid w:val="00634003"/>
    <w:rsid w:val="006342BC"/>
    <w:rsid w:val="00634ED8"/>
    <w:rsid w:val="00635292"/>
    <w:rsid w:val="00636D7D"/>
    <w:rsid w:val="00637408"/>
    <w:rsid w:val="00642868"/>
    <w:rsid w:val="0064643B"/>
    <w:rsid w:val="00647AFE"/>
    <w:rsid w:val="00650417"/>
    <w:rsid w:val="006512BC"/>
    <w:rsid w:val="006524E1"/>
    <w:rsid w:val="00653A5A"/>
    <w:rsid w:val="006554AC"/>
    <w:rsid w:val="00656F28"/>
    <w:rsid w:val="006575F4"/>
    <w:rsid w:val="006579E6"/>
    <w:rsid w:val="00660682"/>
    <w:rsid w:val="00660F74"/>
    <w:rsid w:val="00663EDC"/>
    <w:rsid w:val="00671058"/>
    <w:rsid w:val="00671078"/>
    <w:rsid w:val="006758CA"/>
    <w:rsid w:val="00680A04"/>
    <w:rsid w:val="00686D80"/>
    <w:rsid w:val="00694895"/>
    <w:rsid w:val="00697E2E"/>
    <w:rsid w:val="006A25A2"/>
    <w:rsid w:val="006A3B87"/>
    <w:rsid w:val="006B0A88"/>
    <w:rsid w:val="006B0E73"/>
    <w:rsid w:val="006B1A77"/>
    <w:rsid w:val="006B1E3D"/>
    <w:rsid w:val="006B4A4D"/>
    <w:rsid w:val="006B5695"/>
    <w:rsid w:val="006B62E6"/>
    <w:rsid w:val="006B7B2E"/>
    <w:rsid w:val="006C06DD"/>
    <w:rsid w:val="006C377E"/>
    <w:rsid w:val="006C78EB"/>
    <w:rsid w:val="006C7C19"/>
    <w:rsid w:val="006D1660"/>
    <w:rsid w:val="006D63E5"/>
    <w:rsid w:val="006E1753"/>
    <w:rsid w:val="006E2886"/>
    <w:rsid w:val="006E31C4"/>
    <w:rsid w:val="006E3911"/>
    <w:rsid w:val="006E69F4"/>
    <w:rsid w:val="006F1B67"/>
    <w:rsid w:val="006F4D9C"/>
    <w:rsid w:val="006F5C10"/>
    <w:rsid w:val="006F7BA5"/>
    <w:rsid w:val="0070091D"/>
    <w:rsid w:val="00702088"/>
    <w:rsid w:val="00702854"/>
    <w:rsid w:val="00703E43"/>
    <w:rsid w:val="00705BAD"/>
    <w:rsid w:val="00707425"/>
    <w:rsid w:val="00712491"/>
    <w:rsid w:val="0071741C"/>
    <w:rsid w:val="00725D81"/>
    <w:rsid w:val="00726C84"/>
    <w:rsid w:val="007348D8"/>
    <w:rsid w:val="00742B90"/>
    <w:rsid w:val="0074406E"/>
    <w:rsid w:val="0074434D"/>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90AD3"/>
    <w:rsid w:val="007920E2"/>
    <w:rsid w:val="007953D4"/>
    <w:rsid w:val="0079566E"/>
    <w:rsid w:val="00795B34"/>
    <w:rsid w:val="007A067F"/>
    <w:rsid w:val="007B1770"/>
    <w:rsid w:val="007B4D3E"/>
    <w:rsid w:val="007B7C70"/>
    <w:rsid w:val="007B7DEB"/>
    <w:rsid w:val="007C0449"/>
    <w:rsid w:val="007C43B6"/>
    <w:rsid w:val="007D059F"/>
    <w:rsid w:val="007D2151"/>
    <w:rsid w:val="007D3803"/>
    <w:rsid w:val="007D3B90"/>
    <w:rsid w:val="007D42CC"/>
    <w:rsid w:val="007D5DE4"/>
    <w:rsid w:val="007D7C3A"/>
    <w:rsid w:val="007E0205"/>
    <w:rsid w:val="007E0777"/>
    <w:rsid w:val="007E1341"/>
    <w:rsid w:val="007E1AE6"/>
    <w:rsid w:val="007E1B41"/>
    <w:rsid w:val="007E1EC4"/>
    <w:rsid w:val="007E30B9"/>
    <w:rsid w:val="007E537A"/>
    <w:rsid w:val="007E611C"/>
    <w:rsid w:val="007E74F1"/>
    <w:rsid w:val="007F0F0C"/>
    <w:rsid w:val="007F1288"/>
    <w:rsid w:val="007F3E11"/>
    <w:rsid w:val="00800A8A"/>
    <w:rsid w:val="0080155C"/>
    <w:rsid w:val="008017DC"/>
    <w:rsid w:val="00805141"/>
    <w:rsid w:val="008052E1"/>
    <w:rsid w:val="00811EEB"/>
    <w:rsid w:val="0082081A"/>
    <w:rsid w:val="00822D9D"/>
    <w:rsid w:val="00822F2C"/>
    <w:rsid w:val="00823DEE"/>
    <w:rsid w:val="008305E8"/>
    <w:rsid w:val="00836165"/>
    <w:rsid w:val="008365B2"/>
    <w:rsid w:val="0084640C"/>
    <w:rsid w:val="00856088"/>
    <w:rsid w:val="0085711A"/>
    <w:rsid w:val="00860826"/>
    <w:rsid w:val="00860E21"/>
    <w:rsid w:val="00862272"/>
    <w:rsid w:val="00863117"/>
    <w:rsid w:val="0086388B"/>
    <w:rsid w:val="008642E5"/>
    <w:rsid w:val="00864488"/>
    <w:rsid w:val="00870A36"/>
    <w:rsid w:val="00871394"/>
    <w:rsid w:val="00871507"/>
    <w:rsid w:val="00872D93"/>
    <w:rsid w:val="00880470"/>
    <w:rsid w:val="00880D94"/>
    <w:rsid w:val="008814E8"/>
    <w:rsid w:val="008823F8"/>
    <w:rsid w:val="00884684"/>
    <w:rsid w:val="00886F64"/>
    <w:rsid w:val="008924DE"/>
    <w:rsid w:val="008A09FC"/>
    <w:rsid w:val="008A3755"/>
    <w:rsid w:val="008B19DC"/>
    <w:rsid w:val="008B264F"/>
    <w:rsid w:val="008B5640"/>
    <w:rsid w:val="008B5D08"/>
    <w:rsid w:val="008B6F83"/>
    <w:rsid w:val="008B7FD8"/>
    <w:rsid w:val="008C2973"/>
    <w:rsid w:val="008C6324"/>
    <w:rsid w:val="008C64C4"/>
    <w:rsid w:val="008C66DB"/>
    <w:rsid w:val="008D2CDD"/>
    <w:rsid w:val="008D74D5"/>
    <w:rsid w:val="008D7C9F"/>
    <w:rsid w:val="008E04BA"/>
    <w:rsid w:val="008E0ED1"/>
    <w:rsid w:val="008E155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4244"/>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F9A"/>
    <w:rsid w:val="00975115"/>
    <w:rsid w:val="00977B8A"/>
    <w:rsid w:val="00982971"/>
    <w:rsid w:val="009845AD"/>
    <w:rsid w:val="00984835"/>
    <w:rsid w:val="009918A6"/>
    <w:rsid w:val="009933EF"/>
    <w:rsid w:val="00995BA0"/>
    <w:rsid w:val="009A27DA"/>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2DB"/>
    <w:rsid w:val="00A02A3C"/>
    <w:rsid w:val="00A043FB"/>
    <w:rsid w:val="00A05086"/>
    <w:rsid w:val="00A06BE4"/>
    <w:rsid w:val="00A0729C"/>
    <w:rsid w:val="00A0734D"/>
    <w:rsid w:val="00A073CF"/>
    <w:rsid w:val="00A07779"/>
    <w:rsid w:val="00A1166A"/>
    <w:rsid w:val="00A20B2E"/>
    <w:rsid w:val="00A24770"/>
    <w:rsid w:val="00A24F33"/>
    <w:rsid w:val="00A25069"/>
    <w:rsid w:val="00A26E6B"/>
    <w:rsid w:val="00A3068F"/>
    <w:rsid w:val="00A3145B"/>
    <w:rsid w:val="00A339D0"/>
    <w:rsid w:val="00A3415C"/>
    <w:rsid w:val="00A41002"/>
    <w:rsid w:val="00A4201A"/>
    <w:rsid w:val="00A5465D"/>
    <w:rsid w:val="00A553CE"/>
    <w:rsid w:val="00A5677A"/>
    <w:rsid w:val="00A56DCC"/>
    <w:rsid w:val="00A613AF"/>
    <w:rsid w:val="00A625E8"/>
    <w:rsid w:val="00A631C3"/>
    <w:rsid w:val="00A63DFF"/>
    <w:rsid w:val="00A64496"/>
    <w:rsid w:val="00A6490D"/>
    <w:rsid w:val="00A67033"/>
    <w:rsid w:val="00A700B2"/>
    <w:rsid w:val="00A7415D"/>
    <w:rsid w:val="00A80363"/>
    <w:rsid w:val="00A80939"/>
    <w:rsid w:val="00A83E9D"/>
    <w:rsid w:val="00A87C05"/>
    <w:rsid w:val="00A9169D"/>
    <w:rsid w:val="00A93598"/>
    <w:rsid w:val="00A97A3A"/>
    <w:rsid w:val="00AA0496"/>
    <w:rsid w:val="00AA240C"/>
    <w:rsid w:val="00AB0332"/>
    <w:rsid w:val="00AC101C"/>
    <w:rsid w:val="00AC4558"/>
    <w:rsid w:val="00AC489F"/>
    <w:rsid w:val="00AD4CF1"/>
    <w:rsid w:val="00AD5988"/>
    <w:rsid w:val="00AD6293"/>
    <w:rsid w:val="00AE1643"/>
    <w:rsid w:val="00AE16AF"/>
    <w:rsid w:val="00AE539E"/>
    <w:rsid w:val="00AF372E"/>
    <w:rsid w:val="00AF7800"/>
    <w:rsid w:val="00B00CF5"/>
    <w:rsid w:val="00B024F5"/>
    <w:rsid w:val="00B04E6C"/>
    <w:rsid w:val="00B072E0"/>
    <w:rsid w:val="00B1007E"/>
    <w:rsid w:val="00B10EF9"/>
    <w:rsid w:val="00B12B2A"/>
    <w:rsid w:val="00B13D41"/>
    <w:rsid w:val="00B22873"/>
    <w:rsid w:val="00B253F6"/>
    <w:rsid w:val="00B26675"/>
    <w:rsid w:val="00B26A0A"/>
    <w:rsid w:val="00B305DB"/>
    <w:rsid w:val="00B305F6"/>
    <w:rsid w:val="00B30B75"/>
    <w:rsid w:val="00B332F8"/>
    <w:rsid w:val="00B3492B"/>
    <w:rsid w:val="00B4008E"/>
    <w:rsid w:val="00B40FCA"/>
    <w:rsid w:val="00B4341A"/>
    <w:rsid w:val="00B441E1"/>
    <w:rsid w:val="00B4646F"/>
    <w:rsid w:val="00B55C7D"/>
    <w:rsid w:val="00B56592"/>
    <w:rsid w:val="00B62EFE"/>
    <w:rsid w:val="00B63038"/>
    <w:rsid w:val="00B63785"/>
    <w:rsid w:val="00B64BD8"/>
    <w:rsid w:val="00B701D1"/>
    <w:rsid w:val="00B711F0"/>
    <w:rsid w:val="00B73AF2"/>
    <w:rsid w:val="00B73D79"/>
    <w:rsid w:val="00B7551A"/>
    <w:rsid w:val="00B773F1"/>
    <w:rsid w:val="00B86AB1"/>
    <w:rsid w:val="00B87726"/>
    <w:rsid w:val="00B91B22"/>
    <w:rsid w:val="00BA40E1"/>
    <w:rsid w:val="00BA7EBA"/>
    <w:rsid w:val="00BB2A06"/>
    <w:rsid w:val="00BB2CBB"/>
    <w:rsid w:val="00BB4198"/>
    <w:rsid w:val="00BB6F9B"/>
    <w:rsid w:val="00BC03EE"/>
    <w:rsid w:val="00BC59F1"/>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47C85"/>
    <w:rsid w:val="00C55BEF"/>
    <w:rsid w:val="00C57C00"/>
    <w:rsid w:val="00C601AF"/>
    <w:rsid w:val="00C61A63"/>
    <w:rsid w:val="00C64C32"/>
    <w:rsid w:val="00C6604E"/>
    <w:rsid w:val="00C66296"/>
    <w:rsid w:val="00C7394D"/>
    <w:rsid w:val="00C73A06"/>
    <w:rsid w:val="00C756B7"/>
    <w:rsid w:val="00C77282"/>
    <w:rsid w:val="00C84DE5"/>
    <w:rsid w:val="00C86248"/>
    <w:rsid w:val="00C90B31"/>
    <w:rsid w:val="00C90C3F"/>
    <w:rsid w:val="00CA0D6F"/>
    <w:rsid w:val="00CA43C1"/>
    <w:rsid w:val="00CA4C33"/>
    <w:rsid w:val="00CA6F4A"/>
    <w:rsid w:val="00CA7D04"/>
    <w:rsid w:val="00CB3483"/>
    <w:rsid w:val="00CB6427"/>
    <w:rsid w:val="00CB7638"/>
    <w:rsid w:val="00CC0FBE"/>
    <w:rsid w:val="00CD077C"/>
    <w:rsid w:val="00CD2119"/>
    <w:rsid w:val="00CD237A"/>
    <w:rsid w:val="00CD36AC"/>
    <w:rsid w:val="00CD769E"/>
    <w:rsid w:val="00CE13A3"/>
    <w:rsid w:val="00CE36BC"/>
    <w:rsid w:val="00CF1747"/>
    <w:rsid w:val="00CF60ED"/>
    <w:rsid w:val="00D02A79"/>
    <w:rsid w:val="00D05D74"/>
    <w:rsid w:val="00D20C59"/>
    <w:rsid w:val="00D22249"/>
    <w:rsid w:val="00D23323"/>
    <w:rsid w:val="00D2392A"/>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62F8"/>
    <w:rsid w:val="00D66797"/>
    <w:rsid w:val="00D7087C"/>
    <w:rsid w:val="00D70C3C"/>
    <w:rsid w:val="00D71DF7"/>
    <w:rsid w:val="00D72BE5"/>
    <w:rsid w:val="00D7303D"/>
    <w:rsid w:val="00D81462"/>
    <w:rsid w:val="00D81918"/>
    <w:rsid w:val="00D82431"/>
    <w:rsid w:val="00D82F26"/>
    <w:rsid w:val="00D863D0"/>
    <w:rsid w:val="00D86B00"/>
    <w:rsid w:val="00D86FB9"/>
    <w:rsid w:val="00D87C87"/>
    <w:rsid w:val="00D90BB4"/>
    <w:rsid w:val="00D90C9C"/>
    <w:rsid w:val="00D90E07"/>
    <w:rsid w:val="00D91B74"/>
    <w:rsid w:val="00D932C2"/>
    <w:rsid w:val="00D95A0C"/>
    <w:rsid w:val="00DA0232"/>
    <w:rsid w:val="00DA3956"/>
    <w:rsid w:val="00DA5314"/>
    <w:rsid w:val="00DA622E"/>
    <w:rsid w:val="00DA7F9E"/>
    <w:rsid w:val="00DB39CF"/>
    <w:rsid w:val="00DB7256"/>
    <w:rsid w:val="00DC0401"/>
    <w:rsid w:val="00DC1544"/>
    <w:rsid w:val="00DC20BD"/>
    <w:rsid w:val="00DD0BCD"/>
    <w:rsid w:val="00DD14FB"/>
    <w:rsid w:val="00DD447A"/>
    <w:rsid w:val="00DE19EF"/>
    <w:rsid w:val="00DE3B20"/>
    <w:rsid w:val="00DE6C94"/>
    <w:rsid w:val="00DE6FD7"/>
    <w:rsid w:val="00DF0C7C"/>
    <w:rsid w:val="00DF232E"/>
    <w:rsid w:val="00DF37C5"/>
    <w:rsid w:val="00DF6931"/>
    <w:rsid w:val="00E06BD5"/>
    <w:rsid w:val="00E10B18"/>
    <w:rsid w:val="00E1258D"/>
    <w:rsid w:val="00E22993"/>
    <w:rsid w:val="00E23271"/>
    <w:rsid w:val="00E23DDB"/>
    <w:rsid w:val="00E24F80"/>
    <w:rsid w:val="00E259F3"/>
    <w:rsid w:val="00E30985"/>
    <w:rsid w:val="00E33238"/>
    <w:rsid w:val="00E33934"/>
    <w:rsid w:val="00E376B7"/>
    <w:rsid w:val="00E42F5D"/>
    <w:rsid w:val="00E4486C"/>
    <w:rsid w:val="00E460B6"/>
    <w:rsid w:val="00E511D5"/>
    <w:rsid w:val="00E53A9F"/>
    <w:rsid w:val="00E56723"/>
    <w:rsid w:val="00E57349"/>
    <w:rsid w:val="00E60249"/>
    <w:rsid w:val="00E60A3C"/>
    <w:rsid w:val="00E62238"/>
    <w:rsid w:val="00E65269"/>
    <w:rsid w:val="00E724F3"/>
    <w:rsid w:val="00E76D66"/>
    <w:rsid w:val="00E80820"/>
    <w:rsid w:val="00E81759"/>
    <w:rsid w:val="00E93C5A"/>
    <w:rsid w:val="00EA6AC2"/>
    <w:rsid w:val="00EA796A"/>
    <w:rsid w:val="00EB1856"/>
    <w:rsid w:val="00EC30BF"/>
    <w:rsid w:val="00EC50CE"/>
    <w:rsid w:val="00EC5B34"/>
    <w:rsid w:val="00ED021E"/>
    <w:rsid w:val="00ED323C"/>
    <w:rsid w:val="00ED778C"/>
    <w:rsid w:val="00EE2D5C"/>
    <w:rsid w:val="00EE441A"/>
    <w:rsid w:val="00EE4ADE"/>
    <w:rsid w:val="00EE4DE8"/>
    <w:rsid w:val="00EE5CB7"/>
    <w:rsid w:val="00F000BF"/>
    <w:rsid w:val="00F024FE"/>
    <w:rsid w:val="00F02844"/>
    <w:rsid w:val="00F05AD4"/>
    <w:rsid w:val="00F103BE"/>
    <w:rsid w:val="00F10EB6"/>
    <w:rsid w:val="00F11E28"/>
    <w:rsid w:val="00F13F07"/>
    <w:rsid w:val="00F140B2"/>
    <w:rsid w:val="00F16595"/>
    <w:rsid w:val="00F21905"/>
    <w:rsid w:val="00F251E8"/>
    <w:rsid w:val="00F25970"/>
    <w:rsid w:val="00F2637E"/>
    <w:rsid w:val="00F311A9"/>
    <w:rsid w:val="00F31343"/>
    <w:rsid w:val="00F37381"/>
    <w:rsid w:val="00F420B1"/>
    <w:rsid w:val="00F434C9"/>
    <w:rsid w:val="00F5180D"/>
    <w:rsid w:val="00F54E74"/>
    <w:rsid w:val="00F61ED4"/>
    <w:rsid w:val="00F63781"/>
    <w:rsid w:val="00F6576A"/>
    <w:rsid w:val="00F67496"/>
    <w:rsid w:val="00F7308E"/>
    <w:rsid w:val="00F7421E"/>
    <w:rsid w:val="00F75409"/>
    <w:rsid w:val="00F801BA"/>
    <w:rsid w:val="00F807AD"/>
    <w:rsid w:val="00F8400D"/>
    <w:rsid w:val="00F9366A"/>
    <w:rsid w:val="00F946C9"/>
    <w:rsid w:val="00FA0EA5"/>
    <w:rsid w:val="00FA26D9"/>
    <w:rsid w:val="00FA4E01"/>
    <w:rsid w:val="00FA68C7"/>
    <w:rsid w:val="00FA6910"/>
    <w:rsid w:val="00FA74EE"/>
    <w:rsid w:val="00FB0A5B"/>
    <w:rsid w:val="00FB554D"/>
    <w:rsid w:val="00FC09F7"/>
    <w:rsid w:val="00FC3711"/>
    <w:rsid w:val="00FC46E7"/>
    <w:rsid w:val="00FC5D25"/>
    <w:rsid w:val="00FD0D7E"/>
    <w:rsid w:val="00FD16C4"/>
    <w:rsid w:val="00FD362F"/>
    <w:rsid w:val="00FD47FE"/>
    <w:rsid w:val="00FD4DEB"/>
    <w:rsid w:val="00FD4FFB"/>
    <w:rsid w:val="00FD6DCC"/>
    <w:rsid w:val="00FE022F"/>
    <w:rsid w:val="00FE5FFD"/>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5EAD1331-0341-414E-977D-70DF392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9"/>
    <w:qFormat/>
    <w:rsid w:val="00AE539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AE539E"/>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39E"/>
    <w:rPr>
      <w:rFonts w:ascii="Avenir Black" w:hAnsi="Avenir Black"/>
      <w:b/>
      <w:color w:val="076283"/>
      <w:sz w:val="36"/>
      <w:lang w:eastAsia="en-GB"/>
    </w:rPr>
  </w:style>
  <w:style w:type="character" w:customStyle="1" w:styleId="Heading2Char">
    <w:name w:val="Heading 2 Char"/>
    <w:link w:val="Heading2"/>
    <w:uiPriority w:val="1"/>
    <w:rsid w:val="00AE539E"/>
    <w:rPr>
      <w:rFonts w:ascii="Avenir Black" w:hAnsi="Avenir Black"/>
      <w:b/>
      <w:color w:val="076283"/>
      <w:sz w:val="28"/>
      <w:lang w:eastAsia="en-GB"/>
    </w:rPr>
  </w:style>
  <w:style w:type="character" w:customStyle="1" w:styleId="Heading3Char">
    <w:name w:val="Heading 3 Char"/>
    <w:link w:val="Heading3"/>
    <w:uiPriority w:val="1"/>
    <w:rsid w:val="009C6E70"/>
    <w:rPr>
      <w:rFonts w:ascii="Avenir" w:hAnsi="Avenir"/>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venir" w:hAnsi="Avenir"/>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paragraph" w:styleId="ListParagraph">
    <w:name w:val="List Paragraph"/>
    <w:basedOn w:val="Normal"/>
    <w:uiPriority w:val="34"/>
    <w:qFormat/>
    <w:rsid w:val="00AC4558"/>
    <w:pPr>
      <w:ind w:left="720"/>
      <w:contextualSpacing/>
    </w:pPr>
  </w:style>
  <w:style w:type="paragraph" w:styleId="BodyText">
    <w:name w:val="Body Text"/>
    <w:basedOn w:val="Normal"/>
    <w:link w:val="BodyTextChar"/>
    <w:uiPriority w:val="1"/>
    <w:qFormat/>
    <w:rsid w:val="00AA0496"/>
    <w:pPr>
      <w:widowControl w:val="0"/>
      <w:autoSpaceDE w:val="0"/>
      <w:autoSpaceDN w:val="0"/>
      <w:spacing w:before="0" w:line="240" w:lineRule="auto"/>
    </w:pPr>
    <w:rPr>
      <w:rFonts w:ascii="Arial" w:eastAsia="Arial" w:hAnsi="Arial" w:cs="Arial"/>
      <w:sz w:val="20"/>
      <w:lang w:val="en-US" w:eastAsia="en-US"/>
    </w:rPr>
  </w:style>
  <w:style w:type="character" w:customStyle="1" w:styleId="BodyTextChar">
    <w:name w:val="Body Text Char"/>
    <w:basedOn w:val="DefaultParagraphFont"/>
    <w:link w:val="BodyText"/>
    <w:uiPriority w:val="1"/>
    <w:rsid w:val="00AA0496"/>
    <w:rPr>
      <w:rFonts w:ascii="Arial" w:eastAsia="Arial" w:hAnsi="Arial" w:cs="Arial"/>
      <w:lang w:val="en-US" w:eastAsia="en-US"/>
    </w:rPr>
  </w:style>
  <w:style w:type="paragraph" w:customStyle="1" w:styleId="TableParagraph">
    <w:name w:val="Table Paragraph"/>
    <w:basedOn w:val="Normal"/>
    <w:uiPriority w:val="1"/>
    <w:qFormat/>
    <w:rsid w:val="00AA0496"/>
    <w:pPr>
      <w:widowControl w:val="0"/>
      <w:autoSpaceDE w:val="0"/>
      <w:autoSpaceDN w:val="0"/>
      <w:spacing w:before="0" w:line="240" w:lineRule="auto"/>
    </w:pPr>
    <w:rPr>
      <w:rFonts w:ascii="Arial" w:eastAsia="Arial" w:hAnsi="Arial" w:cs="Arial"/>
      <w:sz w:val="20"/>
      <w:szCs w:val="22"/>
      <w:lang w:val="en-US" w:eastAsia="en-US"/>
    </w:rPr>
  </w:style>
  <w:style w:type="paragraph" w:styleId="Caption">
    <w:name w:val="caption"/>
    <w:basedOn w:val="Normal"/>
    <w:next w:val="Normal"/>
    <w:uiPriority w:val="35"/>
    <w:unhideWhenUsed/>
    <w:qFormat/>
    <w:rsid w:val="00530526"/>
    <w:pPr>
      <w:spacing w:before="0" w:after="200" w:line="240" w:lineRule="auto"/>
    </w:pPr>
    <w:rPr>
      <w:i/>
      <w:iCs/>
      <w:color w:val="1F497D" w:themeColor="text2"/>
      <w:sz w:val="18"/>
      <w:szCs w:val="18"/>
    </w:rPr>
  </w:style>
  <w:style w:type="character" w:customStyle="1" w:styleId="normaltextrun">
    <w:name w:val="normaltextrun"/>
    <w:basedOn w:val="DefaultParagraphFont"/>
    <w:rsid w:val="0005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yperlink" Target="mailto:medicinalcannabis@health.govt.nz"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t.nz/regulation/public/2019/0321/latest/LMS285243.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health.govt.nz/our-work/regulation-health-and-disability-system/medicines-contr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t.nz/publication/medicinal-cannabis-scheme-guideline-and-forms" TargetMode="External"/><Relationship Id="rId32" Type="http://schemas.openxmlformats.org/officeDocument/2006/relationships/hyperlink" Target="https://www.mpi.govt.nz/dmsdocument/19550-Maximum-Residue-Levels-for-Agricultural-Compound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legislation.govt.nz/act/public/1975/0116/latest/LMS148483.html?search=ts_act%40bill%40regulation%40deemedreg_misuse+of+drugs+act_resel_25_a&amp;p=1"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mpi.govt.nz/dmsdocument/19550-Maximum-Residue-Levels-for-Agricultural-Compoun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health.govt.nz/our-work/regulation-health-and-disability-system/medicines-control" TargetMode="External"/><Relationship Id="rId30" Type="http://schemas.openxmlformats.org/officeDocument/2006/relationships/hyperlink" Target="https://www.health.govt.nz/our-work/regulation-health-and-disability-system/medicines-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Formatted Guidance Documents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MOHECM-799694629-6032</_dlc_DocId>
    <_dlc_DocIdUrl xmlns="cf453169-29d2-47b6-b493-a75019883e5f">
      <Url>https://mohgovtnz.sharepoint.com/sites/moh-ecm-GoodPrac/_layouts/15/DocIdRedir.aspx?ID=MOHECM-799694629-6032</Url>
      <Description>MOHECM-799694629-6032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customXml/itemProps2.xml><?xml version="1.0" encoding="utf-8"?>
<ds:datastoreItem xmlns:ds="http://schemas.openxmlformats.org/officeDocument/2006/customXml" ds:itemID="{CCCB261E-929F-4164-910A-DB0461CE5768}">
  <ds:schemaRefs>
    <ds:schemaRef ds:uri="http://schemas.microsoft.com/sharepoint/events"/>
  </ds:schemaRefs>
</ds:datastoreItem>
</file>

<file path=customXml/itemProps3.xml><?xml version="1.0" encoding="utf-8"?>
<ds:datastoreItem xmlns:ds="http://schemas.openxmlformats.org/officeDocument/2006/customXml" ds:itemID="{E164ECCE-4468-4365-8B0C-6983D067B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B6DE2-9E85-48B5-9D31-F1C427F64D15}">
  <ds:schemaRefs>
    <ds:schemaRef ds:uri="d0b61010-d6f3-4072-b934-7bbb13e97771"/>
    <ds:schemaRef ds:uri="http://purl.org/dc/elements/1.1/"/>
    <ds:schemaRef ds:uri="cf453169-29d2-47b6-b493-a75019883e5f"/>
    <ds:schemaRef ds:uri="15ffb055-6eb4-45a1-bc20-bf2ac0d420da"/>
    <ds:schemaRef ds:uri="http://schemas.microsoft.com/office/infopath/2007/PartnerControls"/>
    <ds:schemaRef ds:uri="http://schemas.microsoft.com/office/2006/documentManagement/types"/>
    <ds:schemaRef ds:uri="http://schemas.microsoft.com/office/2006/metadata/properties"/>
    <ds:schemaRef ds:uri="1d05d202-b420-4560-9c38-b56d725d4a35"/>
    <ds:schemaRef ds:uri="http://purl.org/dc/terms/"/>
    <ds:schemaRef ds:uri="http://schemas.openxmlformats.org/package/2006/metadata/core-properties"/>
    <ds:schemaRef ds:uri="184c05c4-c568-455d-94a4-7e009b164348"/>
    <ds:schemaRef ds:uri="725c79e5-42ce-4aa0-ac78-b6418001f0d2"/>
    <ds:schemaRef ds:uri="http://purl.org/dc/dcmitype/"/>
    <ds:schemaRef ds:uri="http://www.w3.org/XML/1998/namespace"/>
    <ds:schemaRef ds:uri="4f9c820c-e7e2-444d-97ee-45f2b3485c1d"/>
    <ds:schemaRef ds:uri="c91a514c-9034-4fa3-897a-8352025b26ed"/>
  </ds:schemaRefs>
</ds:datastoreItem>
</file>

<file path=customXml/itemProps5.xml><?xml version="1.0" encoding="utf-8"?>
<ds:datastoreItem xmlns:ds="http://schemas.openxmlformats.org/officeDocument/2006/customXml" ds:itemID="{8410F648-5298-4184-817B-180F5886F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16</Pages>
  <Words>4081</Words>
  <Characters>25283</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Key changes to the Medicinal Cannabis Scheme July 2024</dc:title>
  <dc:creator>Ministry of Health</dc:creator>
  <cp:lastModifiedBy>Ministry of Health</cp:lastModifiedBy>
  <cp:revision>7</cp:revision>
  <cp:lastPrinted>2024-07-04T23:53:00Z</cp:lastPrinted>
  <dcterms:created xsi:type="dcterms:W3CDTF">2024-07-04T23:50:00Z</dcterms:created>
  <dcterms:modified xsi:type="dcterms:W3CDTF">2024-07-04T23:53:00Z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97dec89f-533c-4168-8732-97fda8ddfb35</vt:lpwstr>
  </property>
</Properties>
</file>