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single" w:sz="24" w:space="0" w:color="076283"/>
          <w:left w:val="single" w:sz="24" w:space="0" w:color="076283"/>
          <w:bottom w:val="single" w:sz="24" w:space="0" w:color="076283"/>
          <w:right w:val="single" w:sz="24" w:space="0" w:color="076283"/>
          <w:insideH w:val="single" w:sz="24" w:space="0" w:color="076283"/>
          <w:insideV w:val="single" w:sz="24" w:space="0" w:color="076283"/>
        </w:tblBorders>
        <w:shd w:val="clear" w:color="auto" w:fill="076283"/>
        <w:tblLayout w:type="fixed"/>
        <w:tblCellMar>
          <w:left w:w="284" w:type="dxa"/>
          <w:right w:w="284" w:type="dxa"/>
        </w:tblCellMar>
        <w:tblLook w:val="04A0" w:firstRow="1" w:lastRow="0" w:firstColumn="1" w:lastColumn="0" w:noHBand="0" w:noVBand="1"/>
      </w:tblPr>
      <w:tblGrid>
        <w:gridCol w:w="9639"/>
      </w:tblGrid>
      <w:tr w:rsidR="0077112D" w14:paraId="354A4A41" w14:textId="77777777" w:rsidTr="0077112D">
        <w:trPr>
          <w:cantSplit/>
        </w:trPr>
        <w:tc>
          <w:tcPr>
            <w:tcW w:w="9639" w:type="dxa"/>
            <w:shd w:val="clear" w:color="auto" w:fill="auto"/>
          </w:tcPr>
          <w:p w14:paraId="189C0A78" w14:textId="77777777" w:rsidR="0077112D" w:rsidRPr="00702088" w:rsidRDefault="0077112D" w:rsidP="0077112D">
            <w:pPr>
              <w:pStyle w:val="Title"/>
              <w:rPr>
                <w:lang w:val="en-NZ"/>
              </w:rPr>
            </w:pPr>
            <w:bookmarkStart w:id="0" w:name="_Hlk36565914"/>
            <w:r w:rsidRPr="00702088">
              <w:rPr>
                <w:lang w:val="en-NZ"/>
              </w:rPr>
              <w:t>Guideline on the Regulation of Medicinal Cannabis in New Zealand</w:t>
            </w:r>
          </w:p>
        </w:tc>
      </w:tr>
      <w:tr w:rsidR="0077112D" w14:paraId="2E6ED9F5" w14:textId="77777777" w:rsidTr="0077112D">
        <w:trPr>
          <w:cantSplit/>
        </w:trPr>
        <w:tc>
          <w:tcPr>
            <w:tcW w:w="9639" w:type="dxa"/>
            <w:shd w:val="clear" w:color="auto" w:fill="076283"/>
          </w:tcPr>
          <w:p w14:paraId="7E0F5CFA" w14:textId="562877D0" w:rsidR="0077112D" w:rsidRPr="00702088" w:rsidRDefault="00530526" w:rsidP="00530526">
            <w:pPr>
              <w:pStyle w:val="Subhead"/>
              <w:rPr>
                <w:lang w:val="en-NZ"/>
              </w:rPr>
            </w:pPr>
            <w:r w:rsidRPr="00530526">
              <w:rPr>
                <w:lang w:val="en-NZ"/>
              </w:rPr>
              <w:t>Information for New Zealand Manufacturers and Packers</w:t>
            </w:r>
          </w:p>
        </w:tc>
      </w:tr>
      <w:bookmarkEnd w:id="0"/>
    </w:tbl>
    <w:p w14:paraId="6DAC5EA6" w14:textId="77777777" w:rsidR="00C05132" w:rsidRPr="00141538" w:rsidRDefault="00C05132" w:rsidP="00FB554D"/>
    <w:p w14:paraId="08B7ED8F" w14:textId="77777777" w:rsidR="00142954" w:rsidRPr="00142954" w:rsidRDefault="00142954" w:rsidP="00142954">
      <w:pPr>
        <w:sectPr w:rsidR="00142954" w:rsidRPr="00142954" w:rsidSect="007953D4">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567" w:gutter="0"/>
          <w:pgNumType w:start="1"/>
          <w:cols w:space="720"/>
        </w:sectPr>
      </w:pPr>
    </w:p>
    <w:p w14:paraId="37141CC0" w14:textId="77777777" w:rsidR="00311CF4" w:rsidRDefault="00311CF4" w:rsidP="00311CF4">
      <w:pPr>
        <w:pStyle w:val="Imprint"/>
        <w:spacing w:before="1200"/>
        <w:jc w:val="left"/>
        <w:rPr>
          <w:rFonts w:cs="Segoe UI"/>
          <w:color w:val="auto"/>
        </w:rPr>
      </w:pPr>
      <w:bookmarkStart w:id="1" w:name="_Toc405792991"/>
      <w:bookmarkStart w:id="2" w:name="_Toc405793224"/>
    </w:p>
    <w:p w14:paraId="199FC2D3" w14:textId="77777777" w:rsidR="00311CF4" w:rsidRDefault="00311CF4" w:rsidP="00311CF4"/>
    <w:p w14:paraId="2101E0A9" w14:textId="77777777" w:rsidR="00311CF4" w:rsidRDefault="00311CF4" w:rsidP="00311CF4"/>
    <w:p w14:paraId="60147C39" w14:textId="77777777" w:rsidR="00311CF4" w:rsidRDefault="00311CF4" w:rsidP="00311CF4"/>
    <w:p w14:paraId="0CEE85D4" w14:textId="77777777" w:rsidR="00311CF4" w:rsidRDefault="00311CF4" w:rsidP="00311CF4"/>
    <w:p w14:paraId="3590D7CE" w14:textId="77777777" w:rsidR="00311CF4" w:rsidRPr="00C57421" w:rsidRDefault="00311CF4" w:rsidP="00311CF4"/>
    <w:p w14:paraId="10B3BFBF" w14:textId="77777777" w:rsidR="00311CF4" w:rsidRDefault="00311CF4" w:rsidP="00311CF4">
      <w:pPr>
        <w:pStyle w:val="Imprint"/>
        <w:spacing w:before="1200"/>
        <w:jc w:val="left"/>
        <w:rPr>
          <w:rFonts w:cs="Segoe UI"/>
          <w:color w:val="auto"/>
        </w:rPr>
      </w:pPr>
    </w:p>
    <w:p w14:paraId="5ACFC7EB" w14:textId="77777777" w:rsidR="00311CF4" w:rsidRDefault="00311CF4" w:rsidP="00311CF4">
      <w:pPr>
        <w:pStyle w:val="Imprint"/>
        <w:spacing w:before="1200"/>
        <w:jc w:val="left"/>
        <w:rPr>
          <w:rFonts w:cs="Segoe UI"/>
          <w:color w:val="auto"/>
        </w:rPr>
      </w:pPr>
    </w:p>
    <w:p w14:paraId="703571C9" w14:textId="73EC880D" w:rsidR="00311CF4" w:rsidRPr="00C57421" w:rsidRDefault="00311CF4" w:rsidP="00311CF4">
      <w:pPr>
        <w:pStyle w:val="Imprint"/>
        <w:spacing w:before="1200"/>
        <w:jc w:val="left"/>
        <w:rPr>
          <w:rFonts w:cs="Segoe UI"/>
          <w:color w:val="auto"/>
          <w:sz w:val="22"/>
          <w:szCs w:val="22"/>
        </w:rPr>
      </w:pPr>
      <w:r w:rsidRPr="00C57421">
        <w:rPr>
          <w:rFonts w:cs="Segoe UI"/>
          <w:color w:val="auto"/>
          <w:sz w:val="22"/>
          <w:szCs w:val="22"/>
        </w:rPr>
        <w:t xml:space="preserve">Citation: Ministry of Health. </w:t>
      </w:r>
      <w:r>
        <w:rPr>
          <w:rFonts w:cs="Segoe UI"/>
          <w:color w:val="auto"/>
          <w:sz w:val="22"/>
          <w:szCs w:val="22"/>
        </w:rPr>
        <w:t>202</w:t>
      </w:r>
      <w:r w:rsidR="008C187C">
        <w:rPr>
          <w:rFonts w:cs="Segoe UI"/>
          <w:color w:val="auto"/>
          <w:sz w:val="22"/>
          <w:szCs w:val="22"/>
        </w:rPr>
        <w:t>4</w:t>
      </w:r>
      <w:r w:rsidRPr="00C57421">
        <w:rPr>
          <w:rFonts w:cs="Segoe UI"/>
          <w:color w:val="auto"/>
          <w:sz w:val="22"/>
          <w:szCs w:val="22"/>
        </w:rPr>
        <w:t xml:space="preserve">. </w:t>
      </w:r>
      <w:r>
        <w:rPr>
          <w:rFonts w:cs="Segoe UI"/>
          <w:i/>
          <w:color w:val="auto"/>
          <w:sz w:val="22"/>
          <w:szCs w:val="22"/>
        </w:rPr>
        <w:t>Guideline on the regulation of medicinal cannabis in New Zealand</w:t>
      </w:r>
      <w:r w:rsidRPr="00C57421">
        <w:rPr>
          <w:rFonts w:cs="Segoe UI"/>
          <w:i/>
          <w:color w:val="auto"/>
          <w:sz w:val="22"/>
          <w:szCs w:val="22"/>
        </w:rPr>
        <w:t xml:space="preserve">: </w:t>
      </w:r>
      <w:r w:rsidR="00530526" w:rsidRPr="00530526">
        <w:rPr>
          <w:rFonts w:cs="Segoe UI"/>
          <w:i/>
          <w:color w:val="auto"/>
          <w:sz w:val="22"/>
          <w:szCs w:val="22"/>
        </w:rPr>
        <w:t>Information for New Zealand Manufacturers and Packers</w:t>
      </w:r>
      <w:r w:rsidRPr="00C57421">
        <w:rPr>
          <w:rFonts w:cs="Segoe UI"/>
          <w:color w:val="auto"/>
          <w:sz w:val="22"/>
          <w:szCs w:val="22"/>
        </w:rPr>
        <w:t>. Wellington: Ministry of Health.</w:t>
      </w:r>
    </w:p>
    <w:p w14:paraId="4D5B300B" w14:textId="09C485D0" w:rsidR="00311CF4" w:rsidRPr="00C57421" w:rsidRDefault="00311CF4" w:rsidP="00311CF4">
      <w:pPr>
        <w:pStyle w:val="Imprint"/>
        <w:jc w:val="left"/>
        <w:rPr>
          <w:color w:val="auto"/>
          <w:sz w:val="22"/>
          <w:szCs w:val="22"/>
        </w:rPr>
      </w:pPr>
      <w:r w:rsidRPr="00C57421">
        <w:rPr>
          <w:color w:val="auto"/>
          <w:sz w:val="22"/>
          <w:szCs w:val="22"/>
        </w:rPr>
        <w:t>Published in</w:t>
      </w:r>
      <w:r>
        <w:rPr>
          <w:color w:val="auto"/>
          <w:sz w:val="22"/>
          <w:szCs w:val="22"/>
        </w:rPr>
        <w:t xml:space="preserve"> </w:t>
      </w:r>
      <w:r w:rsidR="008C187C">
        <w:rPr>
          <w:color w:val="auto"/>
          <w:sz w:val="22"/>
          <w:szCs w:val="22"/>
        </w:rPr>
        <w:t>July 2024</w:t>
      </w:r>
      <w:r w:rsidRPr="00C57421">
        <w:rPr>
          <w:color w:val="auto"/>
          <w:sz w:val="22"/>
          <w:szCs w:val="22"/>
        </w:rPr>
        <w:t xml:space="preserve"> by the Ministry of Health</w:t>
      </w:r>
      <w:r w:rsidRPr="00C57421">
        <w:rPr>
          <w:color w:val="auto"/>
          <w:sz w:val="22"/>
          <w:szCs w:val="22"/>
        </w:rPr>
        <w:br/>
        <w:t>PO Box 5013, Wellington 6140, New Zealand</w:t>
      </w:r>
    </w:p>
    <w:p w14:paraId="584B6106" w14:textId="292C7601" w:rsidR="00B04E6C" w:rsidRPr="00C57421" w:rsidRDefault="004034CE" w:rsidP="00B04E6C">
      <w:pPr>
        <w:pStyle w:val="Imprint"/>
        <w:jc w:val="left"/>
        <w:rPr>
          <w:color w:val="auto"/>
          <w:sz w:val="22"/>
          <w:szCs w:val="22"/>
        </w:rPr>
      </w:pPr>
      <w:r>
        <w:rPr>
          <w:color w:val="auto"/>
          <w:sz w:val="22"/>
          <w:szCs w:val="22"/>
        </w:rPr>
        <w:t>HP 9079</w:t>
      </w:r>
    </w:p>
    <w:p w14:paraId="75A432CA" w14:textId="77777777" w:rsidR="00311CF4" w:rsidRDefault="00311CF4" w:rsidP="00311CF4">
      <w:r>
        <w:rPr>
          <w:noProof/>
          <w:lang w:eastAsia="en-NZ"/>
        </w:rPr>
        <w:drawing>
          <wp:inline distT="0" distB="0" distL="0" distR="0" wp14:anchorId="3FC7850C" wp14:editId="6C75064E">
            <wp:extent cx="1216825" cy="5762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73D6ED6" w14:textId="77777777" w:rsidR="00311CF4" w:rsidRDefault="00311CF4" w:rsidP="00311CF4">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311CF4" w:rsidRPr="00A63DFF" w14:paraId="377AE165" w14:textId="77777777" w:rsidTr="00371E7E">
        <w:trPr>
          <w:cantSplit/>
        </w:trPr>
        <w:tc>
          <w:tcPr>
            <w:tcW w:w="1526" w:type="dxa"/>
          </w:tcPr>
          <w:p w14:paraId="4AD1E088" w14:textId="77777777" w:rsidR="00311CF4" w:rsidRPr="00A63DFF" w:rsidRDefault="00311CF4" w:rsidP="00371E7E">
            <w:pPr>
              <w:rPr>
                <w:rFonts w:cs="Segoe UI"/>
                <w:sz w:val="15"/>
                <w:szCs w:val="15"/>
              </w:rPr>
            </w:pPr>
            <w:r w:rsidRPr="00A63DFF">
              <w:rPr>
                <w:rFonts w:cs="Segoe UI"/>
                <w:b/>
                <w:noProof/>
                <w:sz w:val="15"/>
                <w:szCs w:val="15"/>
                <w:lang w:eastAsia="en-NZ"/>
              </w:rPr>
              <w:drawing>
                <wp:inline distT="0" distB="0" distL="0" distR="0" wp14:anchorId="382DFC39" wp14:editId="5731F33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9FA49C" w14:textId="77777777" w:rsidR="00311CF4" w:rsidRPr="00A63DFF" w:rsidRDefault="00311CF4" w:rsidP="00371E7E">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5F2467B" w14:textId="77777777" w:rsidR="0059368A" w:rsidRDefault="0059368A" w:rsidP="00311CF4">
      <w:pPr>
        <w:sectPr w:rsidR="0059368A" w:rsidSect="004E3A1B">
          <w:headerReference w:type="default" r:id="rId20"/>
          <w:footerReference w:type="even" r:id="rId21"/>
          <w:footerReference w:type="default" r:id="rId22"/>
          <w:pgSz w:w="11907" w:h="16834" w:code="9"/>
          <w:pgMar w:top="1418" w:right="1418" w:bottom="1134" w:left="1418" w:header="284" w:footer="425" w:gutter="284"/>
          <w:pgNumType w:fmt="lowerRoman" w:start="1"/>
          <w:cols w:space="720"/>
          <w:docGrid w:linePitch="286"/>
        </w:sectPr>
      </w:pPr>
    </w:p>
    <w:p w14:paraId="1321461E" w14:textId="77777777" w:rsidR="00C86248" w:rsidRDefault="00C86248" w:rsidP="00F745DE">
      <w:pPr>
        <w:pStyle w:val="IntroHead"/>
        <w:spacing w:after="360"/>
      </w:pPr>
      <w:r>
        <w:lastRenderedPageBreak/>
        <w:t>Contents</w:t>
      </w:r>
      <w:bookmarkEnd w:id="1"/>
      <w:bookmarkEnd w:id="2"/>
    </w:p>
    <w:p w14:paraId="5E857BBE" w14:textId="77E945CC" w:rsidR="00530526" w:rsidRDefault="003450E8">
      <w:pPr>
        <w:pStyle w:val="TOC1"/>
        <w:rPr>
          <w:rFonts w:asciiTheme="minorHAnsi" w:eastAsiaTheme="minorEastAsia" w:hAnsiTheme="minorHAnsi" w:cstheme="minorBidi"/>
          <w:b w:val="0"/>
          <w:noProof/>
          <w:szCs w:val="22"/>
          <w:lang w:val="en-AU" w:eastAsia="en-AU"/>
        </w:rPr>
      </w:pPr>
      <w:r>
        <w:rPr>
          <w:b w:val="0"/>
        </w:rPr>
        <w:fldChar w:fldCharType="begin"/>
      </w:r>
      <w:r>
        <w:rPr>
          <w:b w:val="0"/>
        </w:rPr>
        <w:instrText xml:space="preserve"> TOC \o "1-3" \h \z </w:instrText>
      </w:r>
      <w:r>
        <w:rPr>
          <w:b w:val="0"/>
        </w:rPr>
        <w:fldChar w:fldCharType="separate"/>
      </w:r>
      <w:hyperlink w:anchor="_Toc170709424" w:history="1">
        <w:r w:rsidR="00530526" w:rsidRPr="0027544B">
          <w:rPr>
            <w:rStyle w:val="Hyperlink"/>
            <w:noProof/>
          </w:rPr>
          <w:t>Section 1: Introduction</w:t>
        </w:r>
        <w:r w:rsidR="00530526">
          <w:rPr>
            <w:noProof/>
            <w:webHidden/>
          </w:rPr>
          <w:tab/>
        </w:r>
        <w:r w:rsidR="00530526">
          <w:rPr>
            <w:noProof/>
            <w:webHidden/>
          </w:rPr>
          <w:fldChar w:fldCharType="begin"/>
        </w:r>
        <w:r w:rsidR="00530526">
          <w:rPr>
            <w:noProof/>
            <w:webHidden/>
          </w:rPr>
          <w:instrText xml:space="preserve"> PAGEREF _Toc170709424 \h </w:instrText>
        </w:r>
        <w:r w:rsidR="00530526">
          <w:rPr>
            <w:noProof/>
            <w:webHidden/>
          </w:rPr>
        </w:r>
        <w:r w:rsidR="00530526">
          <w:rPr>
            <w:noProof/>
            <w:webHidden/>
          </w:rPr>
          <w:fldChar w:fldCharType="separate"/>
        </w:r>
        <w:r w:rsidR="00AB71F7">
          <w:rPr>
            <w:noProof/>
            <w:webHidden/>
          </w:rPr>
          <w:t>1</w:t>
        </w:r>
        <w:r w:rsidR="00530526">
          <w:rPr>
            <w:noProof/>
            <w:webHidden/>
          </w:rPr>
          <w:fldChar w:fldCharType="end"/>
        </w:r>
      </w:hyperlink>
    </w:p>
    <w:p w14:paraId="41E91558" w14:textId="2B33FD7F" w:rsidR="00530526" w:rsidRDefault="00000000">
      <w:pPr>
        <w:pStyle w:val="TOC1"/>
        <w:rPr>
          <w:rFonts w:asciiTheme="minorHAnsi" w:eastAsiaTheme="minorEastAsia" w:hAnsiTheme="minorHAnsi" w:cstheme="minorBidi"/>
          <w:b w:val="0"/>
          <w:noProof/>
          <w:szCs w:val="22"/>
          <w:lang w:val="en-AU" w:eastAsia="en-AU"/>
        </w:rPr>
      </w:pPr>
      <w:hyperlink w:anchor="_Toc170709425" w:history="1">
        <w:r w:rsidR="00530526" w:rsidRPr="0027544B">
          <w:rPr>
            <w:rStyle w:val="Hyperlink"/>
            <w:noProof/>
          </w:rPr>
          <w:t>Section 2: Background on regulatory settings</w:t>
        </w:r>
        <w:r w:rsidR="00530526">
          <w:rPr>
            <w:noProof/>
            <w:webHidden/>
          </w:rPr>
          <w:tab/>
        </w:r>
        <w:r w:rsidR="00530526">
          <w:rPr>
            <w:noProof/>
            <w:webHidden/>
          </w:rPr>
          <w:fldChar w:fldCharType="begin"/>
        </w:r>
        <w:r w:rsidR="00530526">
          <w:rPr>
            <w:noProof/>
            <w:webHidden/>
          </w:rPr>
          <w:instrText xml:space="preserve"> PAGEREF _Toc170709425 \h </w:instrText>
        </w:r>
        <w:r w:rsidR="00530526">
          <w:rPr>
            <w:noProof/>
            <w:webHidden/>
          </w:rPr>
        </w:r>
        <w:r w:rsidR="00530526">
          <w:rPr>
            <w:noProof/>
            <w:webHidden/>
          </w:rPr>
          <w:fldChar w:fldCharType="separate"/>
        </w:r>
        <w:r w:rsidR="00AB71F7">
          <w:rPr>
            <w:noProof/>
            <w:webHidden/>
          </w:rPr>
          <w:t>2</w:t>
        </w:r>
        <w:r w:rsidR="00530526">
          <w:rPr>
            <w:noProof/>
            <w:webHidden/>
          </w:rPr>
          <w:fldChar w:fldCharType="end"/>
        </w:r>
      </w:hyperlink>
    </w:p>
    <w:p w14:paraId="25E4AB56" w14:textId="3F5506B0" w:rsidR="00530526" w:rsidRDefault="00000000">
      <w:pPr>
        <w:pStyle w:val="TOC2"/>
        <w:rPr>
          <w:rFonts w:asciiTheme="minorHAnsi" w:eastAsiaTheme="minorEastAsia" w:hAnsiTheme="minorHAnsi" w:cstheme="minorBidi"/>
          <w:noProof/>
          <w:szCs w:val="22"/>
          <w:lang w:val="en-AU" w:eastAsia="en-AU"/>
        </w:rPr>
      </w:pPr>
      <w:hyperlink w:anchor="_Toc170709426" w:history="1">
        <w:r w:rsidR="00530526" w:rsidRPr="0027544B">
          <w:rPr>
            <w:rStyle w:val="Hyperlink"/>
            <w:noProof/>
          </w:rPr>
          <w:t>2.1</w:t>
        </w:r>
        <w:r w:rsidR="00530526">
          <w:rPr>
            <w:rFonts w:asciiTheme="minorHAnsi" w:eastAsiaTheme="minorEastAsia" w:hAnsiTheme="minorHAnsi" w:cstheme="minorBidi"/>
            <w:noProof/>
            <w:szCs w:val="22"/>
            <w:lang w:val="en-AU" w:eastAsia="en-AU"/>
          </w:rPr>
          <w:tab/>
        </w:r>
        <w:r w:rsidR="00530526" w:rsidRPr="0027544B">
          <w:rPr>
            <w:rStyle w:val="Hyperlink"/>
            <w:noProof/>
          </w:rPr>
          <w:t>Medicinal cannabis licence</w:t>
        </w:r>
        <w:r w:rsidR="00530526">
          <w:rPr>
            <w:noProof/>
            <w:webHidden/>
          </w:rPr>
          <w:tab/>
        </w:r>
        <w:r w:rsidR="00530526">
          <w:rPr>
            <w:noProof/>
            <w:webHidden/>
          </w:rPr>
          <w:fldChar w:fldCharType="begin"/>
        </w:r>
        <w:r w:rsidR="00530526">
          <w:rPr>
            <w:noProof/>
            <w:webHidden/>
          </w:rPr>
          <w:instrText xml:space="preserve"> PAGEREF _Toc170709426 \h </w:instrText>
        </w:r>
        <w:r w:rsidR="00530526">
          <w:rPr>
            <w:noProof/>
            <w:webHidden/>
          </w:rPr>
        </w:r>
        <w:r w:rsidR="00530526">
          <w:rPr>
            <w:noProof/>
            <w:webHidden/>
          </w:rPr>
          <w:fldChar w:fldCharType="separate"/>
        </w:r>
        <w:r w:rsidR="00AB71F7">
          <w:rPr>
            <w:noProof/>
            <w:webHidden/>
          </w:rPr>
          <w:t>2</w:t>
        </w:r>
        <w:r w:rsidR="00530526">
          <w:rPr>
            <w:noProof/>
            <w:webHidden/>
          </w:rPr>
          <w:fldChar w:fldCharType="end"/>
        </w:r>
      </w:hyperlink>
    </w:p>
    <w:p w14:paraId="508DB7F7" w14:textId="40A63648" w:rsidR="00530526" w:rsidRDefault="00000000">
      <w:pPr>
        <w:pStyle w:val="TOC2"/>
        <w:rPr>
          <w:rFonts w:asciiTheme="minorHAnsi" w:eastAsiaTheme="minorEastAsia" w:hAnsiTheme="minorHAnsi" w:cstheme="minorBidi"/>
          <w:noProof/>
          <w:szCs w:val="22"/>
          <w:lang w:val="en-AU" w:eastAsia="en-AU"/>
        </w:rPr>
      </w:pPr>
      <w:hyperlink w:anchor="_Toc170709427" w:history="1">
        <w:r w:rsidR="00530526" w:rsidRPr="0027544B">
          <w:rPr>
            <w:rStyle w:val="Hyperlink"/>
            <w:noProof/>
          </w:rPr>
          <w:t>2.2</w:t>
        </w:r>
        <w:r w:rsidR="00530526">
          <w:rPr>
            <w:rFonts w:asciiTheme="minorHAnsi" w:eastAsiaTheme="minorEastAsia" w:hAnsiTheme="minorHAnsi" w:cstheme="minorBidi"/>
            <w:noProof/>
            <w:szCs w:val="22"/>
            <w:lang w:val="en-AU" w:eastAsia="en-AU"/>
          </w:rPr>
          <w:tab/>
        </w:r>
        <w:r w:rsidR="00530526" w:rsidRPr="0027544B">
          <w:rPr>
            <w:rStyle w:val="Hyperlink"/>
            <w:noProof/>
          </w:rPr>
          <w:t>Minimum quality standard for medicinal cannabis products</w:t>
        </w:r>
        <w:r w:rsidR="00530526">
          <w:rPr>
            <w:noProof/>
            <w:webHidden/>
          </w:rPr>
          <w:tab/>
        </w:r>
        <w:r w:rsidR="00530526">
          <w:rPr>
            <w:noProof/>
            <w:webHidden/>
          </w:rPr>
          <w:fldChar w:fldCharType="begin"/>
        </w:r>
        <w:r w:rsidR="00530526">
          <w:rPr>
            <w:noProof/>
            <w:webHidden/>
          </w:rPr>
          <w:instrText xml:space="preserve"> PAGEREF _Toc170709427 \h </w:instrText>
        </w:r>
        <w:r w:rsidR="00530526">
          <w:rPr>
            <w:noProof/>
            <w:webHidden/>
          </w:rPr>
        </w:r>
        <w:r w:rsidR="00530526">
          <w:rPr>
            <w:noProof/>
            <w:webHidden/>
          </w:rPr>
          <w:fldChar w:fldCharType="separate"/>
        </w:r>
        <w:r w:rsidR="00AB71F7">
          <w:rPr>
            <w:noProof/>
            <w:webHidden/>
          </w:rPr>
          <w:t>2</w:t>
        </w:r>
        <w:r w:rsidR="00530526">
          <w:rPr>
            <w:noProof/>
            <w:webHidden/>
          </w:rPr>
          <w:fldChar w:fldCharType="end"/>
        </w:r>
      </w:hyperlink>
    </w:p>
    <w:p w14:paraId="67D761A2" w14:textId="354E7CD9" w:rsidR="00530526" w:rsidRDefault="00000000">
      <w:pPr>
        <w:pStyle w:val="TOC2"/>
        <w:rPr>
          <w:rFonts w:asciiTheme="minorHAnsi" w:eastAsiaTheme="minorEastAsia" w:hAnsiTheme="minorHAnsi" w:cstheme="minorBidi"/>
          <w:noProof/>
          <w:szCs w:val="22"/>
          <w:lang w:val="en-AU" w:eastAsia="en-AU"/>
        </w:rPr>
      </w:pPr>
      <w:hyperlink w:anchor="_Toc170709428" w:history="1">
        <w:r w:rsidR="00530526" w:rsidRPr="0027544B">
          <w:rPr>
            <w:rStyle w:val="Hyperlink"/>
            <w:noProof/>
          </w:rPr>
          <w:t>2.3</w:t>
        </w:r>
        <w:r w:rsidR="00530526">
          <w:rPr>
            <w:rFonts w:asciiTheme="minorHAnsi" w:eastAsiaTheme="minorEastAsia" w:hAnsiTheme="minorHAnsi" w:cstheme="minorBidi"/>
            <w:noProof/>
            <w:szCs w:val="22"/>
            <w:lang w:val="en-AU" w:eastAsia="en-AU"/>
          </w:rPr>
          <w:tab/>
        </w:r>
        <w:r w:rsidR="00530526" w:rsidRPr="0027544B">
          <w:rPr>
            <w:rStyle w:val="Hyperlink"/>
            <w:noProof/>
          </w:rPr>
          <w:t>Licences issued under the Medicines Act 1981</w:t>
        </w:r>
        <w:r w:rsidR="00530526">
          <w:rPr>
            <w:noProof/>
            <w:webHidden/>
          </w:rPr>
          <w:tab/>
        </w:r>
        <w:r w:rsidR="00530526">
          <w:rPr>
            <w:noProof/>
            <w:webHidden/>
          </w:rPr>
          <w:fldChar w:fldCharType="begin"/>
        </w:r>
        <w:r w:rsidR="00530526">
          <w:rPr>
            <w:noProof/>
            <w:webHidden/>
          </w:rPr>
          <w:instrText xml:space="preserve"> PAGEREF _Toc170709428 \h </w:instrText>
        </w:r>
        <w:r w:rsidR="00530526">
          <w:rPr>
            <w:noProof/>
            <w:webHidden/>
          </w:rPr>
        </w:r>
        <w:r w:rsidR="00530526">
          <w:rPr>
            <w:noProof/>
            <w:webHidden/>
          </w:rPr>
          <w:fldChar w:fldCharType="separate"/>
        </w:r>
        <w:r w:rsidR="00AB71F7">
          <w:rPr>
            <w:noProof/>
            <w:webHidden/>
          </w:rPr>
          <w:t>2</w:t>
        </w:r>
        <w:r w:rsidR="00530526">
          <w:rPr>
            <w:noProof/>
            <w:webHidden/>
          </w:rPr>
          <w:fldChar w:fldCharType="end"/>
        </w:r>
      </w:hyperlink>
    </w:p>
    <w:p w14:paraId="4CC97B10" w14:textId="041AB8AE" w:rsidR="00530526" w:rsidRDefault="00000000">
      <w:pPr>
        <w:pStyle w:val="TOC2"/>
        <w:rPr>
          <w:rFonts w:asciiTheme="minorHAnsi" w:eastAsiaTheme="minorEastAsia" w:hAnsiTheme="minorHAnsi" w:cstheme="minorBidi"/>
          <w:noProof/>
          <w:szCs w:val="22"/>
          <w:lang w:val="en-AU" w:eastAsia="en-AU"/>
        </w:rPr>
      </w:pPr>
      <w:hyperlink w:anchor="_Toc170709429" w:history="1">
        <w:r w:rsidR="00530526" w:rsidRPr="0027544B">
          <w:rPr>
            <w:rStyle w:val="Hyperlink"/>
            <w:noProof/>
          </w:rPr>
          <w:t>2.4</w:t>
        </w:r>
        <w:r w:rsidR="00530526">
          <w:rPr>
            <w:rFonts w:asciiTheme="minorHAnsi" w:eastAsiaTheme="minorEastAsia" w:hAnsiTheme="minorHAnsi" w:cstheme="minorBidi"/>
            <w:noProof/>
            <w:szCs w:val="22"/>
            <w:lang w:val="en-AU" w:eastAsia="en-AU"/>
          </w:rPr>
          <w:tab/>
        </w:r>
        <w:r w:rsidR="00530526" w:rsidRPr="0027544B">
          <w:rPr>
            <w:rStyle w:val="Hyperlink"/>
            <w:noProof/>
          </w:rPr>
          <w:t>Licences to import or export medicinal cannabis</w:t>
        </w:r>
        <w:r w:rsidR="00530526">
          <w:rPr>
            <w:noProof/>
            <w:webHidden/>
          </w:rPr>
          <w:tab/>
        </w:r>
        <w:r w:rsidR="00530526">
          <w:rPr>
            <w:noProof/>
            <w:webHidden/>
          </w:rPr>
          <w:fldChar w:fldCharType="begin"/>
        </w:r>
        <w:r w:rsidR="00530526">
          <w:rPr>
            <w:noProof/>
            <w:webHidden/>
          </w:rPr>
          <w:instrText xml:space="preserve"> PAGEREF _Toc170709429 \h </w:instrText>
        </w:r>
        <w:r w:rsidR="00530526">
          <w:rPr>
            <w:noProof/>
            <w:webHidden/>
          </w:rPr>
        </w:r>
        <w:r w:rsidR="00530526">
          <w:rPr>
            <w:noProof/>
            <w:webHidden/>
          </w:rPr>
          <w:fldChar w:fldCharType="separate"/>
        </w:r>
        <w:r w:rsidR="00AB71F7">
          <w:rPr>
            <w:noProof/>
            <w:webHidden/>
          </w:rPr>
          <w:t>3</w:t>
        </w:r>
        <w:r w:rsidR="00530526">
          <w:rPr>
            <w:noProof/>
            <w:webHidden/>
          </w:rPr>
          <w:fldChar w:fldCharType="end"/>
        </w:r>
      </w:hyperlink>
    </w:p>
    <w:p w14:paraId="6882EE46" w14:textId="7667C11B" w:rsidR="00530526" w:rsidRDefault="00000000">
      <w:pPr>
        <w:pStyle w:val="TOC1"/>
        <w:rPr>
          <w:rFonts w:asciiTheme="minorHAnsi" w:eastAsiaTheme="minorEastAsia" w:hAnsiTheme="minorHAnsi" w:cstheme="minorBidi"/>
          <w:b w:val="0"/>
          <w:noProof/>
          <w:szCs w:val="22"/>
          <w:lang w:val="en-AU" w:eastAsia="en-AU"/>
        </w:rPr>
      </w:pPr>
      <w:hyperlink w:anchor="_Toc170709430" w:history="1">
        <w:r w:rsidR="00530526" w:rsidRPr="0027544B">
          <w:rPr>
            <w:rStyle w:val="Hyperlink"/>
            <w:noProof/>
          </w:rPr>
          <w:t>Section 3: Good Manufacturing Practice – complying with the GMP Code</w:t>
        </w:r>
        <w:r w:rsidR="00530526">
          <w:rPr>
            <w:noProof/>
            <w:webHidden/>
          </w:rPr>
          <w:tab/>
        </w:r>
        <w:r w:rsidR="00530526">
          <w:rPr>
            <w:noProof/>
            <w:webHidden/>
          </w:rPr>
          <w:fldChar w:fldCharType="begin"/>
        </w:r>
        <w:r w:rsidR="00530526">
          <w:rPr>
            <w:noProof/>
            <w:webHidden/>
          </w:rPr>
          <w:instrText xml:space="preserve"> PAGEREF _Toc170709430 \h </w:instrText>
        </w:r>
        <w:r w:rsidR="00530526">
          <w:rPr>
            <w:noProof/>
            <w:webHidden/>
          </w:rPr>
        </w:r>
        <w:r w:rsidR="00530526">
          <w:rPr>
            <w:noProof/>
            <w:webHidden/>
          </w:rPr>
          <w:fldChar w:fldCharType="separate"/>
        </w:r>
        <w:r w:rsidR="00AB71F7">
          <w:rPr>
            <w:noProof/>
            <w:webHidden/>
          </w:rPr>
          <w:t>4</w:t>
        </w:r>
        <w:r w:rsidR="00530526">
          <w:rPr>
            <w:noProof/>
            <w:webHidden/>
          </w:rPr>
          <w:fldChar w:fldCharType="end"/>
        </w:r>
      </w:hyperlink>
    </w:p>
    <w:p w14:paraId="01FBEEFE" w14:textId="03EF5866" w:rsidR="00530526" w:rsidRDefault="00000000">
      <w:pPr>
        <w:pStyle w:val="TOC2"/>
        <w:rPr>
          <w:rFonts w:asciiTheme="minorHAnsi" w:eastAsiaTheme="minorEastAsia" w:hAnsiTheme="minorHAnsi" w:cstheme="minorBidi"/>
          <w:noProof/>
          <w:szCs w:val="22"/>
          <w:lang w:val="en-AU" w:eastAsia="en-AU"/>
        </w:rPr>
      </w:pPr>
      <w:hyperlink w:anchor="_Toc170709431" w:history="1">
        <w:r w:rsidR="00530526" w:rsidRPr="0027544B">
          <w:rPr>
            <w:rStyle w:val="Hyperlink"/>
            <w:noProof/>
          </w:rPr>
          <w:t>3.1</w:t>
        </w:r>
        <w:r w:rsidR="00530526">
          <w:rPr>
            <w:rFonts w:asciiTheme="minorHAnsi" w:eastAsiaTheme="minorEastAsia" w:hAnsiTheme="minorHAnsi" w:cstheme="minorBidi"/>
            <w:noProof/>
            <w:szCs w:val="22"/>
            <w:lang w:val="en-AU" w:eastAsia="en-AU"/>
          </w:rPr>
          <w:tab/>
        </w:r>
        <w:r w:rsidR="00530526" w:rsidRPr="0027544B">
          <w:rPr>
            <w:rStyle w:val="Hyperlink"/>
            <w:noProof/>
          </w:rPr>
          <w:t>The GMP Code</w:t>
        </w:r>
        <w:r w:rsidR="00530526">
          <w:rPr>
            <w:noProof/>
            <w:webHidden/>
          </w:rPr>
          <w:tab/>
        </w:r>
        <w:r w:rsidR="00530526">
          <w:rPr>
            <w:noProof/>
            <w:webHidden/>
          </w:rPr>
          <w:fldChar w:fldCharType="begin"/>
        </w:r>
        <w:r w:rsidR="00530526">
          <w:rPr>
            <w:noProof/>
            <w:webHidden/>
          </w:rPr>
          <w:instrText xml:space="preserve"> PAGEREF _Toc170709431 \h </w:instrText>
        </w:r>
        <w:r w:rsidR="00530526">
          <w:rPr>
            <w:noProof/>
            <w:webHidden/>
          </w:rPr>
        </w:r>
        <w:r w:rsidR="00530526">
          <w:rPr>
            <w:noProof/>
            <w:webHidden/>
          </w:rPr>
          <w:fldChar w:fldCharType="separate"/>
        </w:r>
        <w:r w:rsidR="00AB71F7">
          <w:rPr>
            <w:noProof/>
            <w:webHidden/>
          </w:rPr>
          <w:t>4</w:t>
        </w:r>
        <w:r w:rsidR="00530526">
          <w:rPr>
            <w:noProof/>
            <w:webHidden/>
          </w:rPr>
          <w:fldChar w:fldCharType="end"/>
        </w:r>
      </w:hyperlink>
    </w:p>
    <w:p w14:paraId="390C278B" w14:textId="0DAF018F" w:rsidR="00530526" w:rsidRDefault="00000000">
      <w:pPr>
        <w:pStyle w:val="TOC2"/>
        <w:rPr>
          <w:rFonts w:asciiTheme="minorHAnsi" w:eastAsiaTheme="minorEastAsia" w:hAnsiTheme="minorHAnsi" w:cstheme="minorBidi"/>
          <w:noProof/>
          <w:szCs w:val="22"/>
          <w:lang w:val="en-AU" w:eastAsia="en-AU"/>
        </w:rPr>
      </w:pPr>
      <w:hyperlink w:anchor="_Toc170709432" w:history="1">
        <w:r w:rsidR="00530526" w:rsidRPr="0027544B">
          <w:rPr>
            <w:rStyle w:val="Hyperlink"/>
            <w:noProof/>
          </w:rPr>
          <w:t>3.2</w:t>
        </w:r>
        <w:r w:rsidR="00530526">
          <w:rPr>
            <w:rFonts w:asciiTheme="minorHAnsi" w:eastAsiaTheme="minorEastAsia" w:hAnsiTheme="minorHAnsi" w:cstheme="minorBidi"/>
            <w:noProof/>
            <w:szCs w:val="22"/>
            <w:lang w:val="en-AU" w:eastAsia="en-AU"/>
          </w:rPr>
          <w:tab/>
        </w:r>
        <w:r w:rsidR="00530526" w:rsidRPr="0027544B">
          <w:rPr>
            <w:rStyle w:val="Hyperlink"/>
            <w:noProof/>
          </w:rPr>
          <w:t>How to find out more about the GMP Code</w:t>
        </w:r>
        <w:r w:rsidR="00530526">
          <w:rPr>
            <w:noProof/>
            <w:webHidden/>
          </w:rPr>
          <w:tab/>
        </w:r>
        <w:r w:rsidR="00530526">
          <w:rPr>
            <w:noProof/>
            <w:webHidden/>
          </w:rPr>
          <w:fldChar w:fldCharType="begin"/>
        </w:r>
        <w:r w:rsidR="00530526">
          <w:rPr>
            <w:noProof/>
            <w:webHidden/>
          </w:rPr>
          <w:instrText xml:space="preserve"> PAGEREF _Toc170709432 \h </w:instrText>
        </w:r>
        <w:r w:rsidR="00530526">
          <w:rPr>
            <w:noProof/>
            <w:webHidden/>
          </w:rPr>
        </w:r>
        <w:r w:rsidR="00530526">
          <w:rPr>
            <w:noProof/>
            <w:webHidden/>
          </w:rPr>
          <w:fldChar w:fldCharType="separate"/>
        </w:r>
        <w:r w:rsidR="00AB71F7">
          <w:rPr>
            <w:noProof/>
            <w:webHidden/>
          </w:rPr>
          <w:t>5</w:t>
        </w:r>
        <w:r w:rsidR="00530526">
          <w:rPr>
            <w:noProof/>
            <w:webHidden/>
          </w:rPr>
          <w:fldChar w:fldCharType="end"/>
        </w:r>
      </w:hyperlink>
    </w:p>
    <w:p w14:paraId="2255CBDA" w14:textId="36C4E1D5" w:rsidR="00530526" w:rsidRDefault="00000000">
      <w:pPr>
        <w:pStyle w:val="TOC1"/>
        <w:rPr>
          <w:rFonts w:asciiTheme="minorHAnsi" w:eastAsiaTheme="minorEastAsia" w:hAnsiTheme="minorHAnsi" w:cstheme="minorBidi"/>
          <w:b w:val="0"/>
          <w:noProof/>
          <w:szCs w:val="22"/>
          <w:lang w:val="en-AU" w:eastAsia="en-AU"/>
        </w:rPr>
      </w:pPr>
      <w:hyperlink w:anchor="_Toc170709433" w:history="1">
        <w:r w:rsidR="00530526" w:rsidRPr="0027544B">
          <w:rPr>
            <w:rStyle w:val="Hyperlink"/>
            <w:noProof/>
          </w:rPr>
          <w:t>Section 4: When to start implementing the GMP Code in the manufacturing process</w:t>
        </w:r>
        <w:r w:rsidR="00530526">
          <w:rPr>
            <w:noProof/>
            <w:webHidden/>
          </w:rPr>
          <w:tab/>
        </w:r>
        <w:r w:rsidR="00530526">
          <w:rPr>
            <w:noProof/>
            <w:webHidden/>
          </w:rPr>
          <w:fldChar w:fldCharType="begin"/>
        </w:r>
        <w:r w:rsidR="00530526">
          <w:rPr>
            <w:noProof/>
            <w:webHidden/>
          </w:rPr>
          <w:instrText xml:space="preserve"> PAGEREF _Toc170709433 \h </w:instrText>
        </w:r>
        <w:r w:rsidR="00530526">
          <w:rPr>
            <w:noProof/>
            <w:webHidden/>
          </w:rPr>
        </w:r>
        <w:r w:rsidR="00530526">
          <w:rPr>
            <w:noProof/>
            <w:webHidden/>
          </w:rPr>
          <w:fldChar w:fldCharType="separate"/>
        </w:r>
        <w:r w:rsidR="00AB71F7">
          <w:rPr>
            <w:noProof/>
            <w:webHidden/>
          </w:rPr>
          <w:t>6</w:t>
        </w:r>
        <w:r w:rsidR="00530526">
          <w:rPr>
            <w:noProof/>
            <w:webHidden/>
          </w:rPr>
          <w:fldChar w:fldCharType="end"/>
        </w:r>
      </w:hyperlink>
    </w:p>
    <w:p w14:paraId="507A3832" w14:textId="59AD0B7D" w:rsidR="00530526" w:rsidRDefault="00000000">
      <w:pPr>
        <w:pStyle w:val="TOC1"/>
        <w:rPr>
          <w:rFonts w:asciiTheme="minorHAnsi" w:eastAsiaTheme="minorEastAsia" w:hAnsiTheme="minorHAnsi" w:cstheme="minorBidi"/>
          <w:b w:val="0"/>
          <w:noProof/>
          <w:szCs w:val="22"/>
          <w:lang w:val="en-AU" w:eastAsia="en-AU"/>
        </w:rPr>
      </w:pPr>
      <w:hyperlink w:anchor="_Toc170709434" w:history="1">
        <w:r w:rsidR="00530526" w:rsidRPr="0027544B">
          <w:rPr>
            <w:rStyle w:val="Hyperlink"/>
            <w:noProof/>
          </w:rPr>
          <w:t>Section 5: How to prepare for an audit against the GMP Code</w:t>
        </w:r>
        <w:r w:rsidR="00530526">
          <w:rPr>
            <w:noProof/>
            <w:webHidden/>
          </w:rPr>
          <w:tab/>
        </w:r>
        <w:r w:rsidR="00530526">
          <w:rPr>
            <w:noProof/>
            <w:webHidden/>
          </w:rPr>
          <w:fldChar w:fldCharType="begin"/>
        </w:r>
        <w:r w:rsidR="00530526">
          <w:rPr>
            <w:noProof/>
            <w:webHidden/>
          </w:rPr>
          <w:instrText xml:space="preserve"> PAGEREF _Toc170709434 \h </w:instrText>
        </w:r>
        <w:r w:rsidR="00530526">
          <w:rPr>
            <w:noProof/>
            <w:webHidden/>
          </w:rPr>
        </w:r>
        <w:r w:rsidR="00530526">
          <w:rPr>
            <w:noProof/>
            <w:webHidden/>
          </w:rPr>
          <w:fldChar w:fldCharType="separate"/>
        </w:r>
        <w:r w:rsidR="00AB71F7">
          <w:rPr>
            <w:noProof/>
            <w:webHidden/>
          </w:rPr>
          <w:t>9</w:t>
        </w:r>
        <w:r w:rsidR="00530526">
          <w:rPr>
            <w:noProof/>
            <w:webHidden/>
          </w:rPr>
          <w:fldChar w:fldCharType="end"/>
        </w:r>
      </w:hyperlink>
    </w:p>
    <w:p w14:paraId="7BCAB35F" w14:textId="05FA7DCB" w:rsidR="00530526" w:rsidRDefault="00000000">
      <w:pPr>
        <w:pStyle w:val="TOC2"/>
        <w:rPr>
          <w:rFonts w:asciiTheme="minorHAnsi" w:eastAsiaTheme="minorEastAsia" w:hAnsiTheme="minorHAnsi" w:cstheme="minorBidi"/>
          <w:noProof/>
          <w:szCs w:val="22"/>
          <w:lang w:val="en-AU" w:eastAsia="en-AU"/>
        </w:rPr>
      </w:pPr>
      <w:hyperlink w:anchor="_Toc170709435" w:history="1">
        <w:r w:rsidR="00530526" w:rsidRPr="0027544B">
          <w:rPr>
            <w:rStyle w:val="Hyperlink"/>
            <w:noProof/>
          </w:rPr>
          <w:t>5.1</w:t>
        </w:r>
        <w:r w:rsidR="00530526">
          <w:rPr>
            <w:rFonts w:asciiTheme="minorHAnsi" w:eastAsiaTheme="minorEastAsia" w:hAnsiTheme="minorHAnsi" w:cstheme="minorBidi"/>
            <w:noProof/>
            <w:szCs w:val="22"/>
            <w:lang w:val="en-AU" w:eastAsia="en-AU"/>
          </w:rPr>
          <w:tab/>
        </w:r>
        <w:r w:rsidR="00530526" w:rsidRPr="0027544B">
          <w:rPr>
            <w:rStyle w:val="Hyperlink"/>
            <w:noProof/>
          </w:rPr>
          <w:t>Quality management system</w:t>
        </w:r>
        <w:r w:rsidR="00530526">
          <w:rPr>
            <w:noProof/>
            <w:webHidden/>
          </w:rPr>
          <w:tab/>
        </w:r>
        <w:r w:rsidR="00530526">
          <w:rPr>
            <w:noProof/>
            <w:webHidden/>
          </w:rPr>
          <w:fldChar w:fldCharType="begin"/>
        </w:r>
        <w:r w:rsidR="00530526">
          <w:rPr>
            <w:noProof/>
            <w:webHidden/>
          </w:rPr>
          <w:instrText xml:space="preserve"> PAGEREF _Toc170709435 \h </w:instrText>
        </w:r>
        <w:r w:rsidR="00530526">
          <w:rPr>
            <w:noProof/>
            <w:webHidden/>
          </w:rPr>
        </w:r>
        <w:r w:rsidR="00530526">
          <w:rPr>
            <w:noProof/>
            <w:webHidden/>
          </w:rPr>
          <w:fldChar w:fldCharType="separate"/>
        </w:r>
        <w:r w:rsidR="00AB71F7">
          <w:rPr>
            <w:noProof/>
            <w:webHidden/>
          </w:rPr>
          <w:t>9</w:t>
        </w:r>
        <w:r w:rsidR="00530526">
          <w:rPr>
            <w:noProof/>
            <w:webHidden/>
          </w:rPr>
          <w:fldChar w:fldCharType="end"/>
        </w:r>
      </w:hyperlink>
    </w:p>
    <w:p w14:paraId="2A504238" w14:textId="45B8C893" w:rsidR="00530526" w:rsidRDefault="00000000">
      <w:pPr>
        <w:pStyle w:val="TOC2"/>
        <w:rPr>
          <w:rFonts w:asciiTheme="minorHAnsi" w:eastAsiaTheme="minorEastAsia" w:hAnsiTheme="minorHAnsi" w:cstheme="minorBidi"/>
          <w:noProof/>
          <w:szCs w:val="22"/>
          <w:lang w:val="en-AU" w:eastAsia="en-AU"/>
        </w:rPr>
      </w:pPr>
      <w:hyperlink w:anchor="_Toc170709436" w:history="1">
        <w:r w:rsidR="00530526" w:rsidRPr="0027544B">
          <w:rPr>
            <w:rStyle w:val="Hyperlink"/>
            <w:noProof/>
          </w:rPr>
          <w:t>5.2</w:t>
        </w:r>
        <w:r w:rsidR="00530526">
          <w:rPr>
            <w:rFonts w:asciiTheme="minorHAnsi" w:eastAsiaTheme="minorEastAsia" w:hAnsiTheme="minorHAnsi" w:cstheme="minorBidi"/>
            <w:noProof/>
            <w:szCs w:val="22"/>
            <w:lang w:val="en-AU" w:eastAsia="en-AU"/>
          </w:rPr>
          <w:tab/>
        </w:r>
        <w:r w:rsidR="00530526" w:rsidRPr="0027544B">
          <w:rPr>
            <w:rStyle w:val="Hyperlink"/>
            <w:noProof/>
          </w:rPr>
          <w:t>Premises and equipment</w:t>
        </w:r>
        <w:r w:rsidR="00530526">
          <w:rPr>
            <w:noProof/>
            <w:webHidden/>
          </w:rPr>
          <w:tab/>
        </w:r>
        <w:r w:rsidR="00530526">
          <w:rPr>
            <w:noProof/>
            <w:webHidden/>
          </w:rPr>
          <w:fldChar w:fldCharType="begin"/>
        </w:r>
        <w:r w:rsidR="00530526">
          <w:rPr>
            <w:noProof/>
            <w:webHidden/>
          </w:rPr>
          <w:instrText xml:space="preserve"> PAGEREF _Toc170709436 \h </w:instrText>
        </w:r>
        <w:r w:rsidR="00530526">
          <w:rPr>
            <w:noProof/>
            <w:webHidden/>
          </w:rPr>
        </w:r>
        <w:r w:rsidR="00530526">
          <w:rPr>
            <w:noProof/>
            <w:webHidden/>
          </w:rPr>
          <w:fldChar w:fldCharType="separate"/>
        </w:r>
        <w:r w:rsidR="00AB71F7">
          <w:rPr>
            <w:noProof/>
            <w:webHidden/>
          </w:rPr>
          <w:t>9</w:t>
        </w:r>
        <w:r w:rsidR="00530526">
          <w:rPr>
            <w:noProof/>
            <w:webHidden/>
          </w:rPr>
          <w:fldChar w:fldCharType="end"/>
        </w:r>
      </w:hyperlink>
    </w:p>
    <w:p w14:paraId="640917D0" w14:textId="0549A82F" w:rsidR="00530526" w:rsidRDefault="00000000">
      <w:pPr>
        <w:pStyle w:val="TOC2"/>
        <w:rPr>
          <w:rFonts w:asciiTheme="minorHAnsi" w:eastAsiaTheme="minorEastAsia" w:hAnsiTheme="minorHAnsi" w:cstheme="minorBidi"/>
          <w:noProof/>
          <w:szCs w:val="22"/>
          <w:lang w:val="en-AU" w:eastAsia="en-AU"/>
        </w:rPr>
      </w:pPr>
      <w:hyperlink w:anchor="_Toc170709437" w:history="1">
        <w:r w:rsidR="00530526" w:rsidRPr="0027544B">
          <w:rPr>
            <w:rStyle w:val="Hyperlink"/>
            <w:noProof/>
          </w:rPr>
          <w:t>5.3</w:t>
        </w:r>
        <w:r w:rsidR="00530526">
          <w:rPr>
            <w:rFonts w:asciiTheme="minorHAnsi" w:eastAsiaTheme="minorEastAsia" w:hAnsiTheme="minorHAnsi" w:cstheme="minorBidi"/>
            <w:noProof/>
            <w:szCs w:val="22"/>
            <w:lang w:val="en-AU" w:eastAsia="en-AU"/>
          </w:rPr>
          <w:tab/>
        </w:r>
        <w:r w:rsidR="00530526" w:rsidRPr="0027544B">
          <w:rPr>
            <w:rStyle w:val="Hyperlink"/>
            <w:noProof/>
          </w:rPr>
          <w:t>Product development must be complete</w:t>
        </w:r>
        <w:r w:rsidR="00530526">
          <w:rPr>
            <w:noProof/>
            <w:webHidden/>
          </w:rPr>
          <w:tab/>
        </w:r>
        <w:r w:rsidR="00530526">
          <w:rPr>
            <w:noProof/>
            <w:webHidden/>
          </w:rPr>
          <w:fldChar w:fldCharType="begin"/>
        </w:r>
        <w:r w:rsidR="00530526">
          <w:rPr>
            <w:noProof/>
            <w:webHidden/>
          </w:rPr>
          <w:instrText xml:space="preserve"> PAGEREF _Toc170709437 \h </w:instrText>
        </w:r>
        <w:r w:rsidR="00530526">
          <w:rPr>
            <w:noProof/>
            <w:webHidden/>
          </w:rPr>
        </w:r>
        <w:r w:rsidR="00530526">
          <w:rPr>
            <w:noProof/>
            <w:webHidden/>
          </w:rPr>
          <w:fldChar w:fldCharType="separate"/>
        </w:r>
        <w:r w:rsidR="00AB71F7">
          <w:rPr>
            <w:noProof/>
            <w:webHidden/>
          </w:rPr>
          <w:t>10</w:t>
        </w:r>
        <w:r w:rsidR="00530526">
          <w:rPr>
            <w:noProof/>
            <w:webHidden/>
          </w:rPr>
          <w:fldChar w:fldCharType="end"/>
        </w:r>
      </w:hyperlink>
    </w:p>
    <w:p w14:paraId="4BE36C9D" w14:textId="3E286EDD" w:rsidR="00530526" w:rsidRDefault="00000000">
      <w:pPr>
        <w:pStyle w:val="TOC2"/>
        <w:rPr>
          <w:rFonts w:asciiTheme="minorHAnsi" w:eastAsiaTheme="minorEastAsia" w:hAnsiTheme="minorHAnsi" w:cstheme="minorBidi"/>
          <w:noProof/>
          <w:szCs w:val="22"/>
          <w:lang w:val="en-AU" w:eastAsia="en-AU"/>
        </w:rPr>
      </w:pPr>
      <w:hyperlink w:anchor="_Toc170709438" w:history="1">
        <w:r w:rsidR="00530526" w:rsidRPr="0027544B">
          <w:rPr>
            <w:rStyle w:val="Hyperlink"/>
            <w:noProof/>
          </w:rPr>
          <w:t>5.4</w:t>
        </w:r>
        <w:r w:rsidR="00530526">
          <w:rPr>
            <w:rFonts w:asciiTheme="minorHAnsi" w:eastAsiaTheme="minorEastAsia" w:hAnsiTheme="minorHAnsi" w:cstheme="minorBidi"/>
            <w:noProof/>
            <w:szCs w:val="22"/>
            <w:lang w:val="en-AU" w:eastAsia="en-AU"/>
          </w:rPr>
          <w:tab/>
        </w:r>
        <w:r w:rsidR="00530526" w:rsidRPr="0027544B">
          <w:rPr>
            <w:rStyle w:val="Hyperlink"/>
            <w:noProof/>
          </w:rPr>
          <w:t>Process validation</w:t>
        </w:r>
        <w:r w:rsidR="00530526">
          <w:rPr>
            <w:noProof/>
            <w:webHidden/>
          </w:rPr>
          <w:tab/>
        </w:r>
        <w:r w:rsidR="00530526">
          <w:rPr>
            <w:noProof/>
            <w:webHidden/>
          </w:rPr>
          <w:fldChar w:fldCharType="begin"/>
        </w:r>
        <w:r w:rsidR="00530526">
          <w:rPr>
            <w:noProof/>
            <w:webHidden/>
          </w:rPr>
          <w:instrText xml:space="preserve"> PAGEREF _Toc170709438 \h </w:instrText>
        </w:r>
        <w:r w:rsidR="00530526">
          <w:rPr>
            <w:noProof/>
            <w:webHidden/>
          </w:rPr>
        </w:r>
        <w:r w:rsidR="00530526">
          <w:rPr>
            <w:noProof/>
            <w:webHidden/>
          </w:rPr>
          <w:fldChar w:fldCharType="separate"/>
        </w:r>
        <w:r w:rsidR="00AB71F7">
          <w:rPr>
            <w:noProof/>
            <w:webHidden/>
          </w:rPr>
          <w:t>10</w:t>
        </w:r>
        <w:r w:rsidR="00530526">
          <w:rPr>
            <w:noProof/>
            <w:webHidden/>
          </w:rPr>
          <w:fldChar w:fldCharType="end"/>
        </w:r>
      </w:hyperlink>
    </w:p>
    <w:p w14:paraId="6ECAAC02" w14:textId="04332E33" w:rsidR="00530526" w:rsidRDefault="00000000">
      <w:pPr>
        <w:pStyle w:val="TOC2"/>
        <w:rPr>
          <w:rFonts w:asciiTheme="minorHAnsi" w:eastAsiaTheme="minorEastAsia" w:hAnsiTheme="minorHAnsi" w:cstheme="minorBidi"/>
          <w:noProof/>
          <w:szCs w:val="22"/>
          <w:lang w:val="en-AU" w:eastAsia="en-AU"/>
        </w:rPr>
      </w:pPr>
      <w:hyperlink w:anchor="_Toc170709439" w:history="1">
        <w:r w:rsidR="00530526" w:rsidRPr="0027544B">
          <w:rPr>
            <w:rStyle w:val="Hyperlink"/>
            <w:noProof/>
          </w:rPr>
          <w:t>5.5</w:t>
        </w:r>
        <w:r w:rsidR="00530526">
          <w:rPr>
            <w:rFonts w:asciiTheme="minorHAnsi" w:eastAsiaTheme="minorEastAsia" w:hAnsiTheme="minorHAnsi" w:cstheme="minorBidi"/>
            <w:noProof/>
            <w:szCs w:val="22"/>
            <w:lang w:val="en-AU" w:eastAsia="en-AU"/>
          </w:rPr>
          <w:tab/>
        </w:r>
        <w:r w:rsidR="00530526" w:rsidRPr="0027544B">
          <w:rPr>
            <w:rStyle w:val="Hyperlink"/>
            <w:noProof/>
          </w:rPr>
          <w:t>Site master file</w:t>
        </w:r>
        <w:r w:rsidR="00530526">
          <w:rPr>
            <w:noProof/>
            <w:webHidden/>
          </w:rPr>
          <w:tab/>
        </w:r>
        <w:r w:rsidR="00530526">
          <w:rPr>
            <w:noProof/>
            <w:webHidden/>
          </w:rPr>
          <w:fldChar w:fldCharType="begin"/>
        </w:r>
        <w:r w:rsidR="00530526">
          <w:rPr>
            <w:noProof/>
            <w:webHidden/>
          </w:rPr>
          <w:instrText xml:space="preserve"> PAGEREF _Toc170709439 \h </w:instrText>
        </w:r>
        <w:r w:rsidR="00530526">
          <w:rPr>
            <w:noProof/>
            <w:webHidden/>
          </w:rPr>
        </w:r>
        <w:r w:rsidR="00530526">
          <w:rPr>
            <w:noProof/>
            <w:webHidden/>
          </w:rPr>
          <w:fldChar w:fldCharType="separate"/>
        </w:r>
        <w:r w:rsidR="00AB71F7">
          <w:rPr>
            <w:noProof/>
            <w:webHidden/>
          </w:rPr>
          <w:t>11</w:t>
        </w:r>
        <w:r w:rsidR="00530526">
          <w:rPr>
            <w:noProof/>
            <w:webHidden/>
          </w:rPr>
          <w:fldChar w:fldCharType="end"/>
        </w:r>
      </w:hyperlink>
    </w:p>
    <w:p w14:paraId="7035B4EC" w14:textId="5F8EB80C" w:rsidR="00530526" w:rsidRDefault="00000000">
      <w:pPr>
        <w:pStyle w:val="TOC1"/>
        <w:rPr>
          <w:rFonts w:asciiTheme="minorHAnsi" w:eastAsiaTheme="minorEastAsia" w:hAnsiTheme="minorHAnsi" w:cstheme="minorBidi"/>
          <w:b w:val="0"/>
          <w:noProof/>
          <w:szCs w:val="22"/>
          <w:lang w:val="en-AU" w:eastAsia="en-AU"/>
        </w:rPr>
      </w:pPr>
      <w:hyperlink w:anchor="_Toc170709440" w:history="1">
        <w:r w:rsidR="00530526" w:rsidRPr="0027544B">
          <w:rPr>
            <w:rStyle w:val="Hyperlink"/>
            <w:noProof/>
          </w:rPr>
          <w:t>Section 6: The audit process</w:t>
        </w:r>
        <w:r w:rsidR="00530526">
          <w:rPr>
            <w:noProof/>
            <w:webHidden/>
          </w:rPr>
          <w:tab/>
        </w:r>
        <w:r w:rsidR="00530526">
          <w:rPr>
            <w:noProof/>
            <w:webHidden/>
          </w:rPr>
          <w:fldChar w:fldCharType="begin"/>
        </w:r>
        <w:r w:rsidR="00530526">
          <w:rPr>
            <w:noProof/>
            <w:webHidden/>
          </w:rPr>
          <w:instrText xml:space="preserve"> PAGEREF _Toc170709440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576AA6A9" w14:textId="4D1E8C17" w:rsidR="00530526" w:rsidRDefault="00000000">
      <w:pPr>
        <w:pStyle w:val="TOC2"/>
        <w:rPr>
          <w:rFonts w:asciiTheme="minorHAnsi" w:eastAsiaTheme="minorEastAsia" w:hAnsiTheme="minorHAnsi" w:cstheme="minorBidi"/>
          <w:noProof/>
          <w:szCs w:val="22"/>
          <w:lang w:val="en-AU" w:eastAsia="en-AU"/>
        </w:rPr>
      </w:pPr>
      <w:hyperlink w:anchor="_Toc170709441" w:history="1">
        <w:r w:rsidR="00530526" w:rsidRPr="0027544B">
          <w:rPr>
            <w:rStyle w:val="Hyperlink"/>
            <w:noProof/>
          </w:rPr>
          <w:t>6.1</w:t>
        </w:r>
        <w:r w:rsidR="00530526">
          <w:rPr>
            <w:rFonts w:asciiTheme="minorHAnsi" w:eastAsiaTheme="minorEastAsia" w:hAnsiTheme="minorHAnsi" w:cstheme="minorBidi"/>
            <w:noProof/>
            <w:szCs w:val="22"/>
            <w:lang w:val="en-AU" w:eastAsia="en-AU"/>
          </w:rPr>
          <w:tab/>
        </w:r>
        <w:r w:rsidR="00530526" w:rsidRPr="0027544B">
          <w:rPr>
            <w:rStyle w:val="Hyperlink"/>
            <w:noProof/>
          </w:rPr>
          <w:t>Lodging the application</w:t>
        </w:r>
        <w:r w:rsidR="00530526">
          <w:rPr>
            <w:noProof/>
            <w:webHidden/>
          </w:rPr>
          <w:tab/>
        </w:r>
        <w:r w:rsidR="00530526">
          <w:rPr>
            <w:noProof/>
            <w:webHidden/>
          </w:rPr>
          <w:fldChar w:fldCharType="begin"/>
        </w:r>
        <w:r w:rsidR="00530526">
          <w:rPr>
            <w:noProof/>
            <w:webHidden/>
          </w:rPr>
          <w:instrText xml:space="preserve"> PAGEREF _Toc170709441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31889503" w14:textId="69C8217D" w:rsidR="00530526" w:rsidRDefault="00000000">
      <w:pPr>
        <w:pStyle w:val="TOC2"/>
        <w:rPr>
          <w:rFonts w:asciiTheme="minorHAnsi" w:eastAsiaTheme="minorEastAsia" w:hAnsiTheme="minorHAnsi" w:cstheme="minorBidi"/>
          <w:noProof/>
          <w:szCs w:val="22"/>
          <w:lang w:val="en-AU" w:eastAsia="en-AU"/>
        </w:rPr>
      </w:pPr>
      <w:hyperlink w:anchor="_Toc170709442" w:history="1">
        <w:r w:rsidR="00530526" w:rsidRPr="0027544B">
          <w:rPr>
            <w:rStyle w:val="Hyperlink"/>
            <w:noProof/>
          </w:rPr>
          <w:t>6.2</w:t>
        </w:r>
        <w:r w:rsidR="00530526">
          <w:rPr>
            <w:rFonts w:asciiTheme="minorHAnsi" w:eastAsiaTheme="minorEastAsia" w:hAnsiTheme="minorHAnsi" w:cstheme="minorBidi"/>
            <w:noProof/>
            <w:szCs w:val="22"/>
            <w:lang w:val="en-AU" w:eastAsia="en-AU"/>
          </w:rPr>
          <w:tab/>
        </w:r>
        <w:r w:rsidR="00530526" w:rsidRPr="0027544B">
          <w:rPr>
            <w:rStyle w:val="Hyperlink"/>
            <w:noProof/>
          </w:rPr>
          <w:t>Arranging the audit date</w:t>
        </w:r>
        <w:r w:rsidR="00530526">
          <w:rPr>
            <w:noProof/>
            <w:webHidden/>
          </w:rPr>
          <w:tab/>
        </w:r>
        <w:r w:rsidR="00530526">
          <w:rPr>
            <w:noProof/>
            <w:webHidden/>
          </w:rPr>
          <w:fldChar w:fldCharType="begin"/>
        </w:r>
        <w:r w:rsidR="00530526">
          <w:rPr>
            <w:noProof/>
            <w:webHidden/>
          </w:rPr>
          <w:instrText xml:space="preserve"> PAGEREF _Toc170709442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5FC951FB" w14:textId="14C1C0B1" w:rsidR="00530526" w:rsidRDefault="00000000">
      <w:pPr>
        <w:pStyle w:val="TOC2"/>
        <w:rPr>
          <w:rFonts w:asciiTheme="minorHAnsi" w:eastAsiaTheme="minorEastAsia" w:hAnsiTheme="minorHAnsi" w:cstheme="minorBidi"/>
          <w:noProof/>
          <w:szCs w:val="22"/>
          <w:lang w:val="en-AU" w:eastAsia="en-AU"/>
        </w:rPr>
      </w:pPr>
      <w:hyperlink w:anchor="_Toc170709443" w:history="1">
        <w:r w:rsidR="00530526" w:rsidRPr="0027544B">
          <w:rPr>
            <w:rStyle w:val="Hyperlink"/>
            <w:noProof/>
          </w:rPr>
          <w:t>6.3</w:t>
        </w:r>
        <w:r w:rsidR="00530526">
          <w:rPr>
            <w:rFonts w:asciiTheme="minorHAnsi" w:eastAsiaTheme="minorEastAsia" w:hAnsiTheme="minorHAnsi" w:cstheme="minorBidi"/>
            <w:noProof/>
            <w:szCs w:val="22"/>
            <w:lang w:val="en-AU" w:eastAsia="en-AU"/>
          </w:rPr>
          <w:tab/>
        </w:r>
        <w:r w:rsidR="00530526" w:rsidRPr="0027544B">
          <w:rPr>
            <w:rStyle w:val="Hyperlink"/>
            <w:noProof/>
          </w:rPr>
          <w:t>Carrying out the GMP audit</w:t>
        </w:r>
        <w:r w:rsidR="00530526">
          <w:rPr>
            <w:noProof/>
            <w:webHidden/>
          </w:rPr>
          <w:tab/>
        </w:r>
        <w:r w:rsidR="00530526">
          <w:rPr>
            <w:noProof/>
            <w:webHidden/>
          </w:rPr>
          <w:fldChar w:fldCharType="begin"/>
        </w:r>
        <w:r w:rsidR="00530526">
          <w:rPr>
            <w:noProof/>
            <w:webHidden/>
          </w:rPr>
          <w:instrText xml:space="preserve"> PAGEREF _Toc170709443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495AE55F" w14:textId="60D74370" w:rsidR="00530526" w:rsidRDefault="00000000">
      <w:pPr>
        <w:pStyle w:val="TOC2"/>
        <w:rPr>
          <w:rFonts w:asciiTheme="minorHAnsi" w:eastAsiaTheme="minorEastAsia" w:hAnsiTheme="minorHAnsi" w:cstheme="minorBidi"/>
          <w:noProof/>
          <w:szCs w:val="22"/>
          <w:lang w:val="en-AU" w:eastAsia="en-AU"/>
        </w:rPr>
      </w:pPr>
      <w:hyperlink w:anchor="_Toc170709444" w:history="1">
        <w:r w:rsidR="00530526" w:rsidRPr="0027544B">
          <w:rPr>
            <w:rStyle w:val="Hyperlink"/>
            <w:noProof/>
          </w:rPr>
          <w:t>6.4</w:t>
        </w:r>
        <w:r w:rsidR="00530526">
          <w:rPr>
            <w:rFonts w:asciiTheme="minorHAnsi" w:eastAsiaTheme="minorEastAsia" w:hAnsiTheme="minorHAnsi" w:cstheme="minorBidi"/>
            <w:noProof/>
            <w:szCs w:val="22"/>
            <w:lang w:val="en-AU" w:eastAsia="en-AU"/>
          </w:rPr>
          <w:tab/>
        </w:r>
        <w:r w:rsidR="00530526" w:rsidRPr="0027544B">
          <w:rPr>
            <w:rStyle w:val="Hyperlink"/>
            <w:noProof/>
          </w:rPr>
          <w:t>Preparing the audit report</w:t>
        </w:r>
        <w:r w:rsidR="00530526">
          <w:rPr>
            <w:noProof/>
            <w:webHidden/>
          </w:rPr>
          <w:tab/>
        </w:r>
        <w:r w:rsidR="00530526">
          <w:rPr>
            <w:noProof/>
            <w:webHidden/>
          </w:rPr>
          <w:fldChar w:fldCharType="begin"/>
        </w:r>
        <w:r w:rsidR="00530526">
          <w:rPr>
            <w:noProof/>
            <w:webHidden/>
          </w:rPr>
          <w:instrText xml:space="preserve"> PAGEREF _Toc170709444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3F1E4986" w14:textId="51623410" w:rsidR="00530526" w:rsidRDefault="00000000">
      <w:pPr>
        <w:pStyle w:val="TOC2"/>
        <w:rPr>
          <w:rFonts w:asciiTheme="minorHAnsi" w:eastAsiaTheme="minorEastAsia" w:hAnsiTheme="minorHAnsi" w:cstheme="minorBidi"/>
          <w:noProof/>
          <w:szCs w:val="22"/>
          <w:lang w:val="en-AU" w:eastAsia="en-AU"/>
        </w:rPr>
      </w:pPr>
      <w:hyperlink w:anchor="_Toc170709445" w:history="1">
        <w:r w:rsidR="00530526" w:rsidRPr="0027544B">
          <w:rPr>
            <w:rStyle w:val="Hyperlink"/>
            <w:noProof/>
          </w:rPr>
          <w:t>6.5</w:t>
        </w:r>
        <w:r w:rsidR="00530526">
          <w:rPr>
            <w:rFonts w:asciiTheme="minorHAnsi" w:eastAsiaTheme="minorEastAsia" w:hAnsiTheme="minorHAnsi" w:cstheme="minorBidi"/>
            <w:noProof/>
            <w:szCs w:val="22"/>
            <w:lang w:val="en-AU" w:eastAsia="en-AU"/>
          </w:rPr>
          <w:tab/>
        </w:r>
        <w:r w:rsidR="00530526" w:rsidRPr="0027544B">
          <w:rPr>
            <w:rStyle w:val="Hyperlink"/>
            <w:noProof/>
          </w:rPr>
          <w:t>Opportunity to respond</w:t>
        </w:r>
        <w:r w:rsidR="00530526">
          <w:rPr>
            <w:noProof/>
            <w:webHidden/>
          </w:rPr>
          <w:tab/>
        </w:r>
        <w:r w:rsidR="00530526">
          <w:rPr>
            <w:noProof/>
            <w:webHidden/>
          </w:rPr>
          <w:fldChar w:fldCharType="begin"/>
        </w:r>
        <w:r w:rsidR="00530526">
          <w:rPr>
            <w:noProof/>
            <w:webHidden/>
          </w:rPr>
          <w:instrText xml:space="preserve"> PAGEREF _Toc170709445 \h </w:instrText>
        </w:r>
        <w:r w:rsidR="00530526">
          <w:rPr>
            <w:noProof/>
            <w:webHidden/>
          </w:rPr>
        </w:r>
        <w:r w:rsidR="00530526">
          <w:rPr>
            <w:noProof/>
            <w:webHidden/>
          </w:rPr>
          <w:fldChar w:fldCharType="separate"/>
        </w:r>
        <w:r w:rsidR="00AB71F7">
          <w:rPr>
            <w:noProof/>
            <w:webHidden/>
          </w:rPr>
          <w:t>12</w:t>
        </w:r>
        <w:r w:rsidR="00530526">
          <w:rPr>
            <w:noProof/>
            <w:webHidden/>
          </w:rPr>
          <w:fldChar w:fldCharType="end"/>
        </w:r>
      </w:hyperlink>
    </w:p>
    <w:p w14:paraId="07F7759F" w14:textId="65ED2AD0" w:rsidR="00530526" w:rsidRDefault="00000000">
      <w:pPr>
        <w:pStyle w:val="TOC2"/>
        <w:rPr>
          <w:rFonts w:asciiTheme="minorHAnsi" w:eastAsiaTheme="minorEastAsia" w:hAnsiTheme="minorHAnsi" w:cstheme="minorBidi"/>
          <w:noProof/>
          <w:szCs w:val="22"/>
          <w:lang w:val="en-AU" w:eastAsia="en-AU"/>
        </w:rPr>
      </w:pPr>
      <w:hyperlink w:anchor="_Toc170709446" w:history="1">
        <w:r w:rsidR="00530526" w:rsidRPr="0027544B">
          <w:rPr>
            <w:rStyle w:val="Hyperlink"/>
            <w:noProof/>
          </w:rPr>
          <w:t>6.6</w:t>
        </w:r>
        <w:r w:rsidR="00530526">
          <w:rPr>
            <w:rFonts w:asciiTheme="minorHAnsi" w:eastAsiaTheme="minorEastAsia" w:hAnsiTheme="minorHAnsi" w:cstheme="minorBidi"/>
            <w:noProof/>
            <w:szCs w:val="22"/>
            <w:lang w:val="en-AU" w:eastAsia="en-AU"/>
          </w:rPr>
          <w:tab/>
        </w:r>
        <w:r w:rsidR="00530526" w:rsidRPr="0027544B">
          <w:rPr>
            <w:rStyle w:val="Hyperlink"/>
            <w:noProof/>
          </w:rPr>
          <w:t>Auditor reviews response</w:t>
        </w:r>
        <w:r w:rsidR="00530526">
          <w:rPr>
            <w:noProof/>
            <w:webHidden/>
          </w:rPr>
          <w:tab/>
        </w:r>
        <w:r w:rsidR="00530526">
          <w:rPr>
            <w:noProof/>
            <w:webHidden/>
          </w:rPr>
          <w:fldChar w:fldCharType="begin"/>
        </w:r>
        <w:r w:rsidR="00530526">
          <w:rPr>
            <w:noProof/>
            <w:webHidden/>
          </w:rPr>
          <w:instrText xml:space="preserve"> PAGEREF _Toc170709446 \h </w:instrText>
        </w:r>
        <w:r w:rsidR="00530526">
          <w:rPr>
            <w:noProof/>
            <w:webHidden/>
          </w:rPr>
        </w:r>
        <w:r w:rsidR="00530526">
          <w:rPr>
            <w:noProof/>
            <w:webHidden/>
          </w:rPr>
          <w:fldChar w:fldCharType="separate"/>
        </w:r>
        <w:r w:rsidR="00AB71F7">
          <w:rPr>
            <w:noProof/>
            <w:webHidden/>
          </w:rPr>
          <w:t>13</w:t>
        </w:r>
        <w:r w:rsidR="00530526">
          <w:rPr>
            <w:noProof/>
            <w:webHidden/>
          </w:rPr>
          <w:fldChar w:fldCharType="end"/>
        </w:r>
      </w:hyperlink>
    </w:p>
    <w:p w14:paraId="3B68035E" w14:textId="79605CF5" w:rsidR="00530526" w:rsidRDefault="00000000">
      <w:pPr>
        <w:pStyle w:val="TOC2"/>
        <w:rPr>
          <w:rFonts w:asciiTheme="minorHAnsi" w:eastAsiaTheme="minorEastAsia" w:hAnsiTheme="minorHAnsi" w:cstheme="minorBidi"/>
          <w:noProof/>
          <w:szCs w:val="22"/>
          <w:lang w:val="en-AU" w:eastAsia="en-AU"/>
        </w:rPr>
      </w:pPr>
      <w:hyperlink w:anchor="_Toc170709447" w:history="1">
        <w:r w:rsidR="00530526" w:rsidRPr="0027544B">
          <w:rPr>
            <w:rStyle w:val="Hyperlink"/>
            <w:noProof/>
          </w:rPr>
          <w:t>6.7</w:t>
        </w:r>
        <w:r w:rsidR="00530526">
          <w:rPr>
            <w:rFonts w:asciiTheme="minorHAnsi" w:eastAsiaTheme="minorEastAsia" w:hAnsiTheme="minorHAnsi" w:cstheme="minorBidi"/>
            <w:noProof/>
            <w:szCs w:val="22"/>
            <w:lang w:val="en-AU" w:eastAsia="en-AU"/>
          </w:rPr>
          <w:tab/>
        </w:r>
        <w:r w:rsidR="00530526" w:rsidRPr="0027544B">
          <w:rPr>
            <w:rStyle w:val="Hyperlink"/>
            <w:noProof/>
          </w:rPr>
          <w:t>Medsafe issues licence</w:t>
        </w:r>
        <w:r w:rsidR="00530526">
          <w:rPr>
            <w:noProof/>
            <w:webHidden/>
          </w:rPr>
          <w:tab/>
        </w:r>
        <w:r w:rsidR="00530526">
          <w:rPr>
            <w:noProof/>
            <w:webHidden/>
          </w:rPr>
          <w:fldChar w:fldCharType="begin"/>
        </w:r>
        <w:r w:rsidR="00530526">
          <w:rPr>
            <w:noProof/>
            <w:webHidden/>
          </w:rPr>
          <w:instrText xml:space="preserve"> PAGEREF _Toc170709447 \h </w:instrText>
        </w:r>
        <w:r w:rsidR="00530526">
          <w:rPr>
            <w:noProof/>
            <w:webHidden/>
          </w:rPr>
        </w:r>
        <w:r w:rsidR="00530526">
          <w:rPr>
            <w:noProof/>
            <w:webHidden/>
          </w:rPr>
          <w:fldChar w:fldCharType="separate"/>
        </w:r>
        <w:r w:rsidR="00AB71F7">
          <w:rPr>
            <w:noProof/>
            <w:webHidden/>
          </w:rPr>
          <w:t>13</w:t>
        </w:r>
        <w:r w:rsidR="00530526">
          <w:rPr>
            <w:noProof/>
            <w:webHidden/>
          </w:rPr>
          <w:fldChar w:fldCharType="end"/>
        </w:r>
      </w:hyperlink>
    </w:p>
    <w:p w14:paraId="2056063E" w14:textId="6E8CC07C" w:rsidR="00530526" w:rsidRDefault="00000000">
      <w:pPr>
        <w:pStyle w:val="TOC1"/>
        <w:rPr>
          <w:rFonts w:asciiTheme="minorHAnsi" w:eastAsiaTheme="minorEastAsia" w:hAnsiTheme="minorHAnsi" w:cstheme="minorBidi"/>
          <w:b w:val="0"/>
          <w:noProof/>
          <w:szCs w:val="22"/>
          <w:lang w:val="en-AU" w:eastAsia="en-AU"/>
        </w:rPr>
      </w:pPr>
      <w:hyperlink w:anchor="_Toc170709448" w:history="1">
        <w:r w:rsidR="00530526" w:rsidRPr="0027544B">
          <w:rPr>
            <w:rStyle w:val="Hyperlink"/>
            <w:noProof/>
          </w:rPr>
          <w:t>Section 7: Responsibilities of licence holders</w:t>
        </w:r>
        <w:r w:rsidR="00530526">
          <w:rPr>
            <w:noProof/>
            <w:webHidden/>
          </w:rPr>
          <w:tab/>
        </w:r>
        <w:r w:rsidR="00530526">
          <w:rPr>
            <w:noProof/>
            <w:webHidden/>
          </w:rPr>
          <w:fldChar w:fldCharType="begin"/>
        </w:r>
        <w:r w:rsidR="00530526">
          <w:rPr>
            <w:noProof/>
            <w:webHidden/>
          </w:rPr>
          <w:instrText xml:space="preserve"> PAGEREF _Toc170709448 \h </w:instrText>
        </w:r>
        <w:r w:rsidR="00530526">
          <w:rPr>
            <w:noProof/>
            <w:webHidden/>
          </w:rPr>
        </w:r>
        <w:r w:rsidR="00530526">
          <w:rPr>
            <w:noProof/>
            <w:webHidden/>
          </w:rPr>
          <w:fldChar w:fldCharType="separate"/>
        </w:r>
        <w:r w:rsidR="00AB71F7">
          <w:rPr>
            <w:noProof/>
            <w:webHidden/>
          </w:rPr>
          <w:t>14</w:t>
        </w:r>
        <w:r w:rsidR="00530526">
          <w:rPr>
            <w:noProof/>
            <w:webHidden/>
          </w:rPr>
          <w:fldChar w:fldCharType="end"/>
        </w:r>
      </w:hyperlink>
    </w:p>
    <w:p w14:paraId="1F3A2AE1" w14:textId="17A926BD" w:rsidR="00530526" w:rsidRDefault="00000000">
      <w:pPr>
        <w:pStyle w:val="TOC2"/>
        <w:rPr>
          <w:rFonts w:asciiTheme="minorHAnsi" w:eastAsiaTheme="minorEastAsia" w:hAnsiTheme="minorHAnsi" w:cstheme="minorBidi"/>
          <w:noProof/>
          <w:szCs w:val="22"/>
          <w:lang w:val="en-AU" w:eastAsia="en-AU"/>
        </w:rPr>
      </w:pPr>
      <w:hyperlink w:anchor="_Toc170709449" w:history="1">
        <w:r w:rsidR="00530526" w:rsidRPr="0027544B">
          <w:rPr>
            <w:rStyle w:val="Hyperlink"/>
            <w:noProof/>
          </w:rPr>
          <w:t>7.1</w:t>
        </w:r>
        <w:r w:rsidR="00530526">
          <w:rPr>
            <w:rFonts w:asciiTheme="minorHAnsi" w:eastAsiaTheme="minorEastAsia" w:hAnsiTheme="minorHAnsi" w:cstheme="minorBidi"/>
            <w:noProof/>
            <w:szCs w:val="22"/>
            <w:lang w:val="en-AU" w:eastAsia="en-AU"/>
          </w:rPr>
          <w:tab/>
        </w:r>
        <w:r w:rsidR="00530526" w:rsidRPr="0027544B">
          <w:rPr>
            <w:rStyle w:val="Hyperlink"/>
            <w:noProof/>
          </w:rPr>
          <w:t>Comply with licence conditions</w:t>
        </w:r>
        <w:r w:rsidR="00530526">
          <w:rPr>
            <w:noProof/>
            <w:webHidden/>
          </w:rPr>
          <w:tab/>
        </w:r>
        <w:r w:rsidR="00530526">
          <w:rPr>
            <w:noProof/>
            <w:webHidden/>
          </w:rPr>
          <w:fldChar w:fldCharType="begin"/>
        </w:r>
        <w:r w:rsidR="00530526">
          <w:rPr>
            <w:noProof/>
            <w:webHidden/>
          </w:rPr>
          <w:instrText xml:space="preserve"> PAGEREF _Toc170709449 \h </w:instrText>
        </w:r>
        <w:r w:rsidR="00530526">
          <w:rPr>
            <w:noProof/>
            <w:webHidden/>
          </w:rPr>
        </w:r>
        <w:r w:rsidR="00530526">
          <w:rPr>
            <w:noProof/>
            <w:webHidden/>
          </w:rPr>
          <w:fldChar w:fldCharType="separate"/>
        </w:r>
        <w:r w:rsidR="00AB71F7">
          <w:rPr>
            <w:noProof/>
            <w:webHidden/>
          </w:rPr>
          <w:t>14</w:t>
        </w:r>
        <w:r w:rsidR="00530526">
          <w:rPr>
            <w:noProof/>
            <w:webHidden/>
          </w:rPr>
          <w:fldChar w:fldCharType="end"/>
        </w:r>
      </w:hyperlink>
    </w:p>
    <w:p w14:paraId="158BAF9D" w14:textId="5E163BC2" w:rsidR="00530526" w:rsidRDefault="00000000">
      <w:pPr>
        <w:pStyle w:val="TOC2"/>
        <w:rPr>
          <w:rFonts w:asciiTheme="minorHAnsi" w:eastAsiaTheme="minorEastAsia" w:hAnsiTheme="minorHAnsi" w:cstheme="minorBidi"/>
          <w:noProof/>
          <w:szCs w:val="22"/>
          <w:lang w:val="en-AU" w:eastAsia="en-AU"/>
        </w:rPr>
      </w:pPr>
      <w:hyperlink w:anchor="_Toc170709450" w:history="1">
        <w:r w:rsidR="00530526" w:rsidRPr="0027544B">
          <w:rPr>
            <w:rStyle w:val="Hyperlink"/>
            <w:noProof/>
          </w:rPr>
          <w:t>7.2</w:t>
        </w:r>
        <w:r w:rsidR="00530526">
          <w:rPr>
            <w:rFonts w:asciiTheme="minorHAnsi" w:eastAsiaTheme="minorEastAsia" w:hAnsiTheme="minorHAnsi" w:cstheme="minorBidi"/>
            <w:noProof/>
            <w:szCs w:val="22"/>
            <w:lang w:val="en-AU" w:eastAsia="en-AU"/>
          </w:rPr>
          <w:tab/>
        </w:r>
        <w:r w:rsidR="00530526" w:rsidRPr="0027544B">
          <w:rPr>
            <w:rStyle w:val="Hyperlink"/>
            <w:noProof/>
          </w:rPr>
          <w:t>Notify Medsafe of any changes you intend to make</w:t>
        </w:r>
        <w:r w:rsidR="00530526">
          <w:rPr>
            <w:noProof/>
            <w:webHidden/>
          </w:rPr>
          <w:tab/>
        </w:r>
        <w:r w:rsidR="00530526">
          <w:rPr>
            <w:noProof/>
            <w:webHidden/>
          </w:rPr>
          <w:fldChar w:fldCharType="begin"/>
        </w:r>
        <w:r w:rsidR="00530526">
          <w:rPr>
            <w:noProof/>
            <w:webHidden/>
          </w:rPr>
          <w:instrText xml:space="preserve"> PAGEREF _Toc170709450 \h </w:instrText>
        </w:r>
        <w:r w:rsidR="00530526">
          <w:rPr>
            <w:noProof/>
            <w:webHidden/>
          </w:rPr>
        </w:r>
        <w:r w:rsidR="00530526">
          <w:rPr>
            <w:noProof/>
            <w:webHidden/>
          </w:rPr>
          <w:fldChar w:fldCharType="separate"/>
        </w:r>
        <w:r w:rsidR="00AB71F7">
          <w:rPr>
            <w:noProof/>
            <w:webHidden/>
          </w:rPr>
          <w:t>14</w:t>
        </w:r>
        <w:r w:rsidR="00530526">
          <w:rPr>
            <w:noProof/>
            <w:webHidden/>
          </w:rPr>
          <w:fldChar w:fldCharType="end"/>
        </w:r>
      </w:hyperlink>
    </w:p>
    <w:p w14:paraId="2ADCE484" w14:textId="0102DCBB" w:rsidR="00530526" w:rsidRDefault="00000000">
      <w:pPr>
        <w:pStyle w:val="TOC2"/>
        <w:rPr>
          <w:rFonts w:asciiTheme="minorHAnsi" w:eastAsiaTheme="minorEastAsia" w:hAnsiTheme="minorHAnsi" w:cstheme="minorBidi"/>
          <w:noProof/>
          <w:szCs w:val="22"/>
          <w:lang w:val="en-AU" w:eastAsia="en-AU"/>
        </w:rPr>
      </w:pPr>
      <w:hyperlink w:anchor="_Toc170709451" w:history="1">
        <w:r w:rsidR="00530526" w:rsidRPr="0027544B">
          <w:rPr>
            <w:rStyle w:val="Hyperlink"/>
            <w:noProof/>
          </w:rPr>
          <w:t>7.3</w:t>
        </w:r>
        <w:r w:rsidR="00530526">
          <w:rPr>
            <w:rFonts w:asciiTheme="minorHAnsi" w:eastAsiaTheme="minorEastAsia" w:hAnsiTheme="minorHAnsi" w:cstheme="minorBidi"/>
            <w:noProof/>
            <w:szCs w:val="22"/>
            <w:lang w:val="en-AU" w:eastAsia="en-AU"/>
          </w:rPr>
          <w:tab/>
        </w:r>
        <w:r w:rsidR="00530526" w:rsidRPr="0027544B">
          <w:rPr>
            <w:rStyle w:val="Hyperlink"/>
            <w:noProof/>
          </w:rPr>
          <w:t>Maintain validation of process</w:t>
        </w:r>
        <w:r w:rsidR="00530526">
          <w:rPr>
            <w:noProof/>
            <w:webHidden/>
          </w:rPr>
          <w:tab/>
        </w:r>
        <w:r w:rsidR="00530526">
          <w:rPr>
            <w:noProof/>
            <w:webHidden/>
          </w:rPr>
          <w:fldChar w:fldCharType="begin"/>
        </w:r>
        <w:r w:rsidR="00530526">
          <w:rPr>
            <w:noProof/>
            <w:webHidden/>
          </w:rPr>
          <w:instrText xml:space="preserve"> PAGEREF _Toc170709451 \h </w:instrText>
        </w:r>
        <w:r w:rsidR="00530526">
          <w:rPr>
            <w:noProof/>
            <w:webHidden/>
          </w:rPr>
        </w:r>
        <w:r w:rsidR="00530526">
          <w:rPr>
            <w:noProof/>
            <w:webHidden/>
          </w:rPr>
          <w:fldChar w:fldCharType="separate"/>
        </w:r>
        <w:r w:rsidR="00AB71F7">
          <w:rPr>
            <w:noProof/>
            <w:webHidden/>
          </w:rPr>
          <w:t>14</w:t>
        </w:r>
        <w:r w:rsidR="00530526">
          <w:rPr>
            <w:noProof/>
            <w:webHidden/>
          </w:rPr>
          <w:fldChar w:fldCharType="end"/>
        </w:r>
      </w:hyperlink>
    </w:p>
    <w:p w14:paraId="7737648E" w14:textId="0F4227BF" w:rsidR="00530526" w:rsidRDefault="00000000">
      <w:pPr>
        <w:pStyle w:val="TOC2"/>
        <w:rPr>
          <w:rStyle w:val="Hyperlink"/>
          <w:noProof/>
        </w:rPr>
      </w:pPr>
      <w:hyperlink w:anchor="_Toc170709452" w:history="1">
        <w:r w:rsidR="00530526" w:rsidRPr="0027544B">
          <w:rPr>
            <w:rStyle w:val="Hyperlink"/>
            <w:noProof/>
          </w:rPr>
          <w:t>7.4</w:t>
        </w:r>
        <w:r w:rsidR="00530526">
          <w:rPr>
            <w:rFonts w:asciiTheme="minorHAnsi" w:eastAsiaTheme="minorEastAsia" w:hAnsiTheme="minorHAnsi" w:cstheme="minorBidi"/>
            <w:noProof/>
            <w:szCs w:val="22"/>
            <w:lang w:val="en-AU" w:eastAsia="en-AU"/>
          </w:rPr>
          <w:tab/>
        </w:r>
        <w:r w:rsidR="00530526" w:rsidRPr="0027544B">
          <w:rPr>
            <w:rStyle w:val="Hyperlink"/>
            <w:noProof/>
          </w:rPr>
          <w:t>Have periodic audits against the GMP Code</w:t>
        </w:r>
        <w:r w:rsidR="00530526">
          <w:rPr>
            <w:noProof/>
            <w:webHidden/>
          </w:rPr>
          <w:tab/>
        </w:r>
        <w:r w:rsidR="00530526">
          <w:rPr>
            <w:noProof/>
            <w:webHidden/>
          </w:rPr>
          <w:fldChar w:fldCharType="begin"/>
        </w:r>
        <w:r w:rsidR="00530526">
          <w:rPr>
            <w:noProof/>
            <w:webHidden/>
          </w:rPr>
          <w:instrText xml:space="preserve"> PAGEREF _Toc170709452 \h </w:instrText>
        </w:r>
        <w:r w:rsidR="00530526">
          <w:rPr>
            <w:noProof/>
            <w:webHidden/>
          </w:rPr>
        </w:r>
        <w:r w:rsidR="00530526">
          <w:rPr>
            <w:noProof/>
            <w:webHidden/>
          </w:rPr>
          <w:fldChar w:fldCharType="separate"/>
        </w:r>
        <w:r w:rsidR="00AB71F7">
          <w:rPr>
            <w:noProof/>
            <w:webHidden/>
          </w:rPr>
          <w:t>14</w:t>
        </w:r>
        <w:r w:rsidR="00530526">
          <w:rPr>
            <w:noProof/>
            <w:webHidden/>
          </w:rPr>
          <w:fldChar w:fldCharType="end"/>
        </w:r>
      </w:hyperlink>
    </w:p>
    <w:p w14:paraId="5B612B82" w14:textId="23199C2A" w:rsidR="00C86248" w:rsidRDefault="003450E8">
      <w:r>
        <w:rPr>
          <w:b/>
        </w:rPr>
        <w:lastRenderedPageBreak/>
        <w:fldChar w:fldCharType="end"/>
      </w:r>
    </w:p>
    <w:p w14:paraId="4A9D3FE0" w14:textId="77777777" w:rsidR="00530526" w:rsidRDefault="00530526" w:rsidP="00530526">
      <w:pPr>
        <w:pStyle w:val="TOC1"/>
        <w:keepNext/>
      </w:pPr>
      <w:r>
        <w:t>List of Tables</w:t>
      </w:r>
    </w:p>
    <w:p w14:paraId="4AC9E2F7" w14:textId="797AAD60" w:rsidR="00530526" w:rsidRDefault="00530526" w:rsidP="00530526">
      <w:pPr>
        <w:pStyle w:val="TOC4"/>
        <w:tabs>
          <w:tab w:val="clear" w:pos="8789"/>
          <w:tab w:val="right" w:leader="dot" w:pos="8222"/>
        </w:tabs>
        <w:ind w:right="282"/>
        <w:rPr>
          <w:rFonts w:asciiTheme="minorHAnsi" w:eastAsiaTheme="minorEastAsia" w:hAnsiTheme="minorHAnsi" w:cstheme="minorBidi"/>
          <w:noProof/>
          <w:szCs w:val="22"/>
          <w:lang w:val="en-AU" w:eastAsia="en-AU"/>
        </w:rPr>
      </w:pPr>
      <w:r>
        <w:rPr>
          <w:sz w:val="20"/>
        </w:rPr>
        <w:fldChar w:fldCharType="begin"/>
      </w:r>
      <w:r>
        <w:rPr>
          <w:sz w:val="20"/>
        </w:rPr>
        <w:instrText xml:space="preserve"> TOC \h \z \t "Table,4" </w:instrText>
      </w:r>
      <w:r>
        <w:rPr>
          <w:sz w:val="20"/>
        </w:rPr>
        <w:fldChar w:fldCharType="separate"/>
      </w:r>
      <w:hyperlink w:anchor="_Toc170709459" w:history="1">
        <w:r w:rsidRPr="00A27DE0">
          <w:rPr>
            <w:rStyle w:val="Hyperlink"/>
            <w:noProof/>
          </w:rPr>
          <w:t>Table 1: Annexes in the GMP Code relevant to medicinal cannabis products</w:t>
        </w:r>
        <w:r>
          <w:rPr>
            <w:noProof/>
            <w:webHidden/>
          </w:rPr>
          <w:tab/>
        </w:r>
        <w:r>
          <w:rPr>
            <w:noProof/>
            <w:webHidden/>
          </w:rPr>
          <w:fldChar w:fldCharType="begin"/>
        </w:r>
        <w:r>
          <w:rPr>
            <w:noProof/>
            <w:webHidden/>
          </w:rPr>
          <w:instrText xml:space="preserve"> PAGEREF _Toc170709459 \h </w:instrText>
        </w:r>
        <w:r>
          <w:rPr>
            <w:noProof/>
            <w:webHidden/>
          </w:rPr>
        </w:r>
        <w:r>
          <w:rPr>
            <w:noProof/>
            <w:webHidden/>
          </w:rPr>
          <w:fldChar w:fldCharType="separate"/>
        </w:r>
        <w:r w:rsidR="00AB71F7">
          <w:rPr>
            <w:noProof/>
            <w:webHidden/>
          </w:rPr>
          <w:t>4</w:t>
        </w:r>
        <w:r>
          <w:rPr>
            <w:noProof/>
            <w:webHidden/>
          </w:rPr>
          <w:fldChar w:fldCharType="end"/>
        </w:r>
      </w:hyperlink>
    </w:p>
    <w:p w14:paraId="39CEF9D6" w14:textId="3E150236" w:rsidR="006524E1" w:rsidRDefault="00530526" w:rsidP="00530526">
      <w:pPr>
        <w:tabs>
          <w:tab w:val="right" w:leader="dot" w:pos="8222"/>
        </w:tabs>
        <w:ind w:right="282"/>
        <w:sectPr w:rsidR="006524E1" w:rsidSect="0059368A">
          <w:footerReference w:type="default" r:id="rId23"/>
          <w:pgSz w:w="11907" w:h="16834" w:code="9"/>
          <w:pgMar w:top="1418" w:right="1418" w:bottom="1134" w:left="1418" w:header="284" w:footer="425" w:gutter="284"/>
          <w:pgNumType w:fmt="lowerRoman" w:start="2"/>
          <w:cols w:space="720"/>
          <w:docGrid w:linePitch="286"/>
        </w:sectPr>
      </w:pPr>
      <w:r>
        <w:rPr>
          <w:sz w:val="20"/>
        </w:rPr>
        <w:fldChar w:fldCharType="end"/>
      </w:r>
    </w:p>
    <w:p w14:paraId="545357E3" w14:textId="77777777" w:rsidR="00D371B0" w:rsidRPr="00FA44A6" w:rsidRDefault="00D371B0" w:rsidP="00D371B0">
      <w:pPr>
        <w:pStyle w:val="Heading1"/>
      </w:pPr>
      <w:bookmarkStart w:id="3" w:name="_Introduction"/>
      <w:bookmarkStart w:id="4" w:name="_Toc35751549"/>
      <w:bookmarkStart w:id="5" w:name="_Ref36472669"/>
      <w:bookmarkStart w:id="6" w:name="_Toc170709424"/>
      <w:bookmarkStart w:id="7" w:name="_Hlk24970349"/>
      <w:bookmarkEnd w:id="3"/>
      <w:r w:rsidRPr="00FA44A6">
        <w:lastRenderedPageBreak/>
        <w:t>Introduction</w:t>
      </w:r>
      <w:bookmarkEnd w:id="4"/>
      <w:bookmarkEnd w:id="5"/>
      <w:bookmarkEnd w:id="6"/>
    </w:p>
    <w:p w14:paraId="6AB87B5C" w14:textId="77777777" w:rsidR="00530526" w:rsidRPr="005035FF" w:rsidRDefault="00530526" w:rsidP="00530526">
      <w:bookmarkStart w:id="8" w:name="_Toc166222761"/>
      <w:bookmarkStart w:id="9" w:name="_Toc36471506"/>
      <w:bookmarkStart w:id="10" w:name="_Toc36535162"/>
      <w:bookmarkEnd w:id="7"/>
      <w:r w:rsidRPr="005035FF">
        <w:t xml:space="preserve">This is </w:t>
      </w:r>
      <w:r>
        <w:t xml:space="preserve">the </w:t>
      </w:r>
      <w:r w:rsidRPr="0005153F">
        <w:rPr>
          <w:b/>
          <w:bCs/>
          <w:i/>
          <w:iCs/>
        </w:rPr>
        <w:t xml:space="preserve">Guideline on the regulation of medicinal cannabis in New Zealand: </w:t>
      </w:r>
      <w:r w:rsidRPr="0005153F">
        <w:rPr>
          <w:b/>
          <w:i/>
          <w:iCs/>
        </w:rPr>
        <w:t>Information for New Zealand Manufacturers and Packers</w:t>
      </w:r>
      <w:r>
        <w:rPr>
          <w:bCs/>
        </w:rPr>
        <w:t xml:space="preserve">. It aims to help you understand the requirements for manufacturing and packing medicinal cannabis products. </w:t>
      </w:r>
    </w:p>
    <w:p w14:paraId="426163CB" w14:textId="77777777" w:rsidR="00530526" w:rsidRPr="005035FF" w:rsidRDefault="00530526" w:rsidP="00530526">
      <w:r>
        <w:t>This guideline provides</w:t>
      </w:r>
      <w:r w:rsidRPr="005035FF">
        <w:t xml:space="preserve"> prospective</w:t>
      </w:r>
      <w:r>
        <w:t xml:space="preserve"> and current</w:t>
      </w:r>
      <w:r w:rsidRPr="005035FF">
        <w:t xml:space="preserve"> manufacturers and packers of medicinal cannabis products</w:t>
      </w:r>
      <w:r>
        <w:t xml:space="preserve"> </w:t>
      </w:r>
      <w:r w:rsidRPr="005035FF">
        <w:t>with relevant information about:</w:t>
      </w:r>
    </w:p>
    <w:p w14:paraId="2D3E47C0" w14:textId="77777777" w:rsidR="00530526" w:rsidRPr="005035FF" w:rsidRDefault="00530526" w:rsidP="00530526">
      <w:pPr>
        <w:pStyle w:val="Bullet"/>
      </w:pPr>
      <w:r>
        <w:t>t</w:t>
      </w:r>
      <w:r w:rsidRPr="005035FF">
        <w:t>he</w:t>
      </w:r>
      <w:r>
        <w:t xml:space="preserve"> l</w:t>
      </w:r>
      <w:r w:rsidRPr="005035FF">
        <w:t xml:space="preserve">icence to </w:t>
      </w:r>
      <w:r>
        <w:t>m</w:t>
      </w:r>
      <w:r w:rsidRPr="005035FF">
        <w:t xml:space="preserve">anufacture </w:t>
      </w:r>
      <w:r>
        <w:t>m</w:t>
      </w:r>
      <w:r w:rsidRPr="005035FF">
        <w:t xml:space="preserve">edicines and the </w:t>
      </w:r>
      <w:r>
        <w:t>l</w:t>
      </w:r>
      <w:r w:rsidRPr="005035FF">
        <w:t xml:space="preserve">icence to </w:t>
      </w:r>
      <w:r>
        <w:t>p</w:t>
      </w:r>
      <w:r w:rsidRPr="005035FF">
        <w:t xml:space="preserve">ack </w:t>
      </w:r>
      <w:r>
        <w:t>m</w:t>
      </w:r>
      <w:r w:rsidRPr="005035FF">
        <w:t>edicines under the Medicines Act 1981</w:t>
      </w:r>
    </w:p>
    <w:p w14:paraId="495364E5" w14:textId="77777777" w:rsidR="00530526" w:rsidRPr="005035FF" w:rsidRDefault="00530526" w:rsidP="00530526">
      <w:pPr>
        <w:pStyle w:val="Bullet"/>
      </w:pPr>
      <w:r w:rsidRPr="005035FF">
        <w:t>how to comply with the New Zealand Code of Good Manufacturing Practice for Manufacture and Dis</w:t>
      </w:r>
      <w:r>
        <w:t>tribution of Therapeutic Goods.</w:t>
      </w:r>
    </w:p>
    <w:p w14:paraId="1F527E5C" w14:textId="77777777" w:rsidR="00530526" w:rsidRPr="005035FF" w:rsidRDefault="00530526" w:rsidP="00530526">
      <w:r w:rsidRPr="005035FF">
        <w:t xml:space="preserve">We recommend you read </w:t>
      </w:r>
      <w:r>
        <w:t xml:space="preserve">all </w:t>
      </w:r>
      <w:r w:rsidRPr="00EA0741">
        <w:rPr>
          <w:b/>
          <w:bCs/>
          <w:i/>
          <w:iCs/>
        </w:rPr>
        <w:t>Guidelines on the regulation of medicinal cannabis in New Zealand</w:t>
      </w:r>
      <w:r>
        <w:rPr>
          <w:b/>
          <w:bCs/>
        </w:rPr>
        <w:t xml:space="preserve"> </w:t>
      </w:r>
      <w:r>
        <w:t>in full, these can be found on our website at:</w:t>
      </w:r>
      <w:r w:rsidRPr="00EA0741">
        <w:t xml:space="preserve"> </w:t>
      </w:r>
      <w:hyperlink r:id="rId24" w:history="1">
        <w:r w:rsidRPr="00294CE2">
          <w:rPr>
            <w:rStyle w:val="Hyperlink"/>
          </w:rPr>
          <w:t>https://www.health.govt.nz/publication/medicinal-cannabis-scheme-guideline-and-forms</w:t>
        </w:r>
      </w:hyperlink>
      <w:r>
        <w:t>. D</w:t>
      </w:r>
      <w:r w:rsidRPr="005035FF">
        <w:t xml:space="preserve">etailed information about how to apply for a </w:t>
      </w:r>
      <w:r>
        <w:t>m</w:t>
      </w:r>
      <w:r w:rsidRPr="005035FF">
        <w:t xml:space="preserve">edicinal </w:t>
      </w:r>
      <w:r>
        <w:t>c</w:t>
      </w:r>
      <w:r w:rsidRPr="005035FF">
        <w:t xml:space="preserve">annabis </w:t>
      </w:r>
      <w:r>
        <w:t>l</w:t>
      </w:r>
      <w:r w:rsidRPr="005035FF">
        <w:t>icence</w:t>
      </w:r>
      <w:r>
        <w:t xml:space="preserve"> is found in the </w:t>
      </w:r>
      <w:r w:rsidRPr="000A3240">
        <w:rPr>
          <w:b/>
          <w:bCs/>
          <w:i/>
          <w:iCs/>
        </w:rPr>
        <w:t xml:space="preserve">Guideline on the regulation of medicinal cannabis in New Zealand: </w:t>
      </w:r>
      <w:r w:rsidRPr="000A3240">
        <w:rPr>
          <w:b/>
          <w:i/>
          <w:iCs/>
        </w:rPr>
        <w:t>Guidance for Applicants for a Medicinal Cannabis Licence</w:t>
      </w:r>
      <w:r>
        <w:rPr>
          <w:b/>
        </w:rPr>
        <w:t>.</w:t>
      </w:r>
    </w:p>
    <w:bookmarkEnd w:id="8"/>
    <w:bookmarkEnd w:id="9"/>
    <w:p w14:paraId="59E90E0A" w14:textId="77777777" w:rsidR="00343230" w:rsidRDefault="00343230" w:rsidP="00343230">
      <w:pPr>
        <w:sectPr w:rsidR="00343230" w:rsidSect="00F745DE">
          <w:pgSz w:w="11907" w:h="16834" w:code="9"/>
          <w:pgMar w:top="1418" w:right="1418" w:bottom="1418" w:left="1418" w:header="284" w:footer="425" w:gutter="0"/>
          <w:pgNumType w:start="1"/>
          <w:cols w:space="720"/>
          <w:docGrid w:linePitch="286"/>
        </w:sectPr>
      </w:pPr>
    </w:p>
    <w:p w14:paraId="511C1EC2" w14:textId="4E7FC4A8" w:rsidR="00530526" w:rsidRDefault="00530526" w:rsidP="00530526">
      <w:pPr>
        <w:pStyle w:val="Heading1"/>
      </w:pPr>
      <w:bookmarkStart w:id="11" w:name="_Toc170709425"/>
      <w:r w:rsidRPr="00530526">
        <w:lastRenderedPageBreak/>
        <w:t>Background on regulatory settings</w:t>
      </w:r>
      <w:bookmarkEnd w:id="11"/>
    </w:p>
    <w:p w14:paraId="67F11761" w14:textId="77777777" w:rsidR="00530526" w:rsidRPr="005035FF" w:rsidRDefault="00530526" w:rsidP="00530526">
      <w:pPr>
        <w:pStyle w:val="Heading2"/>
      </w:pPr>
      <w:bookmarkStart w:id="12" w:name="_Toc36535163"/>
      <w:bookmarkStart w:id="13" w:name="_Toc166222500"/>
      <w:bookmarkStart w:id="14" w:name="_Toc170709426"/>
      <w:r w:rsidRPr="005035FF">
        <w:t xml:space="preserve">Medicinal </w:t>
      </w:r>
      <w:r>
        <w:t>c</w:t>
      </w:r>
      <w:r w:rsidRPr="005035FF">
        <w:t xml:space="preserve">annabis </w:t>
      </w:r>
      <w:r>
        <w:t>l</w:t>
      </w:r>
      <w:r w:rsidRPr="005035FF">
        <w:t>icence</w:t>
      </w:r>
      <w:bookmarkEnd w:id="12"/>
      <w:bookmarkEnd w:id="13"/>
      <w:bookmarkEnd w:id="14"/>
    </w:p>
    <w:p w14:paraId="271ADD40" w14:textId="77777777" w:rsidR="00530526" w:rsidRDefault="00530526" w:rsidP="00530526">
      <w:r w:rsidRPr="005035FF">
        <w:t xml:space="preserve">A </w:t>
      </w:r>
      <w:r w:rsidRPr="000A3240">
        <w:rPr>
          <w:bCs/>
        </w:rPr>
        <w:t>medicinal cannabis licence authorises</w:t>
      </w:r>
      <w:r w:rsidRPr="005035FF">
        <w:t xml:space="preserve"> the licence holder to carry out</w:t>
      </w:r>
      <w:r>
        <w:t xml:space="preserve"> activities with medicinal cannabis in New Zealand. Activities which can be authorised on a licence include:</w:t>
      </w:r>
    </w:p>
    <w:p w14:paraId="4CA6A123" w14:textId="77777777" w:rsidR="00530526" w:rsidRDefault="00530526" w:rsidP="00530526">
      <w:pPr>
        <w:pStyle w:val="Bullet"/>
      </w:pPr>
      <w:r>
        <w:t>Cultivation</w:t>
      </w:r>
    </w:p>
    <w:p w14:paraId="2F80A118" w14:textId="77777777" w:rsidR="00530526" w:rsidRDefault="00530526" w:rsidP="00530526">
      <w:pPr>
        <w:pStyle w:val="Bullet"/>
      </w:pPr>
      <w:r>
        <w:t>Seed supply</w:t>
      </w:r>
    </w:p>
    <w:p w14:paraId="74B0E657" w14:textId="77777777" w:rsidR="00530526" w:rsidRDefault="00530526" w:rsidP="00530526">
      <w:pPr>
        <w:pStyle w:val="Bullet"/>
      </w:pPr>
      <w:r>
        <w:t>Research</w:t>
      </w:r>
    </w:p>
    <w:p w14:paraId="41818287" w14:textId="77777777" w:rsidR="00530526" w:rsidRDefault="00530526" w:rsidP="00530526">
      <w:pPr>
        <w:pStyle w:val="Bullet"/>
      </w:pPr>
      <w:r>
        <w:t>Possession for manufacture; and</w:t>
      </w:r>
    </w:p>
    <w:p w14:paraId="207956AD" w14:textId="77777777" w:rsidR="00530526" w:rsidRDefault="00530526" w:rsidP="00530526">
      <w:pPr>
        <w:pStyle w:val="Bullet"/>
      </w:pPr>
      <w:r>
        <w:t>Supply.</w:t>
      </w:r>
    </w:p>
    <w:p w14:paraId="69FEF852" w14:textId="77777777" w:rsidR="00530526" w:rsidRPr="005035FF" w:rsidRDefault="00530526" w:rsidP="00530526">
      <w:r>
        <w:t>A medicinal cannabis licence can authorise one or more of the above activities.</w:t>
      </w:r>
    </w:p>
    <w:p w14:paraId="75895AF2" w14:textId="77777777" w:rsidR="00530526" w:rsidRPr="008B5640" w:rsidRDefault="00530526" w:rsidP="00530526">
      <w:r w:rsidRPr="005035FF">
        <w:t xml:space="preserve">Refer to </w:t>
      </w:r>
      <w:r>
        <w:t xml:space="preserve">the </w:t>
      </w:r>
      <w:r w:rsidRPr="000A3240">
        <w:rPr>
          <w:b/>
          <w:bCs/>
          <w:i/>
          <w:iCs/>
        </w:rPr>
        <w:t xml:space="preserve">Guideline on the regulation of medicinal cannabis in New Zealand: Guideline </w:t>
      </w:r>
      <w:r w:rsidRPr="000A3240">
        <w:rPr>
          <w:b/>
          <w:i/>
          <w:iCs/>
        </w:rPr>
        <w:t>for applicants for a medicinal cannabis licence</w:t>
      </w:r>
      <w:r w:rsidRPr="005035FF">
        <w:rPr>
          <w:i/>
        </w:rPr>
        <w:t xml:space="preserve"> </w:t>
      </w:r>
      <w:r w:rsidRPr="005035FF">
        <w:t xml:space="preserve">for information about </w:t>
      </w:r>
      <w:r>
        <w:t>m</w:t>
      </w:r>
      <w:r w:rsidRPr="005035FF">
        <w:t xml:space="preserve">edicinal </w:t>
      </w:r>
      <w:r>
        <w:t>c</w:t>
      </w:r>
      <w:r w:rsidRPr="005035FF">
        <w:t xml:space="preserve">annabis </w:t>
      </w:r>
      <w:r>
        <w:t>l</w:t>
      </w:r>
      <w:r w:rsidRPr="005035FF">
        <w:t>icences.</w:t>
      </w:r>
    </w:p>
    <w:p w14:paraId="3172EB1A" w14:textId="77777777" w:rsidR="00530526" w:rsidRPr="005035FF" w:rsidRDefault="00530526" w:rsidP="00530526">
      <w:pPr>
        <w:pStyle w:val="Heading2"/>
      </w:pPr>
      <w:bookmarkStart w:id="15" w:name="_Toc36535164"/>
      <w:bookmarkStart w:id="16" w:name="_Toc166222501"/>
      <w:bookmarkStart w:id="17" w:name="_Toc170709427"/>
      <w:r w:rsidRPr="005035FF">
        <w:t>Minimum quality standard for medicinal cannabis products</w:t>
      </w:r>
      <w:bookmarkEnd w:id="15"/>
      <w:bookmarkEnd w:id="16"/>
      <w:bookmarkEnd w:id="17"/>
    </w:p>
    <w:p w14:paraId="20B22195" w14:textId="77777777" w:rsidR="00530526" w:rsidRPr="005035FF" w:rsidRDefault="00530526" w:rsidP="00530526">
      <w:r w:rsidRPr="005035FF">
        <w:t xml:space="preserve">All medicinal cannabis products </w:t>
      </w:r>
      <w:r>
        <w:t xml:space="preserve">(except consented medicines) </w:t>
      </w:r>
      <w:r w:rsidRPr="005035FF">
        <w:t>intended for use by patients</w:t>
      </w:r>
      <w:r>
        <w:t xml:space="preserve"> in New Zealand</w:t>
      </w:r>
      <w:r w:rsidRPr="005035FF">
        <w:t xml:space="preserve"> must meet the minimum quality standard</w:t>
      </w:r>
      <w:r>
        <w:t xml:space="preserve"> as set in the Misuse of Drugs (Medicinal Cannabis) Regulations 2019, this includes cannabidiol (CBD) products</w:t>
      </w:r>
      <w:r w:rsidRPr="005035FF">
        <w:t>. Product assessments are used to verify whether a product meets the minimum quality standard.</w:t>
      </w:r>
    </w:p>
    <w:p w14:paraId="6CBF2280" w14:textId="77777777" w:rsidR="00530526" w:rsidRPr="005035FF" w:rsidRDefault="00530526" w:rsidP="00530526">
      <w:pPr>
        <w:rPr>
          <w:rFonts w:cs="Arial"/>
        </w:rPr>
      </w:pPr>
      <w:r>
        <w:rPr>
          <w:rFonts w:cs="Arial"/>
        </w:rPr>
        <w:t xml:space="preserve">You can find </w:t>
      </w:r>
      <w:r w:rsidRPr="005035FF">
        <w:rPr>
          <w:rFonts w:cs="Arial"/>
        </w:rPr>
        <w:t xml:space="preserve">information </w:t>
      </w:r>
      <w:r>
        <w:rPr>
          <w:rFonts w:cs="Arial"/>
        </w:rPr>
        <w:t>on</w:t>
      </w:r>
      <w:r w:rsidRPr="005035FF">
        <w:rPr>
          <w:rFonts w:cs="Arial"/>
        </w:rPr>
        <w:t xml:space="preserve"> the minimum quality standard and product assessments</w:t>
      </w:r>
      <w:r>
        <w:rPr>
          <w:rFonts w:cs="Arial"/>
        </w:rPr>
        <w:t xml:space="preserve"> on our website at: </w:t>
      </w:r>
      <w:hyperlink r:id="rId25" w:history="1">
        <w:r w:rsidRPr="00423ADA">
          <w:rPr>
            <w:rStyle w:val="Hyperlink"/>
            <w:rFonts w:cs="Arial"/>
          </w:rPr>
          <w:t>health.govt.nz/our-work/regulation-health-and-disability-system/medicinal-cannabis-agency/medicinal-cannabis-agency-information-industry/medicinal-cannabis-agency-working-medicinal-cannabis/medicinal-cannabis-agency-minimum-quality-standard</w:t>
        </w:r>
      </w:hyperlink>
      <w:r>
        <w:rPr>
          <w:rFonts w:cs="Arial"/>
        </w:rPr>
        <w:t>.</w:t>
      </w:r>
    </w:p>
    <w:p w14:paraId="7B9B6C60" w14:textId="77777777" w:rsidR="00530526" w:rsidRPr="005035FF" w:rsidRDefault="00530526" w:rsidP="00530526">
      <w:pPr>
        <w:pStyle w:val="Heading2"/>
      </w:pPr>
      <w:bookmarkStart w:id="18" w:name="_Toc36535165"/>
      <w:bookmarkStart w:id="19" w:name="_Toc166222502"/>
      <w:bookmarkStart w:id="20" w:name="_Toc170709428"/>
      <w:r w:rsidRPr="005035FF">
        <w:t>Licences issued under the Medicines Act 1981</w:t>
      </w:r>
      <w:bookmarkEnd w:id="18"/>
      <w:bookmarkEnd w:id="19"/>
      <w:bookmarkEnd w:id="20"/>
    </w:p>
    <w:p w14:paraId="1499A407" w14:textId="77777777" w:rsidR="00530526" w:rsidRDefault="00530526" w:rsidP="00530526">
      <w:pPr>
        <w:rPr>
          <w:bCs/>
        </w:rPr>
      </w:pPr>
      <w:r w:rsidRPr="005035FF">
        <w:t>If you hold a</w:t>
      </w:r>
      <w:r>
        <w:t xml:space="preserve"> m</w:t>
      </w:r>
      <w:r w:rsidRPr="005035FF">
        <w:t xml:space="preserve">edicinal </w:t>
      </w:r>
      <w:r>
        <w:t>c</w:t>
      </w:r>
      <w:r w:rsidRPr="005035FF">
        <w:t xml:space="preserve">annabis </w:t>
      </w:r>
      <w:r>
        <w:t>l</w:t>
      </w:r>
      <w:r w:rsidRPr="005035FF">
        <w:t xml:space="preserve">icence and wish to manufacture a medicinal cannabis product for </w:t>
      </w:r>
      <w:r>
        <w:t xml:space="preserve">use by </w:t>
      </w:r>
      <w:r w:rsidRPr="005035FF">
        <w:t xml:space="preserve">patients, you will also need to hold a </w:t>
      </w:r>
      <w:r w:rsidRPr="00AB6489">
        <w:rPr>
          <w:bCs/>
        </w:rPr>
        <w:t>licence to manufacture medicines issued under the Medicines Act 1981. This licence permits the holder to manufacture, test, pack, and label medicines.</w:t>
      </w:r>
    </w:p>
    <w:p w14:paraId="65364B7A" w14:textId="77777777" w:rsidR="00530526" w:rsidRPr="00AB6489" w:rsidRDefault="00530526" w:rsidP="00530526">
      <w:pPr>
        <w:rPr>
          <w:bCs/>
        </w:rPr>
      </w:pPr>
      <w:r w:rsidRPr="00AB6489">
        <w:rPr>
          <w:bCs/>
        </w:rPr>
        <w:t xml:space="preserve">If you hold a medicinal cannabis licence but your manufacturing activities are limited to repacking products that a GMP certified facility has manufactured, and that have been verified as meeting the minimum quality standard, you </w:t>
      </w:r>
      <w:r>
        <w:rPr>
          <w:bCs/>
        </w:rPr>
        <w:t xml:space="preserve">may only </w:t>
      </w:r>
      <w:r w:rsidRPr="00AB6489">
        <w:rPr>
          <w:bCs/>
        </w:rPr>
        <w:t>need a licence to pack medicines under the Medicines Act 1981 instead of a licence to manufacture medicines. This licence permits the holder to pack and label medicines only.</w:t>
      </w:r>
      <w:r>
        <w:rPr>
          <w:bCs/>
        </w:rPr>
        <w:t xml:space="preserve"> The new pack would need to be verified against the minimum quality standard.</w:t>
      </w:r>
    </w:p>
    <w:p w14:paraId="6EFA643B" w14:textId="77777777" w:rsidR="00530526" w:rsidRPr="005035FF" w:rsidRDefault="00530526" w:rsidP="00F745DE">
      <w:r>
        <w:lastRenderedPageBreak/>
        <w:t>Neither a licence to manufacture medicines nor a licence to pack medicines is required to produce initial extracts, rather this activity can be authorised under a possession for manufacture activity on a medicinal cannabis licence.</w:t>
      </w:r>
    </w:p>
    <w:p w14:paraId="16E40E44" w14:textId="77777777" w:rsidR="00530526" w:rsidRPr="005035FF" w:rsidRDefault="00530526" w:rsidP="00F745DE">
      <w:pPr>
        <w:keepLines/>
      </w:pPr>
      <w:r w:rsidRPr="005035FF">
        <w:t xml:space="preserve">To obtain a </w:t>
      </w:r>
      <w:r>
        <w:t>l</w:t>
      </w:r>
      <w:r w:rsidRPr="005035FF">
        <w:t xml:space="preserve">icence to </w:t>
      </w:r>
      <w:r>
        <w:t>m</w:t>
      </w:r>
      <w:r w:rsidRPr="005035FF">
        <w:t xml:space="preserve">anufacture </w:t>
      </w:r>
      <w:r>
        <w:t>m</w:t>
      </w:r>
      <w:r w:rsidRPr="005035FF">
        <w:t xml:space="preserve">edicines or a </w:t>
      </w:r>
      <w:r>
        <w:t>l</w:t>
      </w:r>
      <w:r w:rsidRPr="005035FF">
        <w:t xml:space="preserve">icence to </w:t>
      </w:r>
      <w:r>
        <w:t>p</w:t>
      </w:r>
      <w:r w:rsidRPr="005035FF">
        <w:t xml:space="preserve">ack </w:t>
      </w:r>
      <w:r>
        <w:t>m</w:t>
      </w:r>
      <w:r w:rsidRPr="005035FF">
        <w:t xml:space="preserve">edicines, you must demonstrate that you comply with the </w:t>
      </w:r>
      <w:r w:rsidRPr="004408A1">
        <w:t>New Zealand Code of Good Manufacturing Practice for Manufacture and Distribution of Therapeutic Goods</w:t>
      </w:r>
      <w:r>
        <w:t xml:space="preserve"> (the GMP Code) which can be found on the Medsafe website at: </w:t>
      </w:r>
      <w:hyperlink r:id="rId26" w:history="1">
        <w:r w:rsidRPr="00034554">
          <w:rPr>
            <w:rStyle w:val="Hyperlink"/>
          </w:rPr>
          <w:t>https://medsafe.govt.nz/regulatory/Guideline/code.asp</w:t>
        </w:r>
      </w:hyperlink>
      <w:r>
        <w:t>.</w:t>
      </w:r>
    </w:p>
    <w:p w14:paraId="460410A8" w14:textId="77777777" w:rsidR="00530526" w:rsidRPr="005035FF" w:rsidRDefault="00530526" w:rsidP="00F745DE">
      <w:r w:rsidRPr="005035FF">
        <w:t xml:space="preserve">For more information about licences to manufacture and/or pack medicines, </w:t>
      </w:r>
      <w:r>
        <w:t xml:space="preserve">contact the Compliance branch of Medsafe at: </w:t>
      </w:r>
      <w:hyperlink r:id="rId27" w:history="1">
        <w:r w:rsidRPr="00016F1B">
          <w:rPr>
            <w:rStyle w:val="Hyperlink"/>
          </w:rPr>
          <w:t>gmp@health.govt.nz</w:t>
        </w:r>
      </w:hyperlink>
      <w:r>
        <w:t xml:space="preserve">. Fees for licenses are included in the </w:t>
      </w:r>
      <w:r w:rsidRPr="00867BB0">
        <w:t>schedule of fees payable under the Medicines Act 1981</w:t>
      </w:r>
      <w:r>
        <w:t xml:space="preserve"> which can be found on the Medsafe website at: </w:t>
      </w:r>
      <w:hyperlink r:id="rId28" w:history="1">
        <w:r w:rsidRPr="00034554">
          <w:rPr>
            <w:rStyle w:val="Hyperlink"/>
          </w:rPr>
          <w:t>https://medsafe.govt.nz/regulatory/fees.asp</w:t>
        </w:r>
      </w:hyperlink>
      <w:r>
        <w:t>.</w:t>
      </w:r>
    </w:p>
    <w:p w14:paraId="24FFE196" w14:textId="77777777" w:rsidR="00530526" w:rsidRPr="005035FF" w:rsidRDefault="00530526" w:rsidP="00F745DE">
      <w:pPr>
        <w:pStyle w:val="Heading2"/>
        <w:ind w:left="0" w:firstLine="0"/>
      </w:pPr>
      <w:bookmarkStart w:id="21" w:name="_Toc36535166"/>
      <w:bookmarkStart w:id="22" w:name="_Toc166222503"/>
      <w:bookmarkStart w:id="23" w:name="_Toc170709429"/>
      <w:bookmarkStart w:id="24" w:name="_Hlk31284887"/>
      <w:r>
        <w:t>L</w:t>
      </w:r>
      <w:r w:rsidRPr="005035FF">
        <w:t>icence</w:t>
      </w:r>
      <w:r>
        <w:t>s</w:t>
      </w:r>
      <w:r w:rsidRPr="005035FF">
        <w:t xml:space="preserve"> to import or export </w:t>
      </w:r>
      <w:bookmarkEnd w:id="21"/>
      <w:r>
        <w:t>medicinal cannabis</w:t>
      </w:r>
      <w:bookmarkEnd w:id="22"/>
      <w:bookmarkEnd w:id="23"/>
    </w:p>
    <w:p w14:paraId="077E0832" w14:textId="77777777" w:rsidR="00530526" w:rsidRPr="005035FF" w:rsidRDefault="00530526" w:rsidP="00F745DE">
      <w:r w:rsidRPr="005035FF">
        <w:t xml:space="preserve">You must have a licence </w:t>
      </w:r>
      <w:r>
        <w:t xml:space="preserve">if you wish </w:t>
      </w:r>
      <w:r w:rsidRPr="005035FF">
        <w:t>to import or export controlled drugs, including medicinal cannabis products.</w:t>
      </w:r>
      <w:r>
        <w:t xml:space="preserve"> </w:t>
      </w:r>
    </w:p>
    <w:p w14:paraId="090D0B55" w14:textId="77777777" w:rsidR="00530526" w:rsidRPr="005035FF" w:rsidRDefault="00530526" w:rsidP="00F745DE">
      <w:r w:rsidRPr="005035FF">
        <w:t xml:space="preserve">For export, the importing country must </w:t>
      </w:r>
      <w:r>
        <w:t>issue</w:t>
      </w:r>
      <w:r w:rsidRPr="005035FF">
        <w:t xml:space="preserve"> a licence to import </w:t>
      </w:r>
      <w:r>
        <w:t xml:space="preserve">or letter of no objection </w:t>
      </w:r>
      <w:r w:rsidRPr="005035FF">
        <w:t>before</w:t>
      </w:r>
      <w:r>
        <w:t xml:space="preserve"> the Medicines Control branch of Medsafe</w:t>
      </w:r>
      <w:r w:rsidRPr="005035FF">
        <w:t xml:space="preserve"> can issue a licence to export controlled drugs.</w:t>
      </w:r>
    </w:p>
    <w:p w14:paraId="547872F3" w14:textId="77777777" w:rsidR="00530526" w:rsidRPr="005035FF" w:rsidRDefault="00530526" w:rsidP="00F745DE">
      <w:r w:rsidRPr="005035FF">
        <w:t>The application fee for a licence to import or export controlled drugs is $194.22 including goods and services tax (GST) for each consignment. A licence is required for each consignment, but each consignment may contain up to four preparations or products.</w:t>
      </w:r>
    </w:p>
    <w:p w14:paraId="2BDEC186" w14:textId="77777777" w:rsidR="00530526" w:rsidRDefault="00530526" w:rsidP="00F745DE">
      <w:r w:rsidRPr="005035FF">
        <w:t xml:space="preserve">Up to 30 working days </w:t>
      </w:r>
      <w:r>
        <w:t>are</w:t>
      </w:r>
      <w:r w:rsidRPr="005035FF">
        <w:t xml:space="preserve"> required to process an application for an import or export licence.</w:t>
      </w:r>
    </w:p>
    <w:p w14:paraId="1BB30514" w14:textId="77777777" w:rsidR="00530526" w:rsidRPr="005035FF" w:rsidRDefault="00530526" w:rsidP="00F745DE">
      <w:r w:rsidRPr="005035FF">
        <w:t xml:space="preserve">For further information or to receive an application form for a licence to import or export controlled drugs, </w:t>
      </w:r>
      <w:r>
        <w:t xml:space="preserve">please email Medicines </w:t>
      </w:r>
      <w:r w:rsidRPr="005035FF">
        <w:t>Control</w:t>
      </w:r>
      <w:r>
        <w:t xml:space="preserve"> at:</w:t>
      </w:r>
      <w:r w:rsidRPr="005035FF" w:rsidDel="00945F04">
        <w:t xml:space="preserve"> </w:t>
      </w:r>
      <w:hyperlink r:id="rId29" w:history="1">
        <w:r w:rsidRPr="005035FF">
          <w:rPr>
            <w:rStyle w:val="Hyperlink"/>
            <w:rFonts w:cs="Arial"/>
          </w:rPr>
          <w:t>medicinescontrol@health.govt.nz</w:t>
        </w:r>
      </w:hyperlink>
      <w:r>
        <w:rPr>
          <w:rStyle w:val="Hyperlink"/>
          <w:rFonts w:cs="Arial"/>
        </w:rPr>
        <w:t>.</w:t>
      </w:r>
    </w:p>
    <w:p w14:paraId="3DD68A1C" w14:textId="77777777" w:rsidR="00530526" w:rsidRDefault="00530526" w:rsidP="00F745DE">
      <w:r>
        <w:t>Please note that i</w:t>
      </w:r>
      <w:r w:rsidRPr="005035FF">
        <w:t>mport</w:t>
      </w:r>
      <w:r>
        <w:t xml:space="preserve"> and export licences can only be issued for controlled drugs. </w:t>
      </w:r>
    </w:p>
    <w:p w14:paraId="6A7D36B3" w14:textId="77777777" w:rsidR="00530526" w:rsidRDefault="00530526" w:rsidP="00F745DE">
      <w:r>
        <w:t xml:space="preserve">An export licence is not required for export of a CBD product which has not been verified as meeting the minimum quality standard. However, prior to each export the licence holder (being the holder of a licence to manufacture medicines) must notify the Medicinal Cannabis Agency and provide a certificate of analysis to demonstrate that the consignment meets the definition of a CBD product. Other </w:t>
      </w:r>
      <w:r w:rsidRPr="005035FF" w:rsidDel="002A5476">
        <w:t>r</w:t>
      </w:r>
      <w:r w:rsidRPr="005035FF">
        <w:t>equirements under the Medicines Act 1981 and Medicines Regulations 1984 continue to apply</w:t>
      </w:r>
      <w:r>
        <w:t>,</w:t>
      </w:r>
      <w:r w:rsidRPr="005035FF">
        <w:t xml:space="preserve"> </w:t>
      </w:r>
      <w:r>
        <w:t xml:space="preserve">refer to </w:t>
      </w:r>
      <w:r w:rsidRPr="00FD48C9">
        <w:rPr>
          <w:rFonts w:cs="Arial"/>
        </w:rPr>
        <w:t>CBD product</w:t>
      </w:r>
      <w:r>
        <w:t xml:space="preserve"> information on Medicinal Cannabis Agency website at: </w:t>
      </w:r>
      <w:hyperlink r:id="rId30" w:history="1">
        <w:r w:rsidRPr="00034554">
          <w:rPr>
            <w:rStyle w:val="Hyperlink"/>
          </w:rPr>
          <w:t>https://www.health.govt.nz/our-work/regulation-health-and-disability-system/medicinal-cannabis-agency/medicinal-cannabis-agency-information-industry/medicinal-cannabis-agency-working-medicinal-cannabis/medicinal-cannabis-agency-cannabidiol-cbd-products</w:t>
        </w:r>
      </w:hyperlink>
      <w:r w:rsidRPr="005035FF">
        <w:t>.</w:t>
      </w:r>
    </w:p>
    <w:p w14:paraId="60A86BC2" w14:textId="77777777" w:rsidR="00530526" w:rsidRPr="005035FF" w:rsidRDefault="00530526" w:rsidP="00F745DE">
      <w:r w:rsidRPr="0023654E">
        <w:t>Where importing CBD products for commercial supply purposes, the product must have been verified as meeting the minimum quality standard prior to import.</w:t>
      </w:r>
    </w:p>
    <w:bookmarkEnd w:id="24"/>
    <w:p w14:paraId="16A848E2" w14:textId="77777777" w:rsidR="00530526" w:rsidRPr="00530526" w:rsidRDefault="00530526" w:rsidP="00530526"/>
    <w:p w14:paraId="712565EE" w14:textId="5345705E" w:rsidR="00530526" w:rsidRDefault="00530526" w:rsidP="00530526">
      <w:pPr>
        <w:pStyle w:val="Heading1"/>
      </w:pPr>
      <w:bookmarkStart w:id="25" w:name="_Toc170709430"/>
      <w:r w:rsidRPr="00530526">
        <w:lastRenderedPageBreak/>
        <w:t>Good Manufacturing Practice – complying with the GMP Code</w:t>
      </w:r>
      <w:bookmarkEnd w:id="25"/>
    </w:p>
    <w:p w14:paraId="18C6A957" w14:textId="77777777" w:rsidR="00530526" w:rsidRPr="005035FF" w:rsidRDefault="00530526" w:rsidP="00530526">
      <w:bookmarkStart w:id="26" w:name="_Toc25838303"/>
      <w:r w:rsidRPr="005035FF">
        <w:t xml:space="preserve">To obtain a </w:t>
      </w:r>
      <w:r>
        <w:t>l</w:t>
      </w:r>
      <w:r w:rsidRPr="005035FF">
        <w:t xml:space="preserve">icence to </w:t>
      </w:r>
      <w:r>
        <w:t>m</w:t>
      </w:r>
      <w:r w:rsidRPr="005035FF">
        <w:t xml:space="preserve">anufacture </w:t>
      </w:r>
      <w:r>
        <w:t>m</w:t>
      </w:r>
      <w:r w:rsidRPr="005035FF">
        <w:t xml:space="preserve">edicines and/or a </w:t>
      </w:r>
      <w:r>
        <w:t>l</w:t>
      </w:r>
      <w:r w:rsidRPr="005035FF">
        <w:t xml:space="preserve">icence to </w:t>
      </w:r>
      <w:r>
        <w:t>p</w:t>
      </w:r>
      <w:r w:rsidRPr="005035FF">
        <w:t xml:space="preserve">ack </w:t>
      </w:r>
      <w:r>
        <w:t>m</w:t>
      </w:r>
      <w:r w:rsidRPr="005035FF">
        <w:t xml:space="preserve">edicines under the Medicines Act 1981, you must demonstrate that you comply with the </w:t>
      </w:r>
      <w:r>
        <w:t xml:space="preserve">New Zealand </w:t>
      </w:r>
      <w:r w:rsidRPr="005035FF">
        <w:t>Code</w:t>
      </w:r>
      <w:r>
        <w:t xml:space="preserve"> of Good Manufacturing Practice for Manufacture and Distribution of Therapeutic Goods (the GMP code)</w:t>
      </w:r>
      <w:r w:rsidRPr="005035FF">
        <w:t xml:space="preserve">. An auditor will </w:t>
      </w:r>
      <w:r>
        <w:t xml:space="preserve">conduct a GMP audit of the facility and </w:t>
      </w:r>
      <w:r w:rsidRPr="005035FF">
        <w:t>d</w:t>
      </w:r>
      <w:r>
        <w:t>etermine</w:t>
      </w:r>
      <w:r w:rsidRPr="005035FF">
        <w:t xml:space="preserve"> whether you comply, as part of the licence assessment.</w:t>
      </w:r>
    </w:p>
    <w:p w14:paraId="185B3BEF" w14:textId="77777777" w:rsidR="00530526" w:rsidRPr="005035FF" w:rsidRDefault="00530526" w:rsidP="00530526">
      <w:pPr>
        <w:pStyle w:val="Heading2"/>
      </w:pPr>
      <w:bookmarkStart w:id="27" w:name="_Toc36535168"/>
      <w:bookmarkStart w:id="28" w:name="_Toc166222505"/>
      <w:bookmarkStart w:id="29" w:name="_Toc170709431"/>
      <w:r>
        <w:t>T</w:t>
      </w:r>
      <w:r w:rsidRPr="005035FF">
        <w:t>he GMP Code</w:t>
      </w:r>
      <w:bookmarkEnd w:id="26"/>
      <w:bookmarkEnd w:id="27"/>
      <w:bookmarkEnd w:id="28"/>
      <w:bookmarkEnd w:id="29"/>
    </w:p>
    <w:p w14:paraId="7F1704AE" w14:textId="77777777" w:rsidR="00530526" w:rsidRPr="008B5640" w:rsidRDefault="00530526" w:rsidP="00530526">
      <w:r w:rsidRPr="005035FF">
        <w:t>The GMP Code consists of:</w:t>
      </w:r>
    </w:p>
    <w:p w14:paraId="311B84A4" w14:textId="77777777" w:rsidR="00530526" w:rsidRPr="005035FF" w:rsidRDefault="00530526" w:rsidP="00530526">
      <w:pPr>
        <w:pStyle w:val="Bullet"/>
      </w:pPr>
      <w:r w:rsidRPr="005035FF">
        <w:t>PE 009-</w:t>
      </w:r>
      <w:r>
        <w:t>14</w:t>
      </w:r>
      <w:r w:rsidRPr="005035FF">
        <w:t xml:space="preserve"> (Part I) PIC/S GMP Guide (Part I: Basic Requirements for Medicinal Products)</w:t>
      </w:r>
    </w:p>
    <w:p w14:paraId="07BC641E" w14:textId="77777777" w:rsidR="00530526" w:rsidRPr="005035FF" w:rsidRDefault="00530526" w:rsidP="00530526">
      <w:pPr>
        <w:pStyle w:val="Bullet"/>
      </w:pPr>
      <w:r w:rsidRPr="005035FF">
        <w:t>PE 009-</w:t>
      </w:r>
      <w:r>
        <w:t>14</w:t>
      </w:r>
      <w:r w:rsidRPr="005035FF">
        <w:t xml:space="preserve"> (Part II) PIC/S GMP Guide (Part II: Basic requirements for active pharmaceutical ingredients)</w:t>
      </w:r>
    </w:p>
    <w:p w14:paraId="615992E3" w14:textId="77777777" w:rsidR="00530526" w:rsidRPr="005035FF" w:rsidRDefault="00530526" w:rsidP="00530526">
      <w:pPr>
        <w:pStyle w:val="Bullet"/>
      </w:pPr>
      <w:r w:rsidRPr="005035FF">
        <w:t>PE 009-</w:t>
      </w:r>
      <w:r>
        <w:t>14</w:t>
      </w:r>
      <w:r w:rsidRPr="005035FF">
        <w:t xml:space="preserve"> (Annexes).</w:t>
      </w:r>
    </w:p>
    <w:p w14:paraId="4464ECF3" w14:textId="77777777" w:rsidR="00530526" w:rsidRPr="005035FF" w:rsidRDefault="00530526" w:rsidP="00530526">
      <w:r w:rsidRPr="005035FF">
        <w:t>PE 009-</w:t>
      </w:r>
      <w:r>
        <w:t>14</w:t>
      </w:r>
      <w:r w:rsidRPr="005035FF">
        <w:t xml:space="preserve"> (Part I) PIC/S GMP Guide (Part I: Basic Requirements for Medicinal Products) provides guidance on manufacturing and packing finished medicinal cannabis products.</w:t>
      </w:r>
    </w:p>
    <w:p w14:paraId="6EE301FD" w14:textId="77777777" w:rsidR="00530526" w:rsidRPr="005035FF" w:rsidRDefault="00530526" w:rsidP="00530526">
      <w:r w:rsidRPr="005035FF">
        <w:t>PE 009-</w:t>
      </w:r>
      <w:r>
        <w:t>14</w:t>
      </w:r>
      <w:r w:rsidRPr="005035FF">
        <w:t xml:space="preserve"> (Part II) PIC/S GMP Guide (Part II: Basic requirements for active pharmaceutical ingredients) provides guidance on manufacturing </w:t>
      </w:r>
      <w:r>
        <w:t>cannabis-based ingredients.</w:t>
      </w:r>
    </w:p>
    <w:p w14:paraId="15D02D57" w14:textId="77777777" w:rsidR="00530526" w:rsidRPr="005035FF" w:rsidRDefault="00530526" w:rsidP="00530526">
      <w:r w:rsidRPr="005035FF">
        <w:t>PE 009-</w:t>
      </w:r>
      <w:r>
        <w:t>14</w:t>
      </w:r>
      <w:r w:rsidRPr="005035FF">
        <w:t xml:space="preserve"> (Annexes) provides additional guidance for specific product types and more detail for specific topic areas. Use these annexes together with Part I or Part II.</w:t>
      </w:r>
    </w:p>
    <w:p w14:paraId="6E6821C4" w14:textId="77777777" w:rsidR="00530526" w:rsidRPr="005035FF" w:rsidRDefault="00530526" w:rsidP="00530526">
      <w:r w:rsidRPr="005035FF">
        <w:t>Table 1 lists the annexes relevant to medicinal cannabis products and gives examples of the types of products that these annexes may apply to.</w:t>
      </w:r>
    </w:p>
    <w:p w14:paraId="2BE46121" w14:textId="6BF77A31" w:rsidR="00530526" w:rsidRPr="005035FF" w:rsidRDefault="00530526" w:rsidP="00530526">
      <w:pPr>
        <w:pStyle w:val="Table"/>
        <w:rPr>
          <w:rFonts w:cs="Arial"/>
        </w:rPr>
      </w:pPr>
      <w:bookmarkStart w:id="30" w:name="_Toc170709459"/>
      <w:r>
        <w:t xml:space="preserve">Table </w:t>
      </w:r>
      <w:fldSimple w:instr=" SEQ Table \* ARABIC ">
        <w:r w:rsidR="00AB71F7">
          <w:rPr>
            <w:noProof/>
          </w:rPr>
          <w:t>1</w:t>
        </w:r>
      </w:fldSimple>
      <w:r>
        <w:t xml:space="preserve">: </w:t>
      </w:r>
      <w:r w:rsidRPr="005035FF">
        <w:t>Annexes in the GMP Code relevant to medicinal cannabis products</w:t>
      </w:r>
      <w:bookmarkEnd w:id="30"/>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29"/>
        <w:gridCol w:w="4541"/>
        <w:gridCol w:w="3119"/>
      </w:tblGrid>
      <w:tr w:rsidR="00530526" w:rsidRPr="008B5640" w14:paraId="0024F801" w14:textId="77777777" w:rsidTr="00530526">
        <w:trPr>
          <w:cantSplit/>
          <w:tblHeader/>
        </w:trPr>
        <w:tc>
          <w:tcPr>
            <w:tcW w:w="1129" w:type="dxa"/>
            <w:tcBorders>
              <w:bottom w:val="single" w:sz="4" w:space="0" w:color="FFFFFF" w:themeColor="background1"/>
            </w:tcBorders>
            <w:shd w:val="clear" w:color="auto" w:fill="076283"/>
          </w:tcPr>
          <w:p w14:paraId="736EEB74" w14:textId="77777777" w:rsidR="00530526" w:rsidRPr="00606CDC" w:rsidRDefault="00530526" w:rsidP="00530526">
            <w:pPr>
              <w:pStyle w:val="TableText"/>
              <w:keepNext/>
              <w:jc w:val="center"/>
              <w:rPr>
                <w:b/>
                <w:color w:val="FFFFFF" w:themeColor="background1"/>
                <w:lang w:val="en-NZ"/>
              </w:rPr>
            </w:pPr>
            <w:r w:rsidRPr="00606CDC">
              <w:rPr>
                <w:b/>
                <w:color w:val="FFFFFF" w:themeColor="background1"/>
                <w:lang w:val="en-NZ"/>
              </w:rPr>
              <w:t>Annex number</w:t>
            </w:r>
          </w:p>
        </w:tc>
        <w:tc>
          <w:tcPr>
            <w:tcW w:w="4541" w:type="dxa"/>
            <w:tcBorders>
              <w:bottom w:val="single" w:sz="4" w:space="0" w:color="FFFFFF" w:themeColor="background1"/>
            </w:tcBorders>
            <w:shd w:val="clear" w:color="auto" w:fill="076283"/>
          </w:tcPr>
          <w:p w14:paraId="014BB163" w14:textId="77777777" w:rsidR="00530526" w:rsidRPr="00606CDC" w:rsidRDefault="00530526" w:rsidP="00530526">
            <w:pPr>
              <w:pStyle w:val="TableText"/>
              <w:keepNext/>
              <w:rPr>
                <w:b/>
                <w:color w:val="FFFFFF" w:themeColor="background1"/>
                <w:lang w:val="en-NZ"/>
              </w:rPr>
            </w:pPr>
            <w:r w:rsidRPr="00606CDC">
              <w:rPr>
                <w:b/>
                <w:color w:val="FFFFFF" w:themeColor="background1"/>
                <w:lang w:val="en-NZ"/>
              </w:rPr>
              <w:t>Annex title</w:t>
            </w:r>
          </w:p>
        </w:tc>
        <w:tc>
          <w:tcPr>
            <w:tcW w:w="3119" w:type="dxa"/>
            <w:tcBorders>
              <w:bottom w:val="single" w:sz="4" w:space="0" w:color="FFFFFF" w:themeColor="background1"/>
            </w:tcBorders>
            <w:shd w:val="clear" w:color="auto" w:fill="076283"/>
          </w:tcPr>
          <w:p w14:paraId="4FE0DA56" w14:textId="77777777" w:rsidR="00530526" w:rsidRPr="00606CDC" w:rsidRDefault="00530526" w:rsidP="00530526">
            <w:pPr>
              <w:pStyle w:val="TableText"/>
              <w:keepNext/>
              <w:rPr>
                <w:b/>
                <w:color w:val="FFFFFF" w:themeColor="background1"/>
                <w:lang w:val="en-NZ"/>
              </w:rPr>
            </w:pPr>
            <w:r w:rsidRPr="00606CDC">
              <w:rPr>
                <w:b/>
                <w:color w:val="FFFFFF" w:themeColor="background1"/>
                <w:lang w:val="en-NZ"/>
              </w:rPr>
              <w:t>Product types annex may apply to</w:t>
            </w:r>
          </w:p>
        </w:tc>
      </w:tr>
      <w:tr w:rsidR="00530526" w:rsidRPr="005035FF" w14:paraId="0F54E4F3" w14:textId="77777777" w:rsidTr="00530526">
        <w:trPr>
          <w:cantSplit/>
        </w:trPr>
        <w:tc>
          <w:tcPr>
            <w:tcW w:w="1129" w:type="dxa"/>
            <w:shd w:val="clear" w:color="auto" w:fill="076283"/>
          </w:tcPr>
          <w:p w14:paraId="254AE660"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7</w:t>
            </w:r>
          </w:p>
        </w:tc>
        <w:tc>
          <w:tcPr>
            <w:tcW w:w="4541" w:type="dxa"/>
            <w:tcBorders>
              <w:bottom w:val="single" w:sz="4" w:space="0" w:color="FFFFFF" w:themeColor="background1"/>
            </w:tcBorders>
            <w:shd w:val="clear" w:color="auto" w:fill="B4CFD9"/>
          </w:tcPr>
          <w:p w14:paraId="4574CA91" w14:textId="77777777" w:rsidR="00530526" w:rsidRPr="00606CDC" w:rsidRDefault="00530526" w:rsidP="00530526">
            <w:pPr>
              <w:pStyle w:val="TableText"/>
              <w:keepNext/>
              <w:rPr>
                <w:lang w:val="en-NZ"/>
              </w:rPr>
            </w:pPr>
            <w:r w:rsidRPr="00606CDC">
              <w:rPr>
                <w:lang w:val="en-NZ"/>
              </w:rPr>
              <w:t>Manufacture of herbal medicinal products</w:t>
            </w:r>
          </w:p>
        </w:tc>
        <w:tc>
          <w:tcPr>
            <w:tcW w:w="3119" w:type="dxa"/>
            <w:tcBorders>
              <w:bottom w:val="single" w:sz="4" w:space="0" w:color="FFFFFF" w:themeColor="background1"/>
            </w:tcBorders>
            <w:shd w:val="clear" w:color="auto" w:fill="B4CFD9"/>
          </w:tcPr>
          <w:p w14:paraId="2C8BEECC" w14:textId="77777777" w:rsidR="00530526" w:rsidRPr="00606CDC" w:rsidRDefault="00530526" w:rsidP="00530526">
            <w:pPr>
              <w:pStyle w:val="TableText"/>
              <w:keepNext/>
              <w:rPr>
                <w:lang w:val="en-NZ"/>
              </w:rPr>
            </w:pPr>
            <w:r w:rsidRPr="00606CDC">
              <w:rPr>
                <w:lang w:val="en-NZ"/>
              </w:rPr>
              <w:t>Flos, herbal tinctures, herbal powders</w:t>
            </w:r>
          </w:p>
        </w:tc>
      </w:tr>
      <w:tr w:rsidR="00530526" w:rsidRPr="005035FF" w14:paraId="548B31D8" w14:textId="77777777" w:rsidTr="00530526">
        <w:trPr>
          <w:cantSplit/>
        </w:trPr>
        <w:tc>
          <w:tcPr>
            <w:tcW w:w="1129" w:type="dxa"/>
            <w:shd w:val="clear" w:color="auto" w:fill="076283"/>
          </w:tcPr>
          <w:p w14:paraId="46DFF3C7"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8</w:t>
            </w:r>
          </w:p>
        </w:tc>
        <w:tc>
          <w:tcPr>
            <w:tcW w:w="4541" w:type="dxa"/>
            <w:tcBorders>
              <w:bottom w:val="single" w:sz="4" w:space="0" w:color="FFFFFF" w:themeColor="background1"/>
            </w:tcBorders>
            <w:shd w:val="clear" w:color="auto" w:fill="D9E7EC"/>
          </w:tcPr>
          <w:p w14:paraId="1897E74C" w14:textId="77777777" w:rsidR="00530526" w:rsidRPr="00606CDC" w:rsidRDefault="00530526" w:rsidP="00530526">
            <w:pPr>
              <w:pStyle w:val="TableText"/>
              <w:keepNext/>
              <w:rPr>
                <w:lang w:val="en-NZ"/>
              </w:rPr>
            </w:pPr>
            <w:r w:rsidRPr="00606CDC">
              <w:rPr>
                <w:lang w:val="en-NZ"/>
              </w:rPr>
              <w:t>Sampling of starting and packaging materials</w:t>
            </w:r>
          </w:p>
        </w:tc>
        <w:tc>
          <w:tcPr>
            <w:tcW w:w="3119" w:type="dxa"/>
            <w:tcBorders>
              <w:bottom w:val="single" w:sz="4" w:space="0" w:color="FFFFFF" w:themeColor="background1"/>
            </w:tcBorders>
            <w:shd w:val="clear" w:color="auto" w:fill="D9E7EC"/>
          </w:tcPr>
          <w:p w14:paraId="16910576" w14:textId="77777777" w:rsidR="00530526" w:rsidRPr="00606CDC" w:rsidRDefault="00530526" w:rsidP="00530526">
            <w:pPr>
              <w:pStyle w:val="TableText"/>
              <w:keepNext/>
              <w:rPr>
                <w:lang w:val="en-NZ"/>
              </w:rPr>
            </w:pPr>
            <w:r w:rsidRPr="00606CDC">
              <w:rPr>
                <w:lang w:val="en-NZ"/>
              </w:rPr>
              <w:t>All product types</w:t>
            </w:r>
          </w:p>
        </w:tc>
      </w:tr>
      <w:tr w:rsidR="00530526" w:rsidRPr="005035FF" w14:paraId="7A13AE07" w14:textId="77777777" w:rsidTr="00530526">
        <w:trPr>
          <w:cantSplit/>
        </w:trPr>
        <w:tc>
          <w:tcPr>
            <w:tcW w:w="1129" w:type="dxa"/>
            <w:shd w:val="clear" w:color="auto" w:fill="076283"/>
          </w:tcPr>
          <w:p w14:paraId="7B040B39"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9</w:t>
            </w:r>
          </w:p>
        </w:tc>
        <w:tc>
          <w:tcPr>
            <w:tcW w:w="4541" w:type="dxa"/>
            <w:tcBorders>
              <w:bottom w:val="single" w:sz="4" w:space="0" w:color="FFFFFF" w:themeColor="background1"/>
            </w:tcBorders>
            <w:shd w:val="clear" w:color="auto" w:fill="B4CFD9"/>
          </w:tcPr>
          <w:p w14:paraId="652F8F27" w14:textId="77777777" w:rsidR="00530526" w:rsidRPr="00606CDC" w:rsidRDefault="00530526" w:rsidP="00530526">
            <w:pPr>
              <w:pStyle w:val="TableText"/>
              <w:keepNext/>
              <w:rPr>
                <w:lang w:val="en-NZ"/>
              </w:rPr>
            </w:pPr>
            <w:r w:rsidRPr="00606CDC">
              <w:rPr>
                <w:lang w:val="en-NZ"/>
              </w:rPr>
              <w:t>Manufacture of liquids, creams and ointments</w:t>
            </w:r>
          </w:p>
        </w:tc>
        <w:tc>
          <w:tcPr>
            <w:tcW w:w="3119" w:type="dxa"/>
            <w:tcBorders>
              <w:bottom w:val="single" w:sz="4" w:space="0" w:color="FFFFFF" w:themeColor="background1"/>
            </w:tcBorders>
            <w:shd w:val="clear" w:color="auto" w:fill="B4CFD9"/>
          </w:tcPr>
          <w:p w14:paraId="6C93B856" w14:textId="77777777" w:rsidR="00530526" w:rsidRPr="00606CDC" w:rsidRDefault="00530526" w:rsidP="00530526">
            <w:pPr>
              <w:pStyle w:val="TableText"/>
              <w:keepNext/>
              <w:rPr>
                <w:lang w:val="en-NZ"/>
              </w:rPr>
            </w:pPr>
            <w:r w:rsidRPr="00606CDC">
              <w:rPr>
                <w:lang w:val="en-NZ"/>
              </w:rPr>
              <w:t>Liquids, creams and ointments</w:t>
            </w:r>
          </w:p>
        </w:tc>
      </w:tr>
      <w:tr w:rsidR="00530526" w:rsidRPr="005035FF" w14:paraId="5DEB079B" w14:textId="77777777" w:rsidTr="00530526">
        <w:trPr>
          <w:cantSplit/>
        </w:trPr>
        <w:tc>
          <w:tcPr>
            <w:tcW w:w="1129" w:type="dxa"/>
            <w:shd w:val="clear" w:color="auto" w:fill="076283"/>
          </w:tcPr>
          <w:p w14:paraId="60084D3C"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10</w:t>
            </w:r>
          </w:p>
        </w:tc>
        <w:tc>
          <w:tcPr>
            <w:tcW w:w="4541" w:type="dxa"/>
            <w:tcBorders>
              <w:bottom w:val="single" w:sz="4" w:space="0" w:color="FFFFFF" w:themeColor="background1"/>
            </w:tcBorders>
            <w:shd w:val="clear" w:color="auto" w:fill="D9E7EC"/>
          </w:tcPr>
          <w:p w14:paraId="3987D907" w14:textId="77777777" w:rsidR="00530526" w:rsidRPr="00606CDC" w:rsidRDefault="00530526" w:rsidP="00530526">
            <w:pPr>
              <w:pStyle w:val="TableText"/>
              <w:keepNext/>
              <w:rPr>
                <w:lang w:val="en-NZ"/>
              </w:rPr>
            </w:pPr>
            <w:r w:rsidRPr="00606CDC">
              <w:rPr>
                <w:lang w:val="en-NZ"/>
              </w:rPr>
              <w:t>Manufacture of pressurised metered dose aerosol preparations for inhalation</w:t>
            </w:r>
          </w:p>
        </w:tc>
        <w:tc>
          <w:tcPr>
            <w:tcW w:w="3119" w:type="dxa"/>
            <w:tcBorders>
              <w:bottom w:val="single" w:sz="4" w:space="0" w:color="FFFFFF" w:themeColor="background1"/>
            </w:tcBorders>
            <w:shd w:val="clear" w:color="auto" w:fill="D9E7EC"/>
          </w:tcPr>
          <w:p w14:paraId="2B9DC067" w14:textId="77777777" w:rsidR="00530526" w:rsidRPr="00606CDC" w:rsidRDefault="00530526" w:rsidP="00530526">
            <w:pPr>
              <w:pStyle w:val="TableText"/>
              <w:keepNext/>
              <w:rPr>
                <w:lang w:val="en-NZ"/>
              </w:rPr>
            </w:pPr>
            <w:r w:rsidRPr="00606CDC">
              <w:rPr>
                <w:lang w:val="en-NZ"/>
              </w:rPr>
              <w:t>Pressurised metered dose aerosol preparations for inhalation</w:t>
            </w:r>
          </w:p>
        </w:tc>
      </w:tr>
      <w:tr w:rsidR="00530526" w:rsidRPr="005035FF" w14:paraId="455DE976" w14:textId="77777777" w:rsidTr="00530526">
        <w:trPr>
          <w:cantSplit/>
        </w:trPr>
        <w:tc>
          <w:tcPr>
            <w:tcW w:w="1129" w:type="dxa"/>
            <w:shd w:val="clear" w:color="auto" w:fill="076283"/>
          </w:tcPr>
          <w:p w14:paraId="1C8FBD7F"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11</w:t>
            </w:r>
          </w:p>
        </w:tc>
        <w:tc>
          <w:tcPr>
            <w:tcW w:w="4541" w:type="dxa"/>
            <w:tcBorders>
              <w:bottom w:val="single" w:sz="4" w:space="0" w:color="FFFFFF" w:themeColor="background1"/>
            </w:tcBorders>
            <w:shd w:val="clear" w:color="auto" w:fill="B4CFD9"/>
          </w:tcPr>
          <w:p w14:paraId="51657219" w14:textId="77777777" w:rsidR="00530526" w:rsidRPr="00606CDC" w:rsidRDefault="00530526" w:rsidP="00530526">
            <w:pPr>
              <w:pStyle w:val="TableText"/>
              <w:keepNext/>
              <w:rPr>
                <w:lang w:val="en-NZ"/>
              </w:rPr>
            </w:pPr>
            <w:r w:rsidRPr="00606CDC">
              <w:rPr>
                <w:lang w:val="en-NZ"/>
              </w:rPr>
              <w:t>Computerised systems</w:t>
            </w:r>
          </w:p>
        </w:tc>
        <w:tc>
          <w:tcPr>
            <w:tcW w:w="3119" w:type="dxa"/>
            <w:tcBorders>
              <w:bottom w:val="single" w:sz="4" w:space="0" w:color="FFFFFF" w:themeColor="background1"/>
            </w:tcBorders>
            <w:shd w:val="clear" w:color="auto" w:fill="B4CFD9"/>
          </w:tcPr>
          <w:p w14:paraId="3BD7156E" w14:textId="77777777" w:rsidR="00530526" w:rsidRPr="00606CDC" w:rsidRDefault="00530526" w:rsidP="00530526">
            <w:pPr>
              <w:pStyle w:val="TableText"/>
              <w:keepNext/>
              <w:rPr>
                <w:lang w:val="en-NZ"/>
              </w:rPr>
            </w:pPr>
            <w:r w:rsidRPr="00606CDC">
              <w:rPr>
                <w:lang w:val="en-NZ"/>
              </w:rPr>
              <w:t>All products</w:t>
            </w:r>
          </w:p>
        </w:tc>
      </w:tr>
      <w:tr w:rsidR="00530526" w:rsidRPr="005035FF" w14:paraId="6CA18761" w14:textId="77777777" w:rsidTr="00530526">
        <w:trPr>
          <w:cantSplit/>
        </w:trPr>
        <w:tc>
          <w:tcPr>
            <w:tcW w:w="1129" w:type="dxa"/>
            <w:shd w:val="clear" w:color="auto" w:fill="076283"/>
          </w:tcPr>
          <w:p w14:paraId="3ED23F2A" w14:textId="77777777" w:rsidR="00530526" w:rsidRPr="00606CDC" w:rsidRDefault="00530526" w:rsidP="00530526">
            <w:pPr>
              <w:pStyle w:val="TableText"/>
              <w:keepNext/>
              <w:tabs>
                <w:tab w:val="decimal" w:pos="507"/>
              </w:tabs>
              <w:rPr>
                <w:color w:val="FFFFFF" w:themeColor="background1"/>
                <w:lang w:val="en-NZ"/>
              </w:rPr>
            </w:pPr>
            <w:r w:rsidRPr="00606CDC">
              <w:rPr>
                <w:color w:val="FFFFFF" w:themeColor="background1"/>
                <w:lang w:val="en-NZ"/>
              </w:rPr>
              <w:t>12</w:t>
            </w:r>
          </w:p>
        </w:tc>
        <w:tc>
          <w:tcPr>
            <w:tcW w:w="4541" w:type="dxa"/>
            <w:tcBorders>
              <w:bottom w:val="single" w:sz="4" w:space="0" w:color="FFFFFF" w:themeColor="background1"/>
            </w:tcBorders>
            <w:shd w:val="clear" w:color="auto" w:fill="D9E7EC"/>
          </w:tcPr>
          <w:p w14:paraId="22CE0C4C" w14:textId="77777777" w:rsidR="00530526" w:rsidRPr="00606CDC" w:rsidRDefault="00530526" w:rsidP="00530526">
            <w:pPr>
              <w:pStyle w:val="TableText"/>
              <w:keepNext/>
              <w:rPr>
                <w:lang w:val="en-NZ"/>
              </w:rPr>
            </w:pPr>
            <w:r w:rsidRPr="00606CDC">
              <w:rPr>
                <w:lang w:val="en-NZ"/>
              </w:rPr>
              <w:t>Use of ionising radiation in the manufacture of medicinal products</w:t>
            </w:r>
          </w:p>
        </w:tc>
        <w:tc>
          <w:tcPr>
            <w:tcW w:w="3119" w:type="dxa"/>
            <w:tcBorders>
              <w:bottom w:val="single" w:sz="4" w:space="0" w:color="FFFFFF" w:themeColor="background1"/>
            </w:tcBorders>
            <w:shd w:val="clear" w:color="auto" w:fill="D9E7EC"/>
          </w:tcPr>
          <w:p w14:paraId="55BA7183" w14:textId="77777777" w:rsidR="00530526" w:rsidRPr="00606CDC" w:rsidRDefault="00530526" w:rsidP="00530526">
            <w:pPr>
              <w:pStyle w:val="TableText"/>
              <w:keepNext/>
              <w:rPr>
                <w:lang w:val="en-NZ"/>
              </w:rPr>
            </w:pPr>
            <w:r w:rsidRPr="00606CDC">
              <w:rPr>
                <w:lang w:val="en-NZ"/>
              </w:rPr>
              <w:t>Any products using ionising radiation to reduce bioburden</w:t>
            </w:r>
          </w:p>
        </w:tc>
      </w:tr>
      <w:tr w:rsidR="00530526" w:rsidRPr="005035FF" w14:paraId="060D2B57" w14:textId="77777777" w:rsidTr="00530526">
        <w:trPr>
          <w:cantSplit/>
        </w:trPr>
        <w:tc>
          <w:tcPr>
            <w:tcW w:w="1129" w:type="dxa"/>
            <w:shd w:val="clear" w:color="auto" w:fill="076283"/>
          </w:tcPr>
          <w:p w14:paraId="0BD37772" w14:textId="77777777" w:rsidR="00530526" w:rsidRPr="00606CDC" w:rsidRDefault="00530526" w:rsidP="00530526">
            <w:pPr>
              <w:pStyle w:val="TableText"/>
              <w:tabs>
                <w:tab w:val="decimal" w:pos="507"/>
              </w:tabs>
              <w:rPr>
                <w:color w:val="FFFFFF" w:themeColor="background1"/>
                <w:lang w:val="en-NZ"/>
              </w:rPr>
            </w:pPr>
            <w:r w:rsidRPr="00606CDC">
              <w:rPr>
                <w:color w:val="FFFFFF" w:themeColor="background1"/>
                <w:lang w:val="en-NZ"/>
              </w:rPr>
              <w:t>13</w:t>
            </w:r>
          </w:p>
        </w:tc>
        <w:tc>
          <w:tcPr>
            <w:tcW w:w="4541" w:type="dxa"/>
            <w:tcBorders>
              <w:bottom w:val="single" w:sz="4" w:space="0" w:color="FFFFFF" w:themeColor="background1"/>
            </w:tcBorders>
            <w:shd w:val="clear" w:color="auto" w:fill="B4CFD9"/>
          </w:tcPr>
          <w:p w14:paraId="4A9A16C5" w14:textId="77777777" w:rsidR="00530526" w:rsidRPr="00606CDC" w:rsidRDefault="00530526" w:rsidP="00530526">
            <w:pPr>
              <w:pStyle w:val="TableText"/>
              <w:rPr>
                <w:lang w:val="en-NZ"/>
              </w:rPr>
            </w:pPr>
            <w:r w:rsidRPr="00606CDC">
              <w:rPr>
                <w:lang w:val="en-NZ"/>
              </w:rPr>
              <w:t>Manufacture of investigational medicinal products</w:t>
            </w:r>
          </w:p>
        </w:tc>
        <w:tc>
          <w:tcPr>
            <w:tcW w:w="3119" w:type="dxa"/>
            <w:tcBorders>
              <w:bottom w:val="single" w:sz="4" w:space="0" w:color="FFFFFF" w:themeColor="background1"/>
            </w:tcBorders>
            <w:shd w:val="clear" w:color="auto" w:fill="B4CFD9"/>
          </w:tcPr>
          <w:p w14:paraId="146872EA" w14:textId="77777777" w:rsidR="00530526" w:rsidRPr="00606CDC" w:rsidRDefault="00530526" w:rsidP="00530526">
            <w:pPr>
              <w:pStyle w:val="TableText"/>
              <w:rPr>
                <w:lang w:val="en-NZ"/>
              </w:rPr>
            </w:pPr>
            <w:r w:rsidRPr="00606CDC">
              <w:rPr>
                <w:lang w:val="en-NZ"/>
              </w:rPr>
              <w:t>Clinical trial products</w:t>
            </w:r>
          </w:p>
        </w:tc>
      </w:tr>
      <w:tr w:rsidR="00530526" w:rsidRPr="005035FF" w14:paraId="75E7D06E" w14:textId="77777777" w:rsidTr="00530526">
        <w:trPr>
          <w:cantSplit/>
        </w:trPr>
        <w:tc>
          <w:tcPr>
            <w:tcW w:w="1129" w:type="dxa"/>
            <w:shd w:val="clear" w:color="auto" w:fill="076283"/>
          </w:tcPr>
          <w:p w14:paraId="42446227" w14:textId="77777777" w:rsidR="00530526" w:rsidRPr="00606CDC" w:rsidRDefault="00530526" w:rsidP="00530526">
            <w:pPr>
              <w:pStyle w:val="TableText"/>
              <w:tabs>
                <w:tab w:val="decimal" w:pos="507"/>
              </w:tabs>
              <w:rPr>
                <w:color w:val="FFFFFF" w:themeColor="background1"/>
                <w:lang w:val="en-NZ"/>
              </w:rPr>
            </w:pPr>
            <w:r w:rsidRPr="00606CDC">
              <w:rPr>
                <w:color w:val="FFFFFF" w:themeColor="background1"/>
                <w:lang w:val="en-NZ"/>
              </w:rPr>
              <w:t>15</w:t>
            </w:r>
          </w:p>
        </w:tc>
        <w:tc>
          <w:tcPr>
            <w:tcW w:w="4541" w:type="dxa"/>
            <w:tcBorders>
              <w:bottom w:val="single" w:sz="4" w:space="0" w:color="FFFFFF" w:themeColor="background1"/>
            </w:tcBorders>
            <w:shd w:val="clear" w:color="auto" w:fill="D9E7EC"/>
          </w:tcPr>
          <w:p w14:paraId="547638D3" w14:textId="77777777" w:rsidR="00530526" w:rsidRPr="00606CDC" w:rsidRDefault="00530526" w:rsidP="00530526">
            <w:pPr>
              <w:pStyle w:val="TableText"/>
              <w:rPr>
                <w:lang w:val="en-NZ"/>
              </w:rPr>
            </w:pPr>
            <w:r w:rsidRPr="00606CDC">
              <w:rPr>
                <w:lang w:val="en-NZ"/>
              </w:rPr>
              <w:t>Qualification and validation</w:t>
            </w:r>
          </w:p>
        </w:tc>
        <w:tc>
          <w:tcPr>
            <w:tcW w:w="3119" w:type="dxa"/>
            <w:tcBorders>
              <w:bottom w:val="single" w:sz="4" w:space="0" w:color="FFFFFF" w:themeColor="background1"/>
            </w:tcBorders>
            <w:shd w:val="clear" w:color="auto" w:fill="D9E7EC"/>
          </w:tcPr>
          <w:p w14:paraId="566EDB81" w14:textId="77777777" w:rsidR="00530526" w:rsidRPr="00606CDC" w:rsidRDefault="00530526" w:rsidP="00530526">
            <w:pPr>
              <w:pStyle w:val="TableText"/>
              <w:rPr>
                <w:lang w:val="en-NZ"/>
              </w:rPr>
            </w:pPr>
            <w:r w:rsidRPr="00606CDC">
              <w:rPr>
                <w:lang w:val="en-NZ"/>
              </w:rPr>
              <w:t>All products</w:t>
            </w:r>
          </w:p>
        </w:tc>
      </w:tr>
      <w:tr w:rsidR="00530526" w:rsidRPr="005035FF" w14:paraId="096BECE7" w14:textId="77777777" w:rsidTr="00530526">
        <w:trPr>
          <w:cantSplit/>
        </w:trPr>
        <w:tc>
          <w:tcPr>
            <w:tcW w:w="1129" w:type="dxa"/>
            <w:shd w:val="clear" w:color="auto" w:fill="076283"/>
          </w:tcPr>
          <w:p w14:paraId="593413BB" w14:textId="77777777" w:rsidR="00530526" w:rsidRPr="00606CDC" w:rsidRDefault="00530526" w:rsidP="00530526">
            <w:pPr>
              <w:pStyle w:val="TableText"/>
              <w:tabs>
                <w:tab w:val="decimal" w:pos="507"/>
              </w:tabs>
              <w:rPr>
                <w:color w:val="FFFFFF" w:themeColor="background1"/>
                <w:lang w:val="en-NZ"/>
              </w:rPr>
            </w:pPr>
            <w:r w:rsidRPr="00606CDC">
              <w:rPr>
                <w:color w:val="FFFFFF" w:themeColor="background1"/>
                <w:lang w:val="en-NZ"/>
              </w:rPr>
              <w:lastRenderedPageBreak/>
              <w:t>19</w:t>
            </w:r>
          </w:p>
        </w:tc>
        <w:tc>
          <w:tcPr>
            <w:tcW w:w="4541" w:type="dxa"/>
            <w:tcBorders>
              <w:bottom w:val="single" w:sz="4" w:space="0" w:color="FFFFFF" w:themeColor="background1"/>
            </w:tcBorders>
            <w:shd w:val="clear" w:color="auto" w:fill="B4CFD9"/>
          </w:tcPr>
          <w:p w14:paraId="3DE5CBDE" w14:textId="77777777" w:rsidR="00530526" w:rsidRPr="00606CDC" w:rsidRDefault="00530526" w:rsidP="00530526">
            <w:pPr>
              <w:pStyle w:val="TableText"/>
              <w:rPr>
                <w:lang w:val="en-NZ"/>
              </w:rPr>
            </w:pPr>
            <w:r w:rsidRPr="00606CDC">
              <w:rPr>
                <w:lang w:val="en-NZ"/>
              </w:rPr>
              <w:t>Reference and retention samples</w:t>
            </w:r>
          </w:p>
        </w:tc>
        <w:tc>
          <w:tcPr>
            <w:tcW w:w="3119" w:type="dxa"/>
            <w:tcBorders>
              <w:bottom w:val="single" w:sz="4" w:space="0" w:color="FFFFFF" w:themeColor="background1"/>
            </w:tcBorders>
            <w:shd w:val="clear" w:color="auto" w:fill="B4CFD9"/>
          </w:tcPr>
          <w:p w14:paraId="33CAE2CF" w14:textId="77777777" w:rsidR="00530526" w:rsidRPr="00606CDC" w:rsidRDefault="00530526" w:rsidP="00530526">
            <w:pPr>
              <w:pStyle w:val="TableText"/>
              <w:rPr>
                <w:lang w:val="en-NZ"/>
              </w:rPr>
            </w:pPr>
            <w:r w:rsidRPr="00606CDC">
              <w:rPr>
                <w:lang w:val="en-NZ"/>
              </w:rPr>
              <w:t>All products</w:t>
            </w:r>
          </w:p>
        </w:tc>
      </w:tr>
      <w:tr w:rsidR="00530526" w:rsidRPr="005035FF" w14:paraId="5F4A846B" w14:textId="77777777" w:rsidTr="00530526">
        <w:trPr>
          <w:cantSplit/>
        </w:trPr>
        <w:tc>
          <w:tcPr>
            <w:tcW w:w="1129" w:type="dxa"/>
            <w:shd w:val="clear" w:color="auto" w:fill="076283"/>
          </w:tcPr>
          <w:p w14:paraId="0C6C1B42" w14:textId="77777777" w:rsidR="00530526" w:rsidRPr="00606CDC" w:rsidRDefault="00530526" w:rsidP="00530526">
            <w:pPr>
              <w:pStyle w:val="TableText"/>
              <w:tabs>
                <w:tab w:val="decimal" w:pos="507"/>
              </w:tabs>
              <w:rPr>
                <w:color w:val="FFFFFF" w:themeColor="background1"/>
                <w:lang w:val="en-NZ"/>
              </w:rPr>
            </w:pPr>
            <w:r w:rsidRPr="00606CDC">
              <w:rPr>
                <w:color w:val="FFFFFF" w:themeColor="background1"/>
                <w:lang w:val="en-NZ"/>
              </w:rPr>
              <w:t>20</w:t>
            </w:r>
          </w:p>
        </w:tc>
        <w:tc>
          <w:tcPr>
            <w:tcW w:w="4541" w:type="dxa"/>
            <w:shd w:val="clear" w:color="auto" w:fill="D9E7EC"/>
          </w:tcPr>
          <w:p w14:paraId="2A5E7571" w14:textId="77777777" w:rsidR="00530526" w:rsidRPr="00606CDC" w:rsidRDefault="00530526" w:rsidP="00530526">
            <w:pPr>
              <w:pStyle w:val="TableText"/>
              <w:rPr>
                <w:lang w:val="en-NZ"/>
              </w:rPr>
            </w:pPr>
            <w:r w:rsidRPr="00606CDC">
              <w:rPr>
                <w:lang w:val="en-NZ"/>
              </w:rPr>
              <w:t>Quality risk management</w:t>
            </w:r>
          </w:p>
          <w:p w14:paraId="04CC27F4" w14:textId="77777777" w:rsidR="00530526" w:rsidRPr="00606CDC" w:rsidRDefault="00530526" w:rsidP="00530526">
            <w:pPr>
              <w:pStyle w:val="TableText"/>
              <w:rPr>
                <w:lang w:val="en-NZ"/>
              </w:rPr>
            </w:pPr>
            <w:r w:rsidRPr="00606CDC">
              <w:rPr>
                <w:lang w:val="en-NZ"/>
              </w:rPr>
              <w:t>Note: This is a voluntary annex.</w:t>
            </w:r>
          </w:p>
        </w:tc>
        <w:tc>
          <w:tcPr>
            <w:tcW w:w="3119" w:type="dxa"/>
            <w:shd w:val="clear" w:color="auto" w:fill="D9E7EC"/>
          </w:tcPr>
          <w:p w14:paraId="27255C16" w14:textId="77777777" w:rsidR="00530526" w:rsidRPr="00606CDC" w:rsidRDefault="00530526" w:rsidP="00530526">
            <w:pPr>
              <w:pStyle w:val="TableText"/>
              <w:rPr>
                <w:lang w:val="en-NZ"/>
              </w:rPr>
            </w:pPr>
            <w:r w:rsidRPr="00606CDC">
              <w:rPr>
                <w:lang w:val="en-NZ"/>
              </w:rPr>
              <w:t>All products</w:t>
            </w:r>
          </w:p>
        </w:tc>
      </w:tr>
    </w:tbl>
    <w:p w14:paraId="48C6E133" w14:textId="77777777" w:rsidR="00530526" w:rsidRPr="005035FF" w:rsidRDefault="00530526" w:rsidP="00530526">
      <w:pPr>
        <w:rPr>
          <w:color w:val="000000"/>
        </w:rPr>
      </w:pPr>
      <w:r w:rsidRPr="005035FF">
        <w:rPr>
          <w:color w:val="000000"/>
        </w:rPr>
        <w:t xml:space="preserve">For the GMP Code and its annexes, </w:t>
      </w:r>
      <w:r>
        <w:rPr>
          <w:color w:val="000000"/>
        </w:rPr>
        <w:t>see</w:t>
      </w:r>
      <w:r w:rsidRPr="005035FF">
        <w:rPr>
          <w:color w:val="000000"/>
        </w:rPr>
        <w:t xml:space="preserve"> the </w:t>
      </w:r>
      <w:r w:rsidRPr="00867BB0">
        <w:rPr>
          <w:rFonts w:cs="Arial"/>
        </w:rPr>
        <w:t>regulatory guidelines</w:t>
      </w:r>
      <w:r>
        <w:rPr>
          <w:color w:val="000000"/>
        </w:rPr>
        <w:t xml:space="preserve"> on the </w:t>
      </w:r>
      <w:r w:rsidRPr="005035FF">
        <w:rPr>
          <w:color w:val="000000"/>
        </w:rPr>
        <w:t>Medsafe</w:t>
      </w:r>
      <w:r>
        <w:rPr>
          <w:color w:val="000000"/>
        </w:rPr>
        <w:t xml:space="preserve"> website at: </w:t>
      </w:r>
      <w:hyperlink r:id="rId31" w:history="1">
        <w:r w:rsidRPr="00034554">
          <w:rPr>
            <w:rStyle w:val="Hyperlink"/>
          </w:rPr>
          <w:t>https://medsafe.govt.nz/regulatory/Guideline/code.asp</w:t>
        </w:r>
      </w:hyperlink>
      <w:r>
        <w:rPr>
          <w:color w:val="000000"/>
        </w:rPr>
        <w:t>.</w:t>
      </w:r>
    </w:p>
    <w:p w14:paraId="10BA43B0" w14:textId="77777777" w:rsidR="00530526" w:rsidRPr="005035FF" w:rsidRDefault="00530526" w:rsidP="00530526">
      <w:pPr>
        <w:pStyle w:val="Heading2"/>
      </w:pPr>
      <w:bookmarkStart w:id="31" w:name="_Toc36535169"/>
      <w:bookmarkStart w:id="32" w:name="_Toc166222506"/>
      <w:bookmarkStart w:id="33" w:name="_Toc170709432"/>
      <w:r>
        <w:t>How to f</w:t>
      </w:r>
      <w:r w:rsidRPr="005035FF">
        <w:t>ind out more about the GMP Code</w:t>
      </w:r>
      <w:bookmarkEnd w:id="31"/>
      <w:bookmarkEnd w:id="32"/>
      <w:bookmarkEnd w:id="33"/>
    </w:p>
    <w:p w14:paraId="54C36877" w14:textId="77777777" w:rsidR="00530526" w:rsidRPr="005035FF" w:rsidRDefault="00530526" w:rsidP="00530526">
      <w:pPr>
        <w:spacing w:after="240"/>
      </w:pPr>
      <w:r w:rsidRPr="005035FF">
        <w:t xml:space="preserve">If your organisation is not familiar with the GMP Code, you may wish to seek help from a therapeutic products consultant. For a </w:t>
      </w:r>
      <w:r>
        <w:t xml:space="preserve">self-notified </w:t>
      </w:r>
      <w:r w:rsidRPr="005035FF">
        <w:t xml:space="preserve">list of consultants </w:t>
      </w:r>
      <w:r>
        <w:t xml:space="preserve">refer to the </w:t>
      </w:r>
      <w:r w:rsidRPr="00867BB0">
        <w:rPr>
          <w:rFonts w:cs="Arial"/>
        </w:rPr>
        <w:t>regulatory consultants list</w:t>
      </w:r>
      <w:r>
        <w:t xml:space="preserve"> on the </w:t>
      </w:r>
      <w:r w:rsidRPr="005035FF">
        <w:t>Medsafe</w:t>
      </w:r>
      <w:r>
        <w:t xml:space="preserve"> website at: </w:t>
      </w:r>
      <w:hyperlink r:id="rId32" w:history="1">
        <w:r w:rsidRPr="00034554">
          <w:rPr>
            <w:rStyle w:val="Hyperlink"/>
          </w:rPr>
          <w:t>https://www.medsafe.govt.nz/regulatory/consultants.asp</w:t>
        </w:r>
      </w:hyperlink>
      <w:r>
        <w:t>.</w:t>
      </w:r>
    </w:p>
    <w:p w14:paraId="678B798A" w14:textId="77777777" w:rsidR="00530526" w:rsidRPr="005035FF" w:rsidRDefault="00530526" w:rsidP="00530526">
      <w:pPr>
        <w:pStyle w:val="Box"/>
      </w:pPr>
      <w:r w:rsidRPr="005035FF">
        <w:rPr>
          <w:b/>
        </w:rPr>
        <w:t>Note:</w:t>
      </w:r>
      <w:r w:rsidRPr="005035FF">
        <w:t xml:space="preserve"> Before engaging the services of any particular consultant, you should evaluate whether their services are s</w:t>
      </w:r>
      <w:r>
        <w:t>uitable for your requirements.</w:t>
      </w:r>
    </w:p>
    <w:p w14:paraId="29F4AE86" w14:textId="77777777" w:rsidR="00530526" w:rsidRPr="00530526" w:rsidRDefault="00530526" w:rsidP="00530526"/>
    <w:p w14:paraId="5136310A" w14:textId="4B4D8F0E" w:rsidR="00530526" w:rsidRDefault="00530526" w:rsidP="00530526">
      <w:pPr>
        <w:pStyle w:val="Heading1"/>
      </w:pPr>
      <w:bookmarkStart w:id="34" w:name="_Toc170709433"/>
      <w:r w:rsidRPr="00530526">
        <w:lastRenderedPageBreak/>
        <w:t>When to start implementing the GMP Code in the manufacturing process</w:t>
      </w:r>
      <w:bookmarkEnd w:id="34"/>
    </w:p>
    <w:p w14:paraId="314BF41B" w14:textId="77777777" w:rsidR="00530526" w:rsidRPr="005035FF" w:rsidRDefault="00530526" w:rsidP="00530526">
      <w:r>
        <w:t>The</w:t>
      </w:r>
      <w:r w:rsidRPr="005035FF" w:rsidDel="00D202B0">
        <w:t xml:space="preserve"> </w:t>
      </w:r>
      <w:r w:rsidRPr="005035FF">
        <w:t>step in the manufacturing process</w:t>
      </w:r>
      <w:r>
        <w:t xml:space="preserve"> at which </w:t>
      </w:r>
      <w:r w:rsidRPr="005035FF">
        <w:t xml:space="preserve">you start implementing the GMP Code will vary depending on the dosage form of the medicinal cannabis product and the manufacturing process you are using. You should conduct a comprehensive risk assessment to support your choice of </w:t>
      </w:r>
      <w:r>
        <w:t>starting point.</w:t>
      </w:r>
    </w:p>
    <w:p w14:paraId="49E07305" w14:textId="77777777" w:rsidR="00530526" w:rsidRPr="005035FF" w:rsidRDefault="00530526" w:rsidP="00530526">
      <w:r w:rsidRPr="005035FF">
        <w:t>In the risk assessment, first identify the controls for each manufacturing step that could impact product quality. Then document a comprehensive strategy for controlling risks to product quality. This strategy should outline the rationale behind your cho</w:t>
      </w:r>
      <w:r>
        <w:t xml:space="preserve">sen </w:t>
      </w:r>
      <w:r w:rsidRPr="005035FF">
        <w:t>starting point for implementing the GMP Code.</w:t>
      </w:r>
      <w:r>
        <w:t xml:space="preserve"> </w:t>
      </w:r>
    </w:p>
    <w:p w14:paraId="42A95E08" w14:textId="77777777" w:rsidR="00530526" w:rsidRPr="005035FF" w:rsidRDefault="00530526" w:rsidP="00530526">
      <w:r w:rsidRPr="005035FF">
        <w:t>You should document your risk assessment and have it available for review</w:t>
      </w:r>
      <w:r>
        <w:t>,</w:t>
      </w:r>
      <w:r w:rsidRPr="005035FF">
        <w:t xml:space="preserve"> if requested</w:t>
      </w:r>
      <w:r>
        <w:t>,</w:t>
      </w:r>
      <w:r w:rsidRPr="005035FF">
        <w:t xml:space="preserve"> during the assessment of your application for a </w:t>
      </w:r>
      <w:r>
        <w:t>l</w:t>
      </w:r>
      <w:r w:rsidRPr="005035FF">
        <w:t xml:space="preserve">icence to </w:t>
      </w:r>
      <w:r>
        <w:t>m</w:t>
      </w:r>
      <w:r w:rsidRPr="005035FF">
        <w:t xml:space="preserve">anufacture </w:t>
      </w:r>
      <w:r>
        <w:t>m</w:t>
      </w:r>
      <w:r w:rsidRPr="005035FF">
        <w:t xml:space="preserve">edicines and/or a </w:t>
      </w:r>
      <w:r>
        <w:t>l</w:t>
      </w:r>
      <w:r w:rsidRPr="005035FF">
        <w:t xml:space="preserve">icence to </w:t>
      </w:r>
      <w:r>
        <w:t>p</w:t>
      </w:r>
      <w:r w:rsidRPr="005035FF">
        <w:t xml:space="preserve">ack </w:t>
      </w:r>
      <w:r>
        <w:t>m</w:t>
      </w:r>
      <w:r w:rsidRPr="005035FF">
        <w:t>edicines.</w:t>
      </w:r>
    </w:p>
    <w:p w14:paraId="7689433A" w14:textId="77777777" w:rsidR="00530526" w:rsidRDefault="00530526" w:rsidP="00530526">
      <w:r w:rsidRPr="005035FF">
        <w:t>For guidance on how to complete risk assessments, see Annex 20 of the GMP Code.</w:t>
      </w:r>
    </w:p>
    <w:p w14:paraId="0AE4FE9C" w14:textId="77777777" w:rsidR="00530526" w:rsidRPr="005035FF" w:rsidRDefault="00530526" w:rsidP="00530526">
      <w:r>
        <w:t>The diagram below will help you understand when GMP applies.</w:t>
      </w:r>
      <w:r w:rsidRPr="009F45C1">
        <w:rPr>
          <w:rFonts w:ascii="Segoe UI" w:hAnsi="Segoe UI" w:cs="Segoe UI"/>
          <w:b/>
          <w:bCs/>
          <w:noProof/>
          <w:sz w:val="28"/>
          <w:szCs w:val="28"/>
        </w:rPr>
        <w:drawing>
          <wp:inline distT="0" distB="0" distL="0" distR="0" wp14:anchorId="40F30979" wp14:editId="3B38DE26">
            <wp:extent cx="5579745" cy="3848973"/>
            <wp:effectExtent l="0" t="0" r="1905" b="0"/>
            <wp:docPr id="5" name="Picture 5" descr="Diagram that shows starting material, cannabis-based ingredient, medicinal cannabis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that shows starting material, cannabis-based ingredient, medicinal cannabis product"/>
                    <pic:cNvPicPr/>
                  </pic:nvPicPr>
                  <pic:blipFill>
                    <a:blip r:embed="rId33"/>
                    <a:stretch>
                      <a:fillRect/>
                    </a:stretch>
                  </pic:blipFill>
                  <pic:spPr>
                    <a:xfrm>
                      <a:off x="0" y="0"/>
                      <a:ext cx="5579745" cy="3848973"/>
                    </a:xfrm>
                    <a:prstGeom prst="rect">
                      <a:avLst/>
                    </a:prstGeom>
                  </pic:spPr>
                </pic:pic>
              </a:graphicData>
            </a:graphic>
          </wp:inline>
        </w:drawing>
      </w:r>
    </w:p>
    <w:p w14:paraId="0E0867F0" w14:textId="77777777" w:rsidR="00530526" w:rsidRPr="005035FF" w:rsidRDefault="00530526" w:rsidP="00530526">
      <w:pPr>
        <w:spacing w:after="240"/>
      </w:pPr>
      <w:r w:rsidRPr="005035FF">
        <w:t>The examples below are designed to help you work out your own starting point for applying the GMP Code across various dosage forms.</w:t>
      </w:r>
    </w:p>
    <w:p w14:paraId="73881DAE" w14:textId="77777777" w:rsidR="00530526" w:rsidRPr="005035FF" w:rsidRDefault="00530526" w:rsidP="00F745DE">
      <w:pPr>
        <w:pStyle w:val="Box"/>
        <w:pBdr>
          <w:right w:val="single" w:sz="4" w:space="1" w:color="auto"/>
        </w:pBdr>
      </w:pPr>
      <w:r w:rsidRPr="005035FF">
        <w:rPr>
          <w:b/>
        </w:rPr>
        <w:lastRenderedPageBreak/>
        <w:t>Note</w:t>
      </w:r>
      <w:r w:rsidRPr="005035FF">
        <w:t>: These examples are intended as general guidance only. You should always complete a comprehensive risk assessment for your specific product and manufacturing process to work out your starting point for implementing the GMP Code.</w:t>
      </w:r>
    </w:p>
    <w:p w14:paraId="47E77E97" w14:textId="77777777" w:rsidR="00530526" w:rsidRPr="005035FF" w:rsidRDefault="00530526" w:rsidP="00530526"/>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740"/>
      </w:tblGrid>
      <w:tr w:rsidR="00530526" w:rsidRPr="00CB7638" w14:paraId="1CC8DD7D" w14:textId="77777777" w:rsidTr="00530526">
        <w:trPr>
          <w:cantSplit/>
        </w:trPr>
        <w:tc>
          <w:tcPr>
            <w:tcW w:w="8740" w:type="dxa"/>
            <w:tcBorders>
              <w:top w:val="single" w:sz="4" w:space="0" w:color="076283"/>
              <w:left w:val="single" w:sz="4" w:space="0" w:color="076283"/>
              <w:bottom w:val="single" w:sz="4" w:space="0" w:color="076283"/>
              <w:right w:val="single" w:sz="4" w:space="0" w:color="076283"/>
            </w:tcBorders>
            <w:shd w:val="clear" w:color="auto" w:fill="076283"/>
          </w:tcPr>
          <w:p w14:paraId="16F053BB" w14:textId="77777777" w:rsidR="00530526" w:rsidRPr="00606CDC" w:rsidRDefault="00530526" w:rsidP="00530526">
            <w:pPr>
              <w:pStyle w:val="TableText"/>
              <w:rPr>
                <w:b/>
                <w:color w:val="FFFFFF" w:themeColor="background1"/>
                <w:lang w:val="en-NZ"/>
              </w:rPr>
            </w:pPr>
            <w:r w:rsidRPr="00606CDC">
              <w:rPr>
                <w:b/>
                <w:color w:val="FFFFFF" w:themeColor="background1"/>
                <w:lang w:val="en-NZ"/>
              </w:rPr>
              <w:t>Example 1: Dosage form – cannabis oil formulation</w:t>
            </w:r>
          </w:p>
        </w:tc>
      </w:tr>
      <w:tr w:rsidR="00530526" w:rsidRPr="005035FF" w14:paraId="2270665E" w14:textId="77777777" w:rsidTr="00530526">
        <w:trPr>
          <w:cantSplit/>
        </w:trPr>
        <w:tc>
          <w:tcPr>
            <w:tcW w:w="8740" w:type="dxa"/>
            <w:tcBorders>
              <w:top w:val="single" w:sz="4" w:space="0" w:color="076283"/>
              <w:left w:val="single" w:sz="4" w:space="0" w:color="076283"/>
              <w:bottom w:val="single" w:sz="4" w:space="0" w:color="076283"/>
              <w:right w:val="single" w:sz="4" w:space="0" w:color="076283"/>
            </w:tcBorders>
          </w:tcPr>
          <w:p w14:paraId="60E5D2DC" w14:textId="77777777" w:rsidR="00530526" w:rsidRPr="00606CDC" w:rsidRDefault="00530526" w:rsidP="00530526">
            <w:pPr>
              <w:pStyle w:val="TableText"/>
              <w:spacing w:before="120" w:after="0"/>
              <w:rPr>
                <w:b/>
                <w:lang w:val="en-NZ"/>
              </w:rPr>
            </w:pPr>
            <w:r w:rsidRPr="00606CDC">
              <w:rPr>
                <w:b/>
                <w:lang w:val="en-NZ"/>
              </w:rPr>
              <w:t>Manufacturing steps</w:t>
            </w:r>
          </w:p>
          <w:p w14:paraId="6BD72294" w14:textId="77777777" w:rsidR="00530526" w:rsidRPr="00606CDC" w:rsidRDefault="00530526" w:rsidP="00530526">
            <w:pPr>
              <w:pStyle w:val="TableText"/>
              <w:spacing w:before="0"/>
              <w:rPr>
                <w:lang w:val="en-NZ"/>
              </w:rPr>
            </w:pPr>
            <w:r w:rsidRPr="00606CDC">
              <w:rPr>
                <w:noProof/>
                <w:lang w:eastAsia="en-NZ"/>
              </w:rPr>
              <w:drawing>
                <wp:inline distT="0" distB="0" distL="0" distR="0" wp14:anchorId="2F3485AA" wp14:editId="72593446">
                  <wp:extent cx="5327374" cy="499092"/>
                  <wp:effectExtent l="0" t="0" r="0" b="0"/>
                  <wp:docPr id="17" name="Picture 17" descr="Steps from grow to filling and lab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eps from grow to filling and labelli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2478" cy="519244"/>
                          </a:xfrm>
                          <a:prstGeom prst="rect">
                            <a:avLst/>
                          </a:prstGeom>
                          <a:noFill/>
                          <a:ln>
                            <a:noFill/>
                          </a:ln>
                        </pic:spPr>
                      </pic:pic>
                    </a:graphicData>
                  </a:graphic>
                </wp:inline>
              </w:drawing>
            </w:r>
          </w:p>
          <w:p w14:paraId="37566DBE" w14:textId="77777777" w:rsidR="00530526" w:rsidRPr="00606CDC" w:rsidRDefault="00530526" w:rsidP="00530526">
            <w:pPr>
              <w:pStyle w:val="TableText"/>
              <w:rPr>
                <w:lang w:val="en-NZ"/>
              </w:rPr>
            </w:pPr>
            <w:r w:rsidRPr="00606CDC">
              <w:rPr>
                <w:lang w:val="en-NZ"/>
              </w:rPr>
              <w:t>This manufacturer’s starting point for implementing the GMP Code is at extraction.</w:t>
            </w:r>
          </w:p>
          <w:p w14:paraId="09BCF41C" w14:textId="77777777" w:rsidR="00530526" w:rsidRPr="00606CDC" w:rsidRDefault="00530526" w:rsidP="00530526">
            <w:pPr>
              <w:pStyle w:val="TableText"/>
              <w:rPr>
                <w:lang w:val="en-NZ"/>
              </w:rPr>
            </w:pPr>
            <w:r w:rsidRPr="00606CDC">
              <w:rPr>
                <w:lang w:val="en-NZ"/>
              </w:rPr>
              <w:t>In this example, the rationale for implementing the GMP Code at extraction is based on the importance of this step in separating the desirable cannabinoids from the plant matrix. This step has a direct impact on the finished product quality.</w:t>
            </w:r>
          </w:p>
          <w:p w14:paraId="30ED80BB" w14:textId="77777777" w:rsidR="00530526" w:rsidRPr="00606CDC" w:rsidRDefault="00530526" w:rsidP="00530526">
            <w:pPr>
              <w:pStyle w:val="TableText"/>
              <w:rPr>
                <w:lang w:val="en-NZ"/>
              </w:rPr>
            </w:pPr>
            <w:r w:rsidRPr="00606CDC">
              <w:rPr>
                <w:lang w:val="en-NZ"/>
              </w:rPr>
              <w:t xml:space="preserve">This manufacturer should continue implementing the GMP Code during all the following manufacturing steps to reduce risks that could impact product quality. </w:t>
            </w:r>
            <w:r>
              <w:rPr>
                <w:lang w:val="en-NZ"/>
              </w:rPr>
              <w:t>E</w:t>
            </w:r>
            <w:r w:rsidRPr="00606CDC">
              <w:rPr>
                <w:lang w:val="en-NZ"/>
              </w:rPr>
              <w:t>xample</w:t>
            </w:r>
            <w:r>
              <w:rPr>
                <w:lang w:val="en-NZ"/>
              </w:rPr>
              <w:t>s</w:t>
            </w:r>
            <w:r w:rsidRPr="00606CDC">
              <w:rPr>
                <w:lang w:val="en-NZ"/>
              </w:rPr>
              <w:t xml:space="preserve"> of such risks </w:t>
            </w:r>
            <w:r>
              <w:rPr>
                <w:lang w:val="en-NZ"/>
              </w:rPr>
              <w:t>include the introduction of</w:t>
            </w:r>
            <w:r w:rsidRPr="00606CDC">
              <w:rPr>
                <w:lang w:val="en-NZ"/>
              </w:rPr>
              <w:t xml:space="preserve"> contaminants and </w:t>
            </w:r>
            <w:r>
              <w:rPr>
                <w:lang w:val="en-NZ"/>
              </w:rPr>
              <w:t>excess</w:t>
            </w:r>
            <w:r w:rsidRPr="00606CDC">
              <w:rPr>
                <w:lang w:val="en-NZ"/>
              </w:rPr>
              <w:t xml:space="preserve"> solvents left over from the extraction process.</w:t>
            </w:r>
          </w:p>
        </w:tc>
      </w:tr>
    </w:tbl>
    <w:p w14:paraId="4D13F538" w14:textId="77777777" w:rsidR="00530526" w:rsidRPr="005035FF" w:rsidRDefault="00530526" w:rsidP="00530526">
      <w:pPr>
        <w:rPr>
          <w:rFonts w:cs="Arial"/>
        </w:rPr>
      </w:pPr>
    </w:p>
    <w:tbl>
      <w:tblPr>
        <w:tblStyle w:val="TableGrid"/>
        <w:tblW w:w="0" w:type="auto"/>
        <w:tblInd w:w="108"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Look w:val="04A0" w:firstRow="1" w:lastRow="0" w:firstColumn="1" w:lastColumn="0" w:noHBand="0" w:noVBand="1"/>
      </w:tblPr>
      <w:tblGrid>
        <w:gridCol w:w="8740"/>
      </w:tblGrid>
      <w:tr w:rsidR="00530526" w:rsidRPr="009A27DA" w14:paraId="279F5C50" w14:textId="77777777" w:rsidTr="00530526">
        <w:trPr>
          <w:cantSplit/>
        </w:trPr>
        <w:tc>
          <w:tcPr>
            <w:tcW w:w="8740" w:type="dxa"/>
            <w:shd w:val="clear" w:color="auto" w:fill="076283"/>
          </w:tcPr>
          <w:p w14:paraId="11B353B7" w14:textId="77777777" w:rsidR="00530526" w:rsidRPr="00606CDC" w:rsidRDefault="00530526" w:rsidP="00530526">
            <w:pPr>
              <w:pStyle w:val="TableText"/>
              <w:keepNext/>
              <w:rPr>
                <w:b/>
                <w:color w:val="FFFFFF" w:themeColor="background1"/>
                <w:lang w:val="en-NZ"/>
              </w:rPr>
            </w:pPr>
            <w:r w:rsidRPr="00606CDC">
              <w:rPr>
                <w:b/>
                <w:color w:val="FFFFFF" w:themeColor="background1"/>
                <w:lang w:val="en-NZ"/>
              </w:rPr>
              <w:t>Example 2: Dosage form – milled cannabis in a hard-shell capsule</w:t>
            </w:r>
          </w:p>
        </w:tc>
      </w:tr>
      <w:tr w:rsidR="00530526" w:rsidRPr="005035FF" w14:paraId="0D4B0E29" w14:textId="77777777" w:rsidTr="00530526">
        <w:trPr>
          <w:cantSplit/>
        </w:trPr>
        <w:tc>
          <w:tcPr>
            <w:tcW w:w="8740" w:type="dxa"/>
          </w:tcPr>
          <w:p w14:paraId="27A531D2" w14:textId="77777777" w:rsidR="00530526" w:rsidRPr="00606CDC" w:rsidRDefault="00530526" w:rsidP="00530526">
            <w:pPr>
              <w:pStyle w:val="TableText"/>
              <w:spacing w:before="120" w:after="0"/>
              <w:rPr>
                <w:b/>
                <w:lang w:val="en-NZ"/>
              </w:rPr>
            </w:pPr>
            <w:r w:rsidRPr="00606CDC">
              <w:rPr>
                <w:b/>
                <w:lang w:val="en-NZ"/>
              </w:rPr>
              <w:t>Manufacturing steps</w:t>
            </w:r>
          </w:p>
          <w:p w14:paraId="07750714" w14:textId="77777777" w:rsidR="00530526" w:rsidRPr="00606CDC" w:rsidRDefault="00530526" w:rsidP="00530526">
            <w:pPr>
              <w:pStyle w:val="TableText"/>
              <w:rPr>
                <w:lang w:val="en-NZ"/>
              </w:rPr>
            </w:pPr>
            <w:r w:rsidRPr="00606CDC">
              <w:rPr>
                <w:noProof/>
                <w:lang w:eastAsia="en-NZ"/>
              </w:rPr>
              <w:drawing>
                <wp:inline distT="0" distB="0" distL="0" distR="0" wp14:anchorId="3A92CA76" wp14:editId="1E3BCFB8">
                  <wp:extent cx="4114800" cy="544494"/>
                  <wp:effectExtent l="0" t="0" r="0" b="8255"/>
                  <wp:docPr id="15" name="Picture 15" descr="Steps from grow to packing and lab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eps from grow to packing and labell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3008" cy="544257"/>
                          </a:xfrm>
                          <a:prstGeom prst="rect">
                            <a:avLst/>
                          </a:prstGeom>
                          <a:noFill/>
                          <a:ln>
                            <a:noFill/>
                          </a:ln>
                        </pic:spPr>
                      </pic:pic>
                    </a:graphicData>
                  </a:graphic>
                </wp:inline>
              </w:drawing>
            </w:r>
          </w:p>
          <w:p w14:paraId="2F9D502D" w14:textId="77777777" w:rsidR="00530526" w:rsidRPr="00606CDC" w:rsidRDefault="00530526" w:rsidP="00530526">
            <w:pPr>
              <w:pStyle w:val="TableText"/>
              <w:rPr>
                <w:lang w:val="en-NZ"/>
              </w:rPr>
            </w:pPr>
            <w:r w:rsidRPr="00606CDC">
              <w:rPr>
                <w:lang w:val="en-NZ"/>
              </w:rPr>
              <w:t>This manufacturer’s starting point for implementing the GMP Code is at drying.</w:t>
            </w:r>
          </w:p>
          <w:p w14:paraId="411993E2" w14:textId="77777777" w:rsidR="00530526" w:rsidRPr="00606CDC" w:rsidRDefault="00530526" w:rsidP="00530526">
            <w:pPr>
              <w:pStyle w:val="TableText"/>
              <w:rPr>
                <w:lang w:val="en-NZ"/>
              </w:rPr>
            </w:pPr>
            <w:r w:rsidRPr="00606CDC">
              <w:rPr>
                <w:lang w:val="en-NZ"/>
              </w:rPr>
              <w:t>The rationale for implementing the GMP Code at the drying step is to ensure moisture levels do not have an adverse impact on product quality. GMP should also be implemented during subsequent steps to reduce risks that could impact product quality.</w:t>
            </w:r>
          </w:p>
        </w:tc>
      </w:tr>
    </w:tbl>
    <w:p w14:paraId="08DA1D97" w14:textId="77777777" w:rsidR="00530526" w:rsidRPr="005035FF" w:rsidRDefault="00530526" w:rsidP="00530526"/>
    <w:tbl>
      <w:tblPr>
        <w:tblStyle w:val="TableGrid"/>
        <w:tblW w:w="8660" w:type="dxa"/>
        <w:tblInd w:w="137"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57" w:type="dxa"/>
          <w:right w:w="57" w:type="dxa"/>
        </w:tblCellMar>
        <w:tblLook w:val="04A0" w:firstRow="1" w:lastRow="0" w:firstColumn="1" w:lastColumn="0" w:noHBand="0" w:noVBand="1"/>
      </w:tblPr>
      <w:tblGrid>
        <w:gridCol w:w="8660"/>
      </w:tblGrid>
      <w:tr w:rsidR="00530526" w:rsidRPr="009A27DA" w14:paraId="55FF15CC" w14:textId="77777777" w:rsidTr="00530526">
        <w:trPr>
          <w:cantSplit/>
        </w:trPr>
        <w:tc>
          <w:tcPr>
            <w:tcW w:w="8660" w:type="dxa"/>
            <w:shd w:val="clear" w:color="auto" w:fill="076283"/>
          </w:tcPr>
          <w:p w14:paraId="32ADF0E3" w14:textId="77777777" w:rsidR="00530526" w:rsidRPr="00606CDC" w:rsidRDefault="00530526" w:rsidP="00530526">
            <w:pPr>
              <w:pStyle w:val="TableText"/>
              <w:rPr>
                <w:b/>
                <w:color w:val="FFFFFF" w:themeColor="background1"/>
                <w:lang w:val="en-NZ"/>
              </w:rPr>
            </w:pPr>
            <w:r w:rsidRPr="00606CDC">
              <w:rPr>
                <w:b/>
                <w:color w:val="FFFFFF" w:themeColor="background1"/>
                <w:lang w:val="en-NZ"/>
              </w:rPr>
              <w:t>Example 3: Dosage form – dried cannabis flower</w:t>
            </w:r>
          </w:p>
        </w:tc>
      </w:tr>
      <w:tr w:rsidR="00530526" w:rsidRPr="005035FF" w14:paraId="17F39DDD" w14:textId="77777777" w:rsidTr="00530526">
        <w:trPr>
          <w:cantSplit/>
        </w:trPr>
        <w:tc>
          <w:tcPr>
            <w:tcW w:w="8660" w:type="dxa"/>
          </w:tcPr>
          <w:p w14:paraId="35F40B13" w14:textId="77777777" w:rsidR="00530526" w:rsidRPr="00606CDC" w:rsidRDefault="00530526" w:rsidP="00530526">
            <w:pPr>
              <w:pStyle w:val="TableText"/>
              <w:spacing w:before="120" w:after="0"/>
              <w:rPr>
                <w:b/>
                <w:lang w:val="en-NZ"/>
              </w:rPr>
            </w:pPr>
            <w:r w:rsidRPr="00606CDC">
              <w:rPr>
                <w:b/>
                <w:lang w:val="en-NZ"/>
              </w:rPr>
              <w:t>Manufacturing steps</w:t>
            </w:r>
          </w:p>
          <w:p w14:paraId="6E59BB2E" w14:textId="77777777" w:rsidR="00530526" w:rsidRPr="00606CDC" w:rsidRDefault="00530526" w:rsidP="00530526">
            <w:pPr>
              <w:pStyle w:val="TableText"/>
              <w:rPr>
                <w:lang w:val="en-NZ"/>
              </w:rPr>
            </w:pPr>
            <w:r w:rsidRPr="00606CDC">
              <w:rPr>
                <w:noProof/>
                <w:lang w:eastAsia="en-NZ"/>
              </w:rPr>
              <w:drawing>
                <wp:inline distT="0" distB="0" distL="0" distR="0" wp14:anchorId="0E004861" wp14:editId="07920BE9">
                  <wp:extent cx="2503177" cy="565265"/>
                  <wp:effectExtent l="0" t="0" r="0" b="6350"/>
                  <wp:docPr id="20" name="Picture 20" descr="Steps from grow to packing and lab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teps from grow to packing and labell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03751" cy="565395"/>
                          </a:xfrm>
                          <a:prstGeom prst="rect">
                            <a:avLst/>
                          </a:prstGeom>
                          <a:noFill/>
                          <a:ln>
                            <a:noFill/>
                          </a:ln>
                        </pic:spPr>
                      </pic:pic>
                    </a:graphicData>
                  </a:graphic>
                </wp:inline>
              </w:drawing>
            </w:r>
          </w:p>
          <w:p w14:paraId="036EC767" w14:textId="77777777" w:rsidR="00530526" w:rsidRPr="00606CDC" w:rsidRDefault="00530526" w:rsidP="00530526">
            <w:pPr>
              <w:pStyle w:val="TableText"/>
              <w:rPr>
                <w:lang w:val="en-NZ"/>
              </w:rPr>
            </w:pPr>
            <w:r w:rsidRPr="00606CDC">
              <w:rPr>
                <w:lang w:val="en-NZ"/>
              </w:rPr>
              <w:t>This manufacturer’s starting point for implementing the GMP Code is at drying.</w:t>
            </w:r>
          </w:p>
          <w:p w14:paraId="4BE47F47" w14:textId="77777777" w:rsidR="00530526" w:rsidRPr="00606CDC" w:rsidRDefault="00530526" w:rsidP="00530526">
            <w:pPr>
              <w:pStyle w:val="TableText"/>
              <w:rPr>
                <w:lang w:val="en-NZ"/>
              </w:rPr>
            </w:pPr>
            <w:r w:rsidRPr="00606CDC">
              <w:rPr>
                <w:lang w:val="en-NZ"/>
              </w:rPr>
              <w:t>The rationale for implementing the GMP Code at the drying step is to ensure moisture levels are controlled to prevent mould proliferation. GMP should also be implemented during the subsequent step to reduce risks that could impact product quality.</w:t>
            </w:r>
          </w:p>
        </w:tc>
      </w:tr>
    </w:tbl>
    <w:p w14:paraId="6E84F40D" w14:textId="77777777" w:rsidR="00530526" w:rsidRDefault="00530526" w:rsidP="00530526">
      <w:pPr>
        <w:rPr>
          <w:rFonts w:cs="Arial"/>
        </w:rPr>
        <w:sectPr w:rsidR="00530526" w:rsidSect="00F745DE">
          <w:pgSz w:w="11907" w:h="16834" w:code="9"/>
          <w:pgMar w:top="1418" w:right="1418" w:bottom="1418" w:left="1418" w:header="284" w:footer="425" w:gutter="0"/>
          <w:cols w:space="720"/>
          <w:docGrid w:linePitch="286"/>
        </w:sectPr>
      </w:pPr>
    </w:p>
    <w:tbl>
      <w:tblPr>
        <w:tblStyle w:val="TableGrid"/>
        <w:tblW w:w="8660" w:type="dxa"/>
        <w:tblInd w:w="137" w:type="dxa"/>
        <w:tblBorders>
          <w:top w:val="single" w:sz="4" w:space="0" w:color="076283"/>
          <w:left w:val="single" w:sz="4" w:space="0" w:color="076283"/>
          <w:bottom w:val="single" w:sz="4" w:space="0" w:color="076283"/>
          <w:right w:val="single" w:sz="4" w:space="0" w:color="076283"/>
          <w:insideH w:val="single" w:sz="4" w:space="0" w:color="076283"/>
          <w:insideV w:val="single" w:sz="4" w:space="0" w:color="076283"/>
        </w:tblBorders>
        <w:tblLayout w:type="fixed"/>
        <w:tblCellMar>
          <w:left w:w="57" w:type="dxa"/>
          <w:right w:w="57" w:type="dxa"/>
        </w:tblCellMar>
        <w:tblLook w:val="04A0" w:firstRow="1" w:lastRow="0" w:firstColumn="1" w:lastColumn="0" w:noHBand="0" w:noVBand="1"/>
      </w:tblPr>
      <w:tblGrid>
        <w:gridCol w:w="8660"/>
      </w:tblGrid>
      <w:tr w:rsidR="00530526" w:rsidRPr="009A27DA" w14:paraId="374B925A" w14:textId="77777777" w:rsidTr="00530526">
        <w:trPr>
          <w:cantSplit/>
        </w:trPr>
        <w:tc>
          <w:tcPr>
            <w:tcW w:w="8660" w:type="dxa"/>
            <w:shd w:val="clear" w:color="auto" w:fill="076283"/>
          </w:tcPr>
          <w:p w14:paraId="4D32F771" w14:textId="77777777" w:rsidR="00530526" w:rsidRPr="00606CDC" w:rsidRDefault="00530526" w:rsidP="00530526">
            <w:pPr>
              <w:pStyle w:val="TableText"/>
              <w:rPr>
                <w:b/>
                <w:color w:val="FFFFFF" w:themeColor="background1"/>
                <w:lang w:val="en-NZ"/>
              </w:rPr>
            </w:pPr>
            <w:bookmarkStart w:id="35" w:name="2.2.__Label_content_requirements_for_med"/>
            <w:bookmarkStart w:id="36" w:name="_bookmark0"/>
            <w:bookmarkStart w:id="37" w:name="Section_3:__Obtaining_approval_for_new_a"/>
            <w:bookmarkStart w:id="38" w:name="3.1._When_is_approval_required_for_a_lab"/>
            <w:bookmarkStart w:id="39" w:name="Section_4:__Best_practice_guidance_on_la"/>
            <w:bookmarkStart w:id="40" w:name="_bookmark9"/>
            <w:bookmarkStart w:id="41" w:name="_Section_3:What_needs"/>
            <w:bookmarkEnd w:id="35"/>
            <w:bookmarkEnd w:id="36"/>
            <w:bookmarkEnd w:id="37"/>
            <w:bookmarkEnd w:id="38"/>
            <w:bookmarkEnd w:id="39"/>
            <w:bookmarkEnd w:id="40"/>
            <w:bookmarkEnd w:id="41"/>
            <w:r w:rsidRPr="00606CDC">
              <w:rPr>
                <w:b/>
                <w:color w:val="FFFFFF" w:themeColor="background1"/>
                <w:lang w:val="en-NZ"/>
              </w:rPr>
              <w:lastRenderedPageBreak/>
              <w:t xml:space="preserve">Example </w:t>
            </w:r>
            <w:r>
              <w:rPr>
                <w:b/>
                <w:color w:val="FFFFFF" w:themeColor="background1"/>
                <w:lang w:val="en-NZ"/>
              </w:rPr>
              <w:t>4</w:t>
            </w:r>
            <w:r w:rsidRPr="00606CDC">
              <w:rPr>
                <w:b/>
                <w:color w:val="FFFFFF" w:themeColor="background1"/>
                <w:lang w:val="en-NZ"/>
              </w:rPr>
              <w:t xml:space="preserve">: Dosage form – </w:t>
            </w:r>
            <w:r>
              <w:rPr>
                <w:b/>
                <w:color w:val="FFFFFF" w:themeColor="background1"/>
                <w:lang w:val="en-NZ"/>
              </w:rPr>
              <w:t>cannabis isolate oil formulation from initial extract</w:t>
            </w:r>
          </w:p>
        </w:tc>
      </w:tr>
      <w:tr w:rsidR="00530526" w:rsidRPr="005035FF" w14:paraId="2133CFE6" w14:textId="77777777" w:rsidTr="00530526">
        <w:trPr>
          <w:cantSplit/>
        </w:trPr>
        <w:tc>
          <w:tcPr>
            <w:tcW w:w="8660" w:type="dxa"/>
          </w:tcPr>
          <w:p w14:paraId="693A5A8A" w14:textId="77777777" w:rsidR="00530526" w:rsidRPr="00606CDC" w:rsidRDefault="00530526" w:rsidP="00530526">
            <w:pPr>
              <w:pStyle w:val="TableText"/>
              <w:spacing w:before="120" w:after="0"/>
              <w:rPr>
                <w:b/>
                <w:lang w:val="en-NZ"/>
              </w:rPr>
            </w:pPr>
            <w:r w:rsidRPr="00606CDC">
              <w:rPr>
                <w:b/>
                <w:lang w:val="en-NZ"/>
              </w:rPr>
              <w:t>Manufacturing steps</w:t>
            </w:r>
          </w:p>
          <w:p w14:paraId="7EB043C9" w14:textId="77777777" w:rsidR="00530526" w:rsidRPr="00606CDC" w:rsidRDefault="00530526" w:rsidP="00530526">
            <w:pPr>
              <w:pStyle w:val="TableText"/>
              <w:rPr>
                <w:lang w:val="en-NZ"/>
              </w:rPr>
            </w:pPr>
            <w:r w:rsidRPr="00791CDE">
              <w:rPr>
                <w:noProof/>
              </w:rPr>
              <w:drawing>
                <wp:inline distT="0" distB="0" distL="0" distR="0" wp14:anchorId="6C947849" wp14:editId="661D9240">
                  <wp:extent cx="5410200" cy="561341"/>
                  <wp:effectExtent l="0" t="0" r="0" b="0"/>
                  <wp:docPr id="29" name="Picture 29" descr="Steps from grow to filling and lab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eps from grow to filling and labelling"/>
                          <pic:cNvPicPr/>
                        </pic:nvPicPr>
                        <pic:blipFill>
                          <a:blip r:embed="rId37"/>
                          <a:stretch>
                            <a:fillRect/>
                          </a:stretch>
                        </pic:blipFill>
                        <pic:spPr>
                          <a:xfrm>
                            <a:off x="0" y="0"/>
                            <a:ext cx="5419771" cy="562334"/>
                          </a:xfrm>
                          <a:prstGeom prst="rect">
                            <a:avLst/>
                          </a:prstGeom>
                        </pic:spPr>
                      </pic:pic>
                    </a:graphicData>
                  </a:graphic>
                </wp:inline>
              </w:drawing>
            </w:r>
          </w:p>
          <w:p w14:paraId="4B256630" w14:textId="77777777" w:rsidR="00530526" w:rsidRPr="00606CDC" w:rsidRDefault="00530526" w:rsidP="00530526">
            <w:pPr>
              <w:pStyle w:val="TableText"/>
              <w:rPr>
                <w:lang w:val="en-NZ"/>
              </w:rPr>
            </w:pPr>
            <w:r w:rsidRPr="00606CDC">
              <w:rPr>
                <w:lang w:val="en-NZ"/>
              </w:rPr>
              <w:t>This manufacturer’s starting point for implementing the GMP Code is at</w:t>
            </w:r>
            <w:r>
              <w:rPr>
                <w:lang w:val="en-NZ"/>
              </w:rPr>
              <w:t xml:space="preserve"> the final extraction</w:t>
            </w:r>
            <w:r w:rsidRPr="00606CDC">
              <w:rPr>
                <w:lang w:val="en-NZ"/>
              </w:rPr>
              <w:t>.</w:t>
            </w:r>
          </w:p>
          <w:p w14:paraId="74CE1620" w14:textId="77777777" w:rsidR="00530526" w:rsidRPr="00606CDC" w:rsidRDefault="00530526" w:rsidP="00530526">
            <w:pPr>
              <w:pStyle w:val="TableText"/>
              <w:rPr>
                <w:lang w:val="en-NZ"/>
              </w:rPr>
            </w:pPr>
            <w:r w:rsidRPr="00606CDC">
              <w:rPr>
                <w:lang w:val="en-NZ"/>
              </w:rPr>
              <w:t xml:space="preserve">The rationale for </w:t>
            </w:r>
            <w:r>
              <w:rPr>
                <w:lang w:val="en-NZ"/>
              </w:rPr>
              <w:t>beginning implementation of</w:t>
            </w:r>
            <w:r w:rsidRPr="00606CDC">
              <w:rPr>
                <w:lang w:val="en-NZ"/>
              </w:rPr>
              <w:t xml:space="preserve"> the GMP Code at the </w:t>
            </w:r>
            <w:r>
              <w:rPr>
                <w:lang w:val="en-NZ"/>
              </w:rPr>
              <w:t xml:space="preserve">final extraction is because further extraction and purification steps will occur. Therefore, the initial extract starting material will not impact the quality of the finished product. </w:t>
            </w:r>
          </w:p>
        </w:tc>
      </w:tr>
    </w:tbl>
    <w:p w14:paraId="5BBB7136" w14:textId="77777777" w:rsidR="00530526" w:rsidRDefault="00530526" w:rsidP="00530526">
      <w:pPr>
        <w:tabs>
          <w:tab w:val="left" w:pos="5250"/>
        </w:tabs>
      </w:pPr>
      <w:r>
        <w:tab/>
      </w:r>
    </w:p>
    <w:p w14:paraId="7975D85C" w14:textId="77777777" w:rsidR="00530526" w:rsidRPr="00530526" w:rsidRDefault="00530526" w:rsidP="00530526"/>
    <w:p w14:paraId="030120FF" w14:textId="5AEB6045" w:rsidR="00530526" w:rsidRDefault="00530526" w:rsidP="00530526">
      <w:pPr>
        <w:pStyle w:val="Heading1"/>
      </w:pPr>
      <w:bookmarkStart w:id="42" w:name="_Toc170709434"/>
      <w:r w:rsidRPr="00530526">
        <w:lastRenderedPageBreak/>
        <w:t>How to prepare for an audit against the GMP Code</w:t>
      </w:r>
      <w:bookmarkEnd w:id="42"/>
    </w:p>
    <w:p w14:paraId="76DCAA6C" w14:textId="77777777" w:rsidR="00530526" w:rsidRPr="005035FF" w:rsidRDefault="00530526" w:rsidP="00530526">
      <w:r w:rsidRPr="005035FF">
        <w:t xml:space="preserve">This section provides general guidance to help you prepare for an audit against the GMP Code. The audit is part of the assessment for a </w:t>
      </w:r>
      <w:r>
        <w:t>l</w:t>
      </w:r>
      <w:r w:rsidRPr="005035FF">
        <w:t xml:space="preserve">icence to </w:t>
      </w:r>
      <w:r>
        <w:t>m</w:t>
      </w:r>
      <w:r w:rsidRPr="005035FF">
        <w:t xml:space="preserve">anufacture </w:t>
      </w:r>
      <w:r>
        <w:t>m</w:t>
      </w:r>
      <w:r w:rsidRPr="005035FF">
        <w:t xml:space="preserve">edicines or a </w:t>
      </w:r>
      <w:r>
        <w:t>l</w:t>
      </w:r>
      <w:r w:rsidRPr="005035FF">
        <w:t xml:space="preserve">icence to </w:t>
      </w:r>
      <w:r>
        <w:t>p</w:t>
      </w:r>
      <w:r w:rsidRPr="005035FF">
        <w:t xml:space="preserve">ack </w:t>
      </w:r>
      <w:r>
        <w:t>m</w:t>
      </w:r>
      <w:r w:rsidRPr="005035FF">
        <w:t>edicines under the Medicines Act 1981.</w:t>
      </w:r>
    </w:p>
    <w:p w14:paraId="0A82F509" w14:textId="77777777" w:rsidR="00530526" w:rsidRPr="005035FF" w:rsidRDefault="00530526" w:rsidP="00530526">
      <w:r w:rsidRPr="005035FF">
        <w:t xml:space="preserve">Please note that even if you implement the systems described in this section, it may not be enough in all cases to achieve full compliance with the GMP Code. You should develop a good understanding of all aspects of the GMP Code </w:t>
      </w:r>
      <w:r w:rsidRPr="00DF47EC">
        <w:rPr>
          <w:b/>
        </w:rPr>
        <w:t>before</w:t>
      </w:r>
      <w:r>
        <w:t xml:space="preserve"> you apply for a licence.  </w:t>
      </w:r>
    </w:p>
    <w:p w14:paraId="5CFF213A" w14:textId="77777777" w:rsidR="00530526" w:rsidRPr="005035FF" w:rsidRDefault="00530526" w:rsidP="00530526">
      <w:pPr>
        <w:pStyle w:val="Heading2"/>
      </w:pPr>
      <w:bookmarkStart w:id="43" w:name="_Toc36535172"/>
      <w:bookmarkStart w:id="44" w:name="_Toc166222509"/>
      <w:bookmarkStart w:id="45" w:name="_Toc170709435"/>
      <w:r w:rsidRPr="005035FF">
        <w:t>Quality management system</w:t>
      </w:r>
      <w:bookmarkEnd w:id="43"/>
      <w:bookmarkEnd w:id="44"/>
      <w:bookmarkEnd w:id="45"/>
    </w:p>
    <w:p w14:paraId="42AA886F" w14:textId="77777777" w:rsidR="00530526" w:rsidRPr="005035FF" w:rsidRDefault="00530526" w:rsidP="00530526">
      <w:r w:rsidRPr="005035FF">
        <w:t>Design and implement a quality management system (QMS) to cover all activities involved in manufacturing and packi</w:t>
      </w:r>
      <w:r>
        <w:t>ng medicinal cannabis products.</w:t>
      </w:r>
    </w:p>
    <w:p w14:paraId="2340E66A" w14:textId="77777777" w:rsidR="00530526" w:rsidRPr="005035FF" w:rsidRDefault="00530526" w:rsidP="00530526">
      <w:r w:rsidRPr="005035FF">
        <w:t>The QMS will include a documentation system in which processes are clearly defined using standard operating procedures, specifications</w:t>
      </w:r>
      <w:r>
        <w:t>,</w:t>
      </w:r>
      <w:r w:rsidRPr="005035FF">
        <w:t xml:space="preserve"> and batch records.</w:t>
      </w:r>
    </w:p>
    <w:p w14:paraId="0BD42D0E" w14:textId="77777777" w:rsidR="00530526" w:rsidRPr="005035FF" w:rsidRDefault="00530526" w:rsidP="00530526">
      <w:r w:rsidRPr="005035FF">
        <w:t>A robust change control system is one of the key components of any QMS. This will ensure that manufacturers assess all process changes for their impact on product quality before implementation, apply appropriate controls and identify any requirements for requalification and revalidation.</w:t>
      </w:r>
    </w:p>
    <w:p w14:paraId="65D11C91" w14:textId="77777777" w:rsidR="00530526" w:rsidRPr="005035FF" w:rsidRDefault="00530526" w:rsidP="00530526">
      <w:r w:rsidRPr="005035FF">
        <w:t>Changes that have the potential to affect product quality may include, for example, changes to starting material, packaging materials, equipment, manufacturing processes, test methods, batch size, facilities</w:t>
      </w:r>
      <w:r>
        <w:t>, and key personnel</w:t>
      </w:r>
      <w:r w:rsidRPr="005035FF">
        <w:t>.</w:t>
      </w:r>
    </w:p>
    <w:p w14:paraId="2241E681" w14:textId="77777777" w:rsidR="00530526" w:rsidRPr="005035FF" w:rsidRDefault="00530526" w:rsidP="00530526">
      <w:r w:rsidRPr="005035FF">
        <w:t xml:space="preserve">For more information about QMS systems, see Part </w:t>
      </w:r>
      <w:r>
        <w:t>I</w:t>
      </w:r>
      <w:r w:rsidRPr="005035FF">
        <w:t xml:space="preserve"> of the GMP Code.</w:t>
      </w:r>
    </w:p>
    <w:p w14:paraId="5534B80E" w14:textId="77777777" w:rsidR="00530526" w:rsidRPr="005035FF" w:rsidRDefault="00530526" w:rsidP="00530526">
      <w:pPr>
        <w:pStyle w:val="Heading2"/>
      </w:pPr>
      <w:bookmarkStart w:id="46" w:name="_Toc36535173"/>
      <w:bookmarkStart w:id="47" w:name="_Toc166222510"/>
      <w:bookmarkStart w:id="48" w:name="_Toc170709436"/>
      <w:r w:rsidRPr="005035FF">
        <w:t>Premises and equipment</w:t>
      </w:r>
      <w:bookmarkEnd w:id="46"/>
      <w:bookmarkEnd w:id="47"/>
      <w:bookmarkEnd w:id="48"/>
    </w:p>
    <w:p w14:paraId="6285DF14" w14:textId="77777777" w:rsidR="00530526" w:rsidRPr="005035FF" w:rsidRDefault="00530526" w:rsidP="00530526">
      <w:pPr>
        <w:keepNext/>
      </w:pPr>
      <w:r w:rsidRPr="005035FF">
        <w:t>The GMP audit will assess all facilities and equipment you use to manufacture, store</w:t>
      </w:r>
      <w:r>
        <w:t>,</w:t>
      </w:r>
      <w:r w:rsidRPr="005035FF">
        <w:t xml:space="preserve"> and test medicinal cannabis products. Before the audit begins, you should set up all facilities and equipment so that they are ready to use.</w:t>
      </w:r>
    </w:p>
    <w:p w14:paraId="44CBF4FB" w14:textId="77777777" w:rsidR="00530526" w:rsidRPr="005035FF" w:rsidRDefault="00530526" w:rsidP="00530526">
      <w:pPr>
        <w:keepNext/>
      </w:pPr>
      <w:r w:rsidRPr="005035FF">
        <w:t>You should also have completed the qualification of equipment and facilities and documented it before the audit, in line with Annex 15 of the GMP Code (</w:t>
      </w:r>
      <w:r>
        <w:t>q</w:t>
      </w:r>
      <w:r w:rsidRPr="005035FF">
        <w:t>ualification and validation). Your qualification documents and any supporting data should be available for review.</w:t>
      </w:r>
    </w:p>
    <w:p w14:paraId="5F821E8B" w14:textId="77777777" w:rsidR="00530526" w:rsidRPr="005035FF" w:rsidRDefault="00530526" w:rsidP="00530526">
      <w:r w:rsidRPr="005035FF">
        <w:t>You should have established cleaning, calibration</w:t>
      </w:r>
      <w:r>
        <w:t>,</w:t>
      </w:r>
      <w:r w:rsidRPr="005035FF">
        <w:t xml:space="preserve"> and preventative maintenance programmes, with procedures and records available for review at the audit.</w:t>
      </w:r>
    </w:p>
    <w:p w14:paraId="1DDAA0C7" w14:textId="77777777" w:rsidR="00530526" w:rsidRPr="005035FF" w:rsidRDefault="00530526" w:rsidP="00530526">
      <w:r w:rsidRPr="005035FF">
        <w:t>You must also have a separate audit to assess security for facilities where you intend to manufacture medicinal cannabis products. For information on security requirements and the security site inspection, see</w:t>
      </w:r>
      <w:r>
        <w:t xml:space="preserve"> </w:t>
      </w:r>
      <w:r w:rsidRPr="004F10F5">
        <w:t>security of cannabis</w:t>
      </w:r>
      <w:r>
        <w:t xml:space="preserve"> on the</w:t>
      </w:r>
      <w:r w:rsidRPr="005035FF">
        <w:t xml:space="preserve"> </w:t>
      </w:r>
      <w:r w:rsidRPr="00FF63A6">
        <w:t>Medicinal Cannabis Agency</w:t>
      </w:r>
      <w:r>
        <w:t>’</w:t>
      </w:r>
      <w:r w:rsidRPr="00FF63A6">
        <w:t>s website</w:t>
      </w:r>
      <w:r>
        <w:t xml:space="preserve"> at: </w:t>
      </w:r>
      <w:hyperlink r:id="rId38" w:history="1">
        <w:r w:rsidRPr="00294CE2">
          <w:rPr>
            <w:rStyle w:val="Hyperlink"/>
          </w:rPr>
          <w:t>https://www.health.govt.nz/our-work/regulation-health-and-disability-system/medicinal-cannabis-agency/medicinal-cannabis-agency-information-industry/medicinal-cannabis-agency-working-medicinal-cannabis/medicinal-cannabis-agency-security-cannabis</w:t>
        </w:r>
      </w:hyperlink>
      <w:r w:rsidRPr="00FF63A6">
        <w:t>.</w:t>
      </w:r>
    </w:p>
    <w:p w14:paraId="6756A372" w14:textId="77777777" w:rsidR="00530526" w:rsidRPr="005035FF" w:rsidRDefault="00530526" w:rsidP="00530526">
      <w:pPr>
        <w:pStyle w:val="Heading2"/>
      </w:pPr>
      <w:bookmarkStart w:id="49" w:name="_Toc36535174"/>
      <w:bookmarkStart w:id="50" w:name="_Toc166222511"/>
      <w:bookmarkStart w:id="51" w:name="_Toc170709437"/>
      <w:r w:rsidRPr="005035FF">
        <w:t>Product development must be complete</w:t>
      </w:r>
      <w:bookmarkEnd w:id="49"/>
      <w:bookmarkEnd w:id="50"/>
      <w:bookmarkEnd w:id="51"/>
    </w:p>
    <w:p w14:paraId="01C92C40" w14:textId="77777777" w:rsidR="00530526" w:rsidRPr="005035FF" w:rsidRDefault="00530526" w:rsidP="00530526">
      <w:r w:rsidRPr="005035FF">
        <w:t>By the time of the audit, you should have developed your medicinal cannabis product to a point where you have:</w:t>
      </w:r>
    </w:p>
    <w:p w14:paraId="1DB352F1" w14:textId="77777777" w:rsidR="00530526" w:rsidRPr="005035FF" w:rsidRDefault="00530526" w:rsidP="00530526">
      <w:pPr>
        <w:pStyle w:val="Bullet"/>
      </w:pPr>
      <w:r w:rsidRPr="005035FF">
        <w:t>defined a manufacturing batch</w:t>
      </w:r>
    </w:p>
    <w:p w14:paraId="0381AA2B" w14:textId="77777777" w:rsidR="00530526" w:rsidRPr="005035FF" w:rsidRDefault="00530526" w:rsidP="00530526">
      <w:pPr>
        <w:pStyle w:val="Bullet"/>
      </w:pPr>
      <w:r w:rsidRPr="005035FF">
        <w:t>developed specifications for the raw materials, finished product</w:t>
      </w:r>
      <w:r>
        <w:t>,</w:t>
      </w:r>
      <w:r w:rsidRPr="005035FF">
        <w:t xml:space="preserve"> and primary packaging components</w:t>
      </w:r>
    </w:p>
    <w:p w14:paraId="2069EA19" w14:textId="77777777" w:rsidR="00530526" w:rsidRPr="005035FF" w:rsidRDefault="00530526" w:rsidP="00530526">
      <w:pPr>
        <w:pStyle w:val="Bullet"/>
      </w:pPr>
      <w:r w:rsidRPr="005035FF">
        <w:t>established the manufacturing process and written standard operating procedures</w:t>
      </w:r>
    </w:p>
    <w:p w14:paraId="1A467695" w14:textId="77777777" w:rsidR="00530526" w:rsidRPr="005035FF" w:rsidRDefault="00530526" w:rsidP="00530526">
      <w:pPr>
        <w:pStyle w:val="Bullet"/>
      </w:pPr>
      <w:r w:rsidRPr="005035FF">
        <w:t>established the control points and critical parameters for the process</w:t>
      </w:r>
    </w:p>
    <w:p w14:paraId="1C400022" w14:textId="77777777" w:rsidR="00530526" w:rsidRPr="005035FF" w:rsidRDefault="00530526" w:rsidP="00530526">
      <w:pPr>
        <w:pStyle w:val="Bullet"/>
      </w:pPr>
      <w:r w:rsidRPr="005035FF">
        <w:t>finalised batch manufacturing and packing records.</w:t>
      </w:r>
    </w:p>
    <w:p w14:paraId="5E51CF33" w14:textId="77777777" w:rsidR="00530526" w:rsidRPr="005035FF" w:rsidRDefault="00530526" w:rsidP="00530526">
      <w:pPr>
        <w:pStyle w:val="Heading2"/>
      </w:pPr>
      <w:bookmarkStart w:id="52" w:name="_Toc36535175"/>
      <w:bookmarkStart w:id="53" w:name="_Toc166222512"/>
      <w:bookmarkStart w:id="54" w:name="_Toc170709438"/>
      <w:r w:rsidRPr="005035FF">
        <w:t>Process validation</w:t>
      </w:r>
      <w:bookmarkEnd w:id="52"/>
      <w:bookmarkEnd w:id="53"/>
      <w:bookmarkEnd w:id="54"/>
    </w:p>
    <w:p w14:paraId="0386AFDF" w14:textId="77777777" w:rsidR="00530526" w:rsidRPr="005035FF" w:rsidRDefault="00530526" w:rsidP="00530526">
      <w:pPr>
        <w:keepNext/>
      </w:pPr>
      <w:r w:rsidRPr="005035FF">
        <w:t xml:space="preserve">Process validation ensures all manufacturing processes for a medicinal cannabis product meet the predefined acceptance criteria. </w:t>
      </w:r>
      <w:r>
        <w:t>Ideally y</w:t>
      </w:r>
      <w:r w:rsidRPr="005035FF">
        <w:t>ou should have completed all process validations before the audit against the GMP Code and have the associated documents and supporting data available for review.</w:t>
      </w:r>
    </w:p>
    <w:p w14:paraId="6115B768" w14:textId="77777777" w:rsidR="00530526" w:rsidRPr="005035FF" w:rsidRDefault="00530526" w:rsidP="00530526">
      <w:pPr>
        <w:keepNext/>
      </w:pPr>
      <w:r w:rsidRPr="005035FF">
        <w:t>Process validation is different to the trials and testing completed during product development. By the time you are ready to carry out process validation, you should not need to make any</w:t>
      </w:r>
      <w:r>
        <w:t xml:space="preserve"> changes or adjustments.</w:t>
      </w:r>
    </w:p>
    <w:p w14:paraId="1929EFDE" w14:textId="77777777" w:rsidR="00530526" w:rsidRPr="005035FF" w:rsidRDefault="00530526" w:rsidP="00530526">
      <w:pPr>
        <w:spacing w:after="240"/>
      </w:pPr>
      <w:r w:rsidRPr="005035FF">
        <w:t>For guidance on process validation, see Annex 15 of the GMP Code</w:t>
      </w:r>
      <w:r w:rsidRPr="005035FF">
        <w:rPr>
          <w:i/>
        </w:rPr>
        <w:t xml:space="preserve"> </w:t>
      </w:r>
      <w:r w:rsidRPr="005035FF">
        <w:t>(Qualification and validation).</w:t>
      </w:r>
      <w:r>
        <w:t xml:space="preserve"> </w:t>
      </w:r>
    </w:p>
    <w:p w14:paraId="78E3DE61" w14:textId="77777777" w:rsidR="00530526" w:rsidRDefault="00530526" w:rsidP="00530526">
      <w:pPr>
        <w:pStyle w:val="Box"/>
        <w:pBdr>
          <w:bottom w:val="single" w:sz="4" w:space="0" w:color="auto"/>
        </w:pBdr>
      </w:pPr>
      <w:r w:rsidRPr="005035FF">
        <w:rPr>
          <w:b/>
        </w:rPr>
        <w:t>Note:</w:t>
      </w:r>
      <w:r w:rsidRPr="005035FF">
        <w:t xml:space="preserve"> </w:t>
      </w:r>
      <w:r>
        <w:t>Where you have manufactured a medicinal cannabis product before Medsafe has issued your licence to manufacture medicine, you can only use that product for laboratory testing and not for patient use. Concurrent process validation may be acceptable when a GMP audit has already confirmed a site is operating in accordance with the GMP Code. A product manufactured to support concurrent validation may subsequently be distributed following successful completion of the validation studies. Conditions would be placed on a licence to manufacture medicines to this effect.</w:t>
      </w:r>
      <w:r>
        <w:br/>
      </w:r>
    </w:p>
    <w:p w14:paraId="58D71B0F" w14:textId="77777777" w:rsidR="00530526" w:rsidRDefault="00530526" w:rsidP="00530526">
      <w:r w:rsidRPr="005035FF">
        <w:t>If you make any process or equipment changes after validation, you should control, assess</w:t>
      </w:r>
      <w:r>
        <w:t>,</w:t>
      </w:r>
      <w:r w:rsidRPr="005035FF">
        <w:t xml:space="preserve"> and document them using the change control process in the QMS. The impact of the change on the process validation should be included in the assessment and re-validation might be required.</w:t>
      </w:r>
    </w:p>
    <w:p w14:paraId="4F35F6F9" w14:textId="77777777" w:rsidR="00530526" w:rsidRPr="00805141" w:rsidRDefault="00530526" w:rsidP="00530526">
      <w:pPr>
        <w:spacing w:before="0" w:line="240" w:lineRule="auto"/>
        <w:rPr>
          <w:rFonts w:ascii="Arial" w:hAnsi="Arial" w:cs="Arial"/>
          <w:szCs w:val="22"/>
          <w:lang w:eastAsia="en-NZ"/>
        </w:rPr>
      </w:pPr>
    </w:p>
    <w:p w14:paraId="64509734" w14:textId="77777777" w:rsidR="00530526" w:rsidRDefault="00530526" w:rsidP="00530526"/>
    <w:p w14:paraId="02C5A38D" w14:textId="77777777" w:rsidR="00530526" w:rsidRPr="005035FF" w:rsidRDefault="00530526" w:rsidP="00530526">
      <w:pPr>
        <w:pStyle w:val="Heading2"/>
      </w:pPr>
      <w:bookmarkStart w:id="55" w:name="_Toc36535176"/>
      <w:bookmarkStart w:id="56" w:name="_Toc166222513"/>
      <w:bookmarkStart w:id="57" w:name="_Toc170709439"/>
      <w:r w:rsidRPr="005035FF">
        <w:lastRenderedPageBreak/>
        <w:t>Site master file</w:t>
      </w:r>
      <w:bookmarkEnd w:id="55"/>
      <w:bookmarkEnd w:id="56"/>
      <w:bookmarkEnd w:id="57"/>
    </w:p>
    <w:p w14:paraId="731FFCC9" w14:textId="77777777" w:rsidR="00530526" w:rsidRPr="005035FF" w:rsidRDefault="00530526" w:rsidP="00530526">
      <w:r w:rsidRPr="005035FF">
        <w:t xml:space="preserve">A site master file (SMF) is a document that provides clear and specific information about the manufacturing operations carried out at a given site. </w:t>
      </w:r>
      <w:r>
        <w:t>A SMF</w:t>
      </w:r>
      <w:r w:rsidRPr="005035FF">
        <w:t xml:space="preserve"> help</w:t>
      </w:r>
      <w:r>
        <w:t>s</w:t>
      </w:r>
      <w:r w:rsidRPr="005035FF">
        <w:t xml:space="preserve"> you to prepare for the application audit and is a useful tool for you to use to check you have considered all aspects of the GMP </w:t>
      </w:r>
      <w:r>
        <w:t>Code when establishing the QMS.</w:t>
      </w:r>
    </w:p>
    <w:p w14:paraId="2D319D70" w14:textId="77777777" w:rsidR="00530526" w:rsidRDefault="00530526" w:rsidP="00530526">
      <w:r w:rsidRPr="005035FF">
        <w:rPr>
          <w:rFonts w:cs="Arial"/>
        </w:rPr>
        <w:t>For guidance on the information to include in an SMF, go to the</w:t>
      </w:r>
      <w:r>
        <w:rPr>
          <w:rFonts w:cs="Arial"/>
        </w:rPr>
        <w:t xml:space="preserve"> </w:t>
      </w:r>
      <w:bookmarkStart w:id="58" w:name="_What_are_the"/>
      <w:bookmarkStart w:id="59" w:name="_Section_4:_The"/>
      <w:bookmarkEnd w:id="58"/>
      <w:bookmarkEnd w:id="59"/>
      <w:r>
        <w:fldChar w:fldCharType="begin"/>
      </w:r>
      <w:r>
        <w:instrText>HYPERLINK "https://www.picscheme.org/en/publications"</w:instrText>
      </w:r>
      <w:r>
        <w:fldChar w:fldCharType="separate"/>
      </w:r>
      <w:r>
        <w:rPr>
          <w:rStyle w:val="Hyperlink"/>
        </w:rPr>
        <w:t>Pharmaceutical Inspection Convention Scheme</w:t>
      </w:r>
      <w:r>
        <w:fldChar w:fldCharType="end"/>
      </w:r>
      <w:r>
        <w:t xml:space="preserve"> website.</w:t>
      </w:r>
    </w:p>
    <w:p w14:paraId="12D926A3" w14:textId="77777777" w:rsidR="00530526" w:rsidRPr="00530526" w:rsidRDefault="00530526" w:rsidP="00530526"/>
    <w:p w14:paraId="4C06A897" w14:textId="54425A7D" w:rsidR="00530526" w:rsidRDefault="00530526" w:rsidP="00530526">
      <w:pPr>
        <w:pStyle w:val="Heading1"/>
      </w:pPr>
      <w:bookmarkStart w:id="60" w:name="_Toc170709440"/>
      <w:r w:rsidRPr="00530526">
        <w:lastRenderedPageBreak/>
        <w:t>The audit process</w:t>
      </w:r>
      <w:bookmarkEnd w:id="60"/>
    </w:p>
    <w:p w14:paraId="6616A137" w14:textId="77777777" w:rsidR="00530526" w:rsidRPr="005035FF" w:rsidRDefault="00530526" w:rsidP="00530526">
      <w:r w:rsidRPr="005035FF">
        <w:t>The audit process involves the following seven steps.</w:t>
      </w:r>
    </w:p>
    <w:p w14:paraId="0D339EB7" w14:textId="77777777" w:rsidR="00530526" w:rsidRPr="005035FF" w:rsidRDefault="00530526" w:rsidP="00530526">
      <w:pPr>
        <w:pStyle w:val="Heading2"/>
      </w:pPr>
      <w:bookmarkStart w:id="61" w:name="_Toc166222515"/>
      <w:bookmarkStart w:id="62" w:name="_Toc170709441"/>
      <w:r w:rsidRPr="005035FF">
        <w:t>Lodging the a</w:t>
      </w:r>
      <w:r>
        <w:t>pplication</w:t>
      </w:r>
      <w:bookmarkEnd w:id="61"/>
      <w:bookmarkEnd w:id="62"/>
    </w:p>
    <w:p w14:paraId="105C7CE5" w14:textId="77777777" w:rsidR="00530526" w:rsidRPr="005035FF" w:rsidRDefault="00530526" w:rsidP="00530526">
      <w:r w:rsidRPr="005035FF">
        <w:t xml:space="preserve">After Medsafe receives your application for a </w:t>
      </w:r>
      <w:r>
        <w:t>l</w:t>
      </w:r>
      <w:r w:rsidRPr="005035FF">
        <w:t xml:space="preserve">icence to </w:t>
      </w:r>
      <w:r>
        <w:t>m</w:t>
      </w:r>
      <w:r w:rsidRPr="005035FF">
        <w:t xml:space="preserve">anufacture </w:t>
      </w:r>
      <w:r>
        <w:t>m</w:t>
      </w:r>
      <w:r w:rsidRPr="005035FF">
        <w:t xml:space="preserve">edicines or a </w:t>
      </w:r>
      <w:r>
        <w:t>l</w:t>
      </w:r>
      <w:r w:rsidRPr="005035FF">
        <w:t xml:space="preserve">icence to </w:t>
      </w:r>
      <w:r>
        <w:t>p</w:t>
      </w:r>
      <w:r w:rsidRPr="005035FF">
        <w:t xml:space="preserve">ack </w:t>
      </w:r>
      <w:r>
        <w:t>m</w:t>
      </w:r>
      <w:r w:rsidRPr="005035FF">
        <w:t xml:space="preserve">edicines, an auditor will review the application. The auditor </w:t>
      </w:r>
      <w:r>
        <w:t xml:space="preserve">will provide you with a Pre-Audit Questionnaire to complete and </w:t>
      </w:r>
      <w:r w:rsidRPr="005035FF">
        <w:t xml:space="preserve">may request an SMF or other information from your QMS to verify that you have key systems in place </w:t>
      </w:r>
      <w:r>
        <w:t>before a GMP audit is scheduled</w:t>
      </w:r>
      <w:r w:rsidRPr="005035FF">
        <w:t>.</w:t>
      </w:r>
    </w:p>
    <w:p w14:paraId="47300953" w14:textId="77777777" w:rsidR="00530526" w:rsidRPr="005035FF" w:rsidRDefault="00530526" w:rsidP="00530526">
      <w:pPr>
        <w:pStyle w:val="Heading2"/>
      </w:pPr>
      <w:bookmarkStart w:id="63" w:name="_Toc166222516"/>
      <w:bookmarkStart w:id="64" w:name="_Toc170709442"/>
      <w:r w:rsidRPr="005035FF">
        <w:t>Arranging the audit date</w:t>
      </w:r>
      <w:bookmarkEnd w:id="63"/>
      <w:bookmarkEnd w:id="64"/>
    </w:p>
    <w:p w14:paraId="18E28E78" w14:textId="77777777" w:rsidR="00530526" w:rsidRPr="005035FF" w:rsidRDefault="00530526" w:rsidP="00530526">
      <w:r w:rsidRPr="005035FF">
        <w:t>The auditor contacts you to arrange a date for the audit. The audit could take less than a day for a very small site or several days for a larger site.</w:t>
      </w:r>
    </w:p>
    <w:p w14:paraId="468058DA" w14:textId="77777777" w:rsidR="00530526" w:rsidRPr="005035FF" w:rsidRDefault="00530526" w:rsidP="00530526">
      <w:pPr>
        <w:pStyle w:val="Heading2"/>
      </w:pPr>
      <w:bookmarkStart w:id="65" w:name="_Toc166222517"/>
      <w:bookmarkStart w:id="66" w:name="_Toc170709443"/>
      <w:r w:rsidRPr="005035FF">
        <w:t>Carrying out the GMP audit</w:t>
      </w:r>
      <w:bookmarkEnd w:id="65"/>
      <w:bookmarkEnd w:id="66"/>
    </w:p>
    <w:p w14:paraId="44DD7312" w14:textId="77777777" w:rsidR="00530526" w:rsidRPr="005035FF" w:rsidRDefault="00530526" w:rsidP="00530526">
      <w:r w:rsidRPr="005035FF">
        <w:t>During the audit, the auditor will identify any discrepancies between your system and the requirements of the GMP Code and discuss them with you. The auditor will summarise all deficiencies at a meeting with company management at the end of the audit so you can start rectifying them straight away.</w:t>
      </w:r>
    </w:p>
    <w:p w14:paraId="7E944523" w14:textId="77777777" w:rsidR="00530526" w:rsidRPr="005035FF" w:rsidRDefault="00530526" w:rsidP="00530526">
      <w:pPr>
        <w:pStyle w:val="Heading2"/>
      </w:pPr>
      <w:bookmarkStart w:id="67" w:name="_Toc166222518"/>
      <w:bookmarkStart w:id="68" w:name="_Toc170709444"/>
      <w:r w:rsidRPr="005035FF">
        <w:t>Preparing the audit report</w:t>
      </w:r>
      <w:bookmarkEnd w:id="67"/>
      <w:bookmarkEnd w:id="68"/>
    </w:p>
    <w:p w14:paraId="192D5A7C" w14:textId="77777777" w:rsidR="00530526" w:rsidRPr="005035FF" w:rsidRDefault="00530526" w:rsidP="0053052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rPr>
      </w:pPr>
      <w:r w:rsidRPr="005035FF">
        <w:rPr>
          <w:rFonts w:cs="Arial"/>
          <w:color w:val="000000"/>
        </w:rPr>
        <w:t xml:space="preserve">The auditor prepares the audit report, setting out any identified deficiencies and making a </w:t>
      </w:r>
      <w:r>
        <w:rPr>
          <w:rFonts w:cs="Arial"/>
          <w:color w:val="000000"/>
        </w:rPr>
        <w:t xml:space="preserve">licence </w:t>
      </w:r>
      <w:r w:rsidRPr="005035FF">
        <w:rPr>
          <w:rFonts w:cs="Arial"/>
          <w:color w:val="000000"/>
        </w:rPr>
        <w:t>recommendation</w:t>
      </w:r>
      <w:r>
        <w:rPr>
          <w:rFonts w:cs="Arial"/>
          <w:color w:val="000000"/>
        </w:rPr>
        <w:t xml:space="preserve"> that results in either</w:t>
      </w:r>
      <w:r w:rsidRPr="005035FF">
        <w:rPr>
          <w:rFonts w:cs="Arial"/>
          <w:color w:val="000000"/>
        </w:rPr>
        <w:t>:</w:t>
      </w:r>
    </w:p>
    <w:p w14:paraId="7BF509CE" w14:textId="77777777" w:rsidR="00530526" w:rsidRDefault="00530526" w:rsidP="00530526">
      <w:pPr>
        <w:pStyle w:val="Bullet"/>
      </w:pPr>
      <w:r w:rsidRPr="005035FF">
        <w:rPr>
          <w:rFonts w:cs="Arial"/>
          <w:color w:val="000000"/>
        </w:rPr>
        <w:t>issu</w:t>
      </w:r>
      <w:r>
        <w:rPr>
          <w:rFonts w:cs="Arial"/>
          <w:color w:val="000000"/>
        </w:rPr>
        <w:t>ing</w:t>
      </w:r>
      <w:r w:rsidRPr="005035FF">
        <w:rPr>
          <w:rFonts w:cs="Arial"/>
          <w:color w:val="000000"/>
        </w:rPr>
        <w:t xml:space="preserve"> </w:t>
      </w:r>
      <w:r w:rsidRPr="005035FF">
        <w:t>a licence</w:t>
      </w:r>
    </w:p>
    <w:p w14:paraId="02861DF9" w14:textId="77777777" w:rsidR="00530526" w:rsidRPr="005035FF" w:rsidRDefault="00530526" w:rsidP="00530526">
      <w:pPr>
        <w:pStyle w:val="Bullet"/>
      </w:pPr>
      <w:r w:rsidRPr="005035FF">
        <w:t>defer</w:t>
      </w:r>
      <w:r>
        <w:t>ring</w:t>
      </w:r>
      <w:r w:rsidRPr="005035FF">
        <w:t xml:space="preserve"> a decision until you have rectified key deficiencies</w:t>
      </w:r>
    </w:p>
    <w:p w14:paraId="6E388FED" w14:textId="4F90782C" w:rsidR="00530526" w:rsidRDefault="00530526" w:rsidP="00530526">
      <w:pPr>
        <w:pStyle w:val="Bullet"/>
      </w:pPr>
      <w:r w:rsidRPr="005035FF">
        <w:t>declin</w:t>
      </w:r>
      <w:r>
        <w:t>ing</w:t>
      </w:r>
      <w:r w:rsidRPr="005035FF">
        <w:t xml:space="preserve"> the application.</w:t>
      </w:r>
    </w:p>
    <w:p w14:paraId="0AF67954" w14:textId="77777777" w:rsidR="00530526" w:rsidRPr="00530526" w:rsidRDefault="00530526" w:rsidP="00530526">
      <w:pPr>
        <w:pStyle w:val="Heading2"/>
      </w:pPr>
      <w:bookmarkStart w:id="69" w:name="_Toc166222519"/>
      <w:bookmarkStart w:id="70" w:name="_Toc170709445"/>
      <w:r w:rsidRPr="00530526">
        <w:t>Opportunity to respond</w:t>
      </w:r>
      <w:bookmarkEnd w:id="69"/>
      <w:bookmarkEnd w:id="70"/>
    </w:p>
    <w:p w14:paraId="2C994A3B" w14:textId="77777777" w:rsidR="00530526" w:rsidRPr="005035FF" w:rsidRDefault="00530526" w:rsidP="00530526">
      <w:pPr>
        <w:keepLines/>
      </w:pPr>
      <w:r w:rsidRPr="005035FF">
        <w:t xml:space="preserve">If the auditor has identified any deficiencies, </w:t>
      </w:r>
      <w:r>
        <w:t xml:space="preserve">these deficiencies will be communicated to key personnel of the company that attended the audit closing meeting. You may start preparing the audit responses and </w:t>
      </w:r>
      <w:r w:rsidRPr="005035FF">
        <w:t>explain how you have addressed each deficiency</w:t>
      </w:r>
      <w:r>
        <w:t xml:space="preserve"> even before the audit report is issued</w:t>
      </w:r>
      <w:r w:rsidRPr="005035FF">
        <w:t>. It is important when planning your corrective and preventative actions to consider the underlying cause of the deficiency rather than just the e</w:t>
      </w:r>
      <w:r>
        <w:t>xample identified at the audit.</w:t>
      </w:r>
    </w:p>
    <w:p w14:paraId="0FC1948D" w14:textId="77777777" w:rsidR="00530526" w:rsidRPr="005035FF" w:rsidRDefault="00530526" w:rsidP="00530526">
      <w:r w:rsidRPr="005035FF">
        <w:lastRenderedPageBreak/>
        <w:t>Your response should include:</w:t>
      </w:r>
    </w:p>
    <w:p w14:paraId="106C93E8" w14:textId="77777777" w:rsidR="00530526" w:rsidRPr="005035FF" w:rsidRDefault="00530526" w:rsidP="00530526">
      <w:pPr>
        <w:pStyle w:val="Bullet"/>
      </w:pPr>
      <w:r w:rsidRPr="005035FF">
        <w:t>a description of the corrective and preventative action you have planned or taken</w:t>
      </w:r>
    </w:p>
    <w:p w14:paraId="3072E4FA" w14:textId="77777777" w:rsidR="00530526" w:rsidRPr="005035FF" w:rsidRDefault="00530526" w:rsidP="00530526">
      <w:pPr>
        <w:pStyle w:val="Bullet"/>
      </w:pPr>
      <w:r w:rsidRPr="005035FF">
        <w:t>the date you completed the corrective and preventative action or plan to complete it</w:t>
      </w:r>
    </w:p>
    <w:p w14:paraId="42C71F6A" w14:textId="77777777" w:rsidR="00530526" w:rsidRPr="005035FF" w:rsidRDefault="00530526" w:rsidP="00530526">
      <w:pPr>
        <w:pStyle w:val="Bullet"/>
      </w:pPr>
      <w:r w:rsidRPr="005035FF">
        <w:t>evidence of completion (for example, photographs or copies of amended documents).</w:t>
      </w:r>
    </w:p>
    <w:p w14:paraId="6C0D021E" w14:textId="77777777" w:rsidR="00530526" w:rsidRPr="005035FF" w:rsidRDefault="00530526" w:rsidP="00530526">
      <w:pPr>
        <w:pStyle w:val="Heading2"/>
      </w:pPr>
      <w:bookmarkStart w:id="71" w:name="_Toc166222520"/>
      <w:bookmarkStart w:id="72" w:name="_Toc170709446"/>
      <w:r w:rsidRPr="005035FF">
        <w:t>Auditor reviews response</w:t>
      </w:r>
      <w:bookmarkEnd w:id="71"/>
      <w:bookmarkEnd w:id="72"/>
    </w:p>
    <w:p w14:paraId="4A172638" w14:textId="77777777" w:rsidR="00530526" w:rsidRPr="005035FF" w:rsidRDefault="00530526" w:rsidP="00530526">
      <w:r w:rsidRPr="005035FF">
        <w:t>The auditor will review your response and the evidence you provide. They may request further information.</w:t>
      </w:r>
    </w:p>
    <w:p w14:paraId="75220CC7" w14:textId="77777777" w:rsidR="00530526" w:rsidRPr="005035FF" w:rsidRDefault="00530526" w:rsidP="00530526">
      <w:pPr>
        <w:pStyle w:val="Heading2"/>
      </w:pPr>
      <w:bookmarkStart w:id="73" w:name="_Toc166222521"/>
      <w:bookmarkStart w:id="74" w:name="_Toc170709447"/>
      <w:r w:rsidRPr="005035FF">
        <w:t>Medsafe issues licence</w:t>
      </w:r>
      <w:bookmarkEnd w:id="73"/>
      <w:bookmarkEnd w:id="74"/>
    </w:p>
    <w:p w14:paraId="365137B6" w14:textId="77777777" w:rsidR="00530526" w:rsidRPr="005035FF" w:rsidRDefault="00530526" w:rsidP="00530526">
      <w:pPr>
        <w:spacing w:after="240"/>
      </w:pPr>
      <w:r w:rsidRPr="005035FF">
        <w:t>Medsafe will issue a licence once it is satisfied the site meets the requirements of the GMP Code. The time it takes to reach this step depends on the findings of the audit and how well your response addresses any deficiencies.</w:t>
      </w:r>
    </w:p>
    <w:p w14:paraId="64D3200D" w14:textId="77777777" w:rsidR="00530526" w:rsidRPr="005035FF" w:rsidRDefault="00530526" w:rsidP="00530526">
      <w:pPr>
        <w:pStyle w:val="Box"/>
      </w:pPr>
      <w:r w:rsidRPr="005035FF">
        <w:rPr>
          <w:b/>
        </w:rPr>
        <w:t xml:space="preserve">Note: </w:t>
      </w:r>
      <w:r w:rsidRPr="005035FF">
        <w:t>The audit is a rigorous process</w:t>
      </w:r>
      <w:r>
        <w:t>,</w:t>
      </w:r>
      <w:r w:rsidRPr="005035FF">
        <w:t xml:space="preserve"> and it is not uncommon for an organisation to require more than one audit before Medsafe issues a licence. If Medsafe decides to defer issuing a licence after the second on-site audit, and further audits are needed, you may need to lodge a new application and pay a further application fee.</w:t>
      </w:r>
    </w:p>
    <w:p w14:paraId="1096472D" w14:textId="77777777" w:rsidR="00530526" w:rsidRPr="00530526" w:rsidRDefault="00530526" w:rsidP="00530526"/>
    <w:p w14:paraId="794C54B8" w14:textId="71C08BC2" w:rsidR="00530526" w:rsidRDefault="00530526" w:rsidP="000506B8">
      <w:pPr>
        <w:pStyle w:val="Heading1"/>
        <w:spacing w:after="360"/>
      </w:pPr>
      <w:bookmarkStart w:id="75" w:name="_Toc170709448"/>
      <w:r w:rsidRPr="00530526">
        <w:lastRenderedPageBreak/>
        <w:t>Responsibilities of licence holders</w:t>
      </w:r>
      <w:bookmarkEnd w:id="75"/>
    </w:p>
    <w:p w14:paraId="0E60C8B5" w14:textId="77777777" w:rsidR="00530526" w:rsidRPr="005035FF" w:rsidRDefault="00530526" w:rsidP="00530526">
      <w:r w:rsidRPr="005035FF">
        <w:t xml:space="preserve">The holder of a </w:t>
      </w:r>
      <w:r>
        <w:t>l</w:t>
      </w:r>
      <w:r w:rsidRPr="005035FF">
        <w:t xml:space="preserve">icence to </w:t>
      </w:r>
      <w:r>
        <w:t>m</w:t>
      </w:r>
      <w:r w:rsidRPr="005035FF">
        <w:t xml:space="preserve">anufacture </w:t>
      </w:r>
      <w:r>
        <w:t>m</w:t>
      </w:r>
      <w:r w:rsidRPr="005035FF">
        <w:t xml:space="preserve">edicines or a </w:t>
      </w:r>
      <w:r>
        <w:t>l</w:t>
      </w:r>
      <w:r w:rsidRPr="005035FF">
        <w:t xml:space="preserve">icence to </w:t>
      </w:r>
      <w:r>
        <w:t>p</w:t>
      </w:r>
      <w:r w:rsidRPr="005035FF">
        <w:t xml:space="preserve">ack </w:t>
      </w:r>
      <w:r>
        <w:t>m</w:t>
      </w:r>
      <w:r w:rsidRPr="005035FF">
        <w:t>edicines under the Medicines Act 1981 has responsibilities</w:t>
      </w:r>
      <w:r>
        <w:t xml:space="preserve"> including the following</w:t>
      </w:r>
      <w:r w:rsidRPr="005035FF">
        <w:t>.</w:t>
      </w:r>
    </w:p>
    <w:p w14:paraId="3200728A" w14:textId="77777777" w:rsidR="00530526" w:rsidRPr="005035FF" w:rsidRDefault="00530526" w:rsidP="000506B8">
      <w:pPr>
        <w:pStyle w:val="Heading2"/>
        <w:spacing w:before="600"/>
      </w:pPr>
      <w:bookmarkStart w:id="76" w:name="_Toc36535179"/>
      <w:bookmarkStart w:id="77" w:name="_Toc166222523"/>
      <w:bookmarkStart w:id="78" w:name="_Toc170709449"/>
      <w:r w:rsidRPr="005035FF">
        <w:t>Comply with licence conditions</w:t>
      </w:r>
      <w:bookmarkEnd w:id="76"/>
      <w:bookmarkEnd w:id="77"/>
      <w:bookmarkEnd w:id="78"/>
    </w:p>
    <w:p w14:paraId="5636E71B" w14:textId="77777777" w:rsidR="00530526" w:rsidRPr="005035FF" w:rsidRDefault="00530526" w:rsidP="00530526">
      <w:r>
        <w:t>You</w:t>
      </w:r>
      <w:r w:rsidRPr="005035FF">
        <w:t xml:space="preserve"> must comply with the scope of manufacturing and/or packing activities </w:t>
      </w:r>
      <w:r>
        <w:t>specified on your licence</w:t>
      </w:r>
      <w:r w:rsidRPr="005035FF">
        <w:t xml:space="preserve">. This scope may include the types of medicinal cannabis products (dosage forms) or specific products that </w:t>
      </w:r>
      <w:r>
        <w:t>you</w:t>
      </w:r>
      <w:r w:rsidRPr="005035FF">
        <w:t xml:space="preserve"> can manufacture.</w:t>
      </w:r>
    </w:p>
    <w:p w14:paraId="134CE1E2" w14:textId="77777777" w:rsidR="00530526" w:rsidRPr="005035FF" w:rsidRDefault="00530526" w:rsidP="00530526">
      <w:r w:rsidRPr="005035FF">
        <w:t xml:space="preserve">The licence will also specify the location </w:t>
      </w:r>
      <w:r>
        <w:t xml:space="preserve">or locations </w:t>
      </w:r>
      <w:r w:rsidRPr="005035FF">
        <w:t xml:space="preserve">where </w:t>
      </w:r>
      <w:r>
        <w:t xml:space="preserve">you </w:t>
      </w:r>
      <w:r w:rsidRPr="005035FF">
        <w:t>can carry out these activities.</w:t>
      </w:r>
    </w:p>
    <w:p w14:paraId="0782643C" w14:textId="77777777" w:rsidR="00530526" w:rsidRPr="005035FF" w:rsidRDefault="00530526" w:rsidP="00530526">
      <w:r w:rsidRPr="005035FF">
        <w:t xml:space="preserve">If you intend to make products or complete activities that are outside the scope of your licence, you will first need to apply to Medsafe (by emailing </w:t>
      </w:r>
      <w:hyperlink r:id="rId39" w:history="1">
        <w:r w:rsidRPr="005035FF">
          <w:rPr>
            <w:rStyle w:val="Hyperlink"/>
            <w:rFonts w:cs="Arial"/>
          </w:rPr>
          <w:t>GMP@health.govt.nz</w:t>
        </w:r>
      </w:hyperlink>
      <w:r w:rsidRPr="005035FF">
        <w:t xml:space="preserve">) to amend your licence. </w:t>
      </w:r>
      <w:r>
        <w:t>Medsafe</w:t>
      </w:r>
      <w:r w:rsidRPr="005035FF">
        <w:t xml:space="preserve"> will assess the amendment you are proposing and may require you to have a targeted </w:t>
      </w:r>
      <w:r>
        <w:t xml:space="preserve">onsite </w:t>
      </w:r>
      <w:r w:rsidRPr="005035FF">
        <w:t>audit</w:t>
      </w:r>
      <w:r>
        <w:t xml:space="preserve"> or a desktop audit</w:t>
      </w:r>
      <w:r w:rsidRPr="005035FF">
        <w:t xml:space="preserve"> to evaluate the amendment.</w:t>
      </w:r>
    </w:p>
    <w:p w14:paraId="304C1010" w14:textId="77777777" w:rsidR="00530526" w:rsidRPr="005035FF" w:rsidRDefault="00530526" w:rsidP="000506B8">
      <w:pPr>
        <w:pStyle w:val="Heading2"/>
        <w:spacing w:before="600"/>
      </w:pPr>
      <w:bookmarkStart w:id="79" w:name="_Toc36535180"/>
      <w:bookmarkStart w:id="80" w:name="_Toc166222524"/>
      <w:bookmarkStart w:id="81" w:name="_Toc170709450"/>
      <w:r w:rsidRPr="005035FF">
        <w:t>Notify Medsafe of any changes you intend to make</w:t>
      </w:r>
      <w:bookmarkEnd w:id="79"/>
      <w:bookmarkEnd w:id="80"/>
      <w:bookmarkEnd w:id="81"/>
    </w:p>
    <w:p w14:paraId="71110D7A" w14:textId="77777777" w:rsidR="00530526" w:rsidRPr="005035FF" w:rsidRDefault="00530526" w:rsidP="00530526">
      <w:r>
        <w:t>You</w:t>
      </w:r>
      <w:r w:rsidRPr="005035FF">
        <w:t xml:space="preserve"> must notify Medsafe (by emailing </w:t>
      </w:r>
      <w:hyperlink r:id="rId40" w:history="1">
        <w:r w:rsidRPr="005035FF">
          <w:rPr>
            <w:rStyle w:val="Hyperlink"/>
            <w:rFonts w:cs="Arial"/>
          </w:rPr>
          <w:t>GMP@health.govt.nz</w:t>
        </w:r>
      </w:hyperlink>
      <w:r w:rsidRPr="005035FF">
        <w:t xml:space="preserve">) of any changes </w:t>
      </w:r>
      <w:r>
        <w:t>you</w:t>
      </w:r>
      <w:r w:rsidRPr="005035FF">
        <w:t xml:space="preserve"> intend to make to the responsible persons recorded on </w:t>
      </w:r>
      <w:r>
        <w:t>your</w:t>
      </w:r>
      <w:r w:rsidRPr="005035FF">
        <w:t xml:space="preserve"> licence or to the products that </w:t>
      </w:r>
      <w:r>
        <w:t>you</w:t>
      </w:r>
      <w:r w:rsidRPr="005035FF">
        <w:t xml:space="preserve"> will make. </w:t>
      </w:r>
      <w:r>
        <w:t>You</w:t>
      </w:r>
      <w:r w:rsidRPr="005035FF">
        <w:t xml:space="preserve"> must also notify Medsafe of any major changes </w:t>
      </w:r>
      <w:r>
        <w:t>you</w:t>
      </w:r>
      <w:r w:rsidRPr="005035FF">
        <w:t xml:space="preserve"> intend to make to the facility, equipment</w:t>
      </w:r>
      <w:r>
        <w:t>,</w:t>
      </w:r>
      <w:r w:rsidRPr="005035FF">
        <w:t xml:space="preserve"> or manufacturing operations.</w:t>
      </w:r>
    </w:p>
    <w:p w14:paraId="363EEF17" w14:textId="77777777" w:rsidR="00530526" w:rsidRPr="005035FF" w:rsidRDefault="00530526" w:rsidP="00530526">
      <w:r w:rsidRPr="005035FF">
        <w:t>Medsafe may need to evaluate some changes before you implement them. It may require you to have a targeted audit of any major changes to complete that evaluation.</w:t>
      </w:r>
    </w:p>
    <w:p w14:paraId="2767233E" w14:textId="77777777" w:rsidR="00530526" w:rsidRPr="005035FF" w:rsidRDefault="00530526" w:rsidP="00530526">
      <w:r w:rsidRPr="005035FF">
        <w:t>Where it is necessary to modify a condition on your licence</w:t>
      </w:r>
      <w:r w:rsidRPr="005035FF" w:rsidDel="00A5467B">
        <w:t xml:space="preserve"> </w:t>
      </w:r>
      <w:r w:rsidRPr="005035FF">
        <w:t>because of your intended change, you must also apply for a licence amendment.</w:t>
      </w:r>
    </w:p>
    <w:p w14:paraId="3ABFCBDA" w14:textId="77777777" w:rsidR="00530526" w:rsidRPr="005035FF" w:rsidRDefault="00530526" w:rsidP="000506B8">
      <w:pPr>
        <w:pStyle w:val="Heading2"/>
        <w:spacing w:before="600"/>
      </w:pPr>
      <w:bookmarkStart w:id="82" w:name="_Toc36535181"/>
      <w:bookmarkStart w:id="83" w:name="_Toc166222525"/>
      <w:bookmarkStart w:id="84" w:name="_Toc170709451"/>
      <w:r w:rsidRPr="005035FF">
        <w:t>Maintain validation of process</w:t>
      </w:r>
      <w:bookmarkEnd w:id="82"/>
      <w:bookmarkEnd w:id="83"/>
      <w:bookmarkEnd w:id="84"/>
    </w:p>
    <w:p w14:paraId="6AFC4B3A" w14:textId="77777777" w:rsidR="00530526" w:rsidRPr="005035FF" w:rsidRDefault="00530526" w:rsidP="00530526">
      <w:r>
        <w:t>You</w:t>
      </w:r>
      <w:r w:rsidRPr="005035FF">
        <w:t xml:space="preserve"> must manage any changes to the manufacturing process through the change control system of </w:t>
      </w:r>
      <w:r>
        <w:t>your</w:t>
      </w:r>
      <w:r w:rsidRPr="005035FF">
        <w:t xml:space="preserve"> QMS. You </w:t>
      </w:r>
      <w:r>
        <w:t xml:space="preserve">may </w:t>
      </w:r>
      <w:r w:rsidRPr="005035FF">
        <w:t>need to repeat the process validation to demonstrate the change has not altered the reproducibility of the process. Auditors will review your process validation documents as part of ongoing audits to assess your compliance with the GMP Code.</w:t>
      </w:r>
    </w:p>
    <w:p w14:paraId="6BDED286" w14:textId="77777777" w:rsidR="00530526" w:rsidRDefault="00530526" w:rsidP="000506B8">
      <w:pPr>
        <w:pStyle w:val="Heading2"/>
        <w:spacing w:before="600"/>
      </w:pPr>
      <w:bookmarkStart w:id="85" w:name="_Toc36535182"/>
      <w:bookmarkStart w:id="86" w:name="_Toc166222526"/>
      <w:bookmarkStart w:id="87" w:name="_Toc170709452"/>
      <w:r w:rsidRPr="005035FF">
        <w:t>Have periodic audits against the GMP Code</w:t>
      </w:r>
      <w:bookmarkEnd w:id="85"/>
      <w:bookmarkEnd w:id="86"/>
      <w:bookmarkEnd w:id="87"/>
    </w:p>
    <w:p w14:paraId="5E3F5298" w14:textId="77777777" w:rsidR="00530526" w:rsidRPr="005035FF" w:rsidRDefault="00530526" w:rsidP="00530526">
      <w:r w:rsidRPr="00B0134D">
        <w:t>Periodic audits will assess whether you are continuing to comply with the GMP Code. The frequency of these audits could be anywhere between six months and three years, depending on the type of products you are manufacturing and your compliance history. An auditor will contact you to arrange a suitable time for each audit when it is due.</w:t>
      </w:r>
      <w:bookmarkEnd w:id="10"/>
    </w:p>
    <w:sectPr w:rsidR="00530526" w:rsidRPr="005035FF" w:rsidSect="00F745DE">
      <w:pgSz w:w="11907" w:h="16834" w:code="9"/>
      <w:pgMar w:top="1418" w:right="1418" w:bottom="1418" w:left="1418"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8626" w14:textId="77777777" w:rsidR="001F4D80" w:rsidRDefault="001F4D80">
      <w:r>
        <w:separator/>
      </w:r>
    </w:p>
    <w:p w14:paraId="5AFD4076" w14:textId="77777777" w:rsidR="001F4D80" w:rsidRDefault="001F4D80"/>
  </w:endnote>
  <w:endnote w:type="continuationSeparator" w:id="0">
    <w:p w14:paraId="2A802BA5" w14:textId="77777777" w:rsidR="001F4D80" w:rsidRDefault="001F4D80">
      <w:r>
        <w:continuationSeparator/>
      </w:r>
    </w:p>
    <w:p w14:paraId="12173149" w14:textId="77777777" w:rsidR="001F4D80" w:rsidRDefault="001F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Avenir">
    <w:altName w:val="Calibri"/>
    <w:charset w:val="00"/>
    <w:family w:val="swiss"/>
    <w:pitch w:val="variable"/>
    <w:sig w:usb0="800000AF" w:usb1="5000204A" w:usb2="00000000" w:usb3="00000000" w:csb0="0000009B" w:csb1="00000000"/>
  </w:font>
  <w:font w:name="Avenir Black">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enir Medium">
    <w:altName w:val="Calibri"/>
    <w:charset w:val="00"/>
    <w:family w:val="auto"/>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5E8D" w14:textId="77777777" w:rsidR="003D65C1" w:rsidRDefault="003D6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134" w:type="dxa"/>
      <w:tblLook w:val="04A0" w:firstRow="1" w:lastRow="0" w:firstColumn="1" w:lastColumn="0" w:noHBand="0" w:noVBand="1"/>
    </w:tblPr>
    <w:tblGrid>
      <w:gridCol w:w="1220"/>
      <w:gridCol w:w="1562"/>
      <w:gridCol w:w="7986"/>
    </w:tblGrid>
    <w:tr w:rsidR="00530526" w14:paraId="015654C4" w14:textId="77777777" w:rsidTr="00F11E28">
      <w:tc>
        <w:tcPr>
          <w:tcW w:w="1231" w:type="dxa"/>
          <w:tcBorders>
            <w:top w:val="single" w:sz="4" w:space="0" w:color="076283"/>
            <w:left w:val="single" w:sz="4" w:space="0" w:color="076283"/>
            <w:bottom w:val="single" w:sz="4" w:space="0" w:color="076283"/>
            <w:right w:val="nil"/>
          </w:tcBorders>
          <w:shd w:val="clear" w:color="auto" w:fill="076283"/>
        </w:tcPr>
        <w:p w14:paraId="0C013E80" w14:textId="77777777" w:rsidR="00530526" w:rsidRPr="00702088" w:rsidRDefault="00530526" w:rsidP="007953D4">
          <w:pPr>
            <w:pStyle w:val="Footer"/>
            <w:spacing w:before="120" w:after="120" w:line="240" w:lineRule="auto"/>
            <w:rPr>
              <w:color w:val="FFFFFF" w:themeColor="background1"/>
              <w:sz w:val="18"/>
              <w:szCs w:val="18"/>
              <w:lang w:val="en-NZ"/>
            </w:rPr>
          </w:pPr>
        </w:p>
      </w:tc>
      <w:tc>
        <w:tcPr>
          <w:tcW w:w="1571" w:type="dxa"/>
          <w:tcBorders>
            <w:top w:val="single" w:sz="4" w:space="0" w:color="076283"/>
            <w:left w:val="nil"/>
            <w:bottom w:val="single" w:sz="4" w:space="0" w:color="076283"/>
            <w:right w:val="single" w:sz="4" w:space="0" w:color="076283"/>
          </w:tcBorders>
          <w:shd w:val="clear" w:color="auto" w:fill="076283"/>
        </w:tcPr>
        <w:p w14:paraId="26C76E6C" w14:textId="5ED12F4B" w:rsidR="00530526" w:rsidRPr="00702088" w:rsidRDefault="00530526" w:rsidP="00F7308E">
          <w:pPr>
            <w:pStyle w:val="Footer"/>
            <w:spacing w:after="120" w:line="240" w:lineRule="auto"/>
            <w:rPr>
              <w:color w:val="FFFFFF" w:themeColor="background1"/>
              <w:sz w:val="18"/>
              <w:szCs w:val="18"/>
              <w:lang w:val="en-NZ"/>
            </w:rPr>
          </w:pPr>
          <w:r w:rsidRPr="00702088">
            <w:rPr>
              <w:b/>
              <w:color w:val="FFFFFF" w:themeColor="background1"/>
              <w:sz w:val="18"/>
              <w:szCs w:val="18"/>
              <w:lang w:val="en-NZ"/>
            </w:rPr>
            <w:t xml:space="preserve">EDITION </w:t>
          </w:r>
          <w:r w:rsidR="00021F5F">
            <w:rPr>
              <w:b/>
              <w:color w:val="FFFFFF" w:themeColor="background1"/>
              <w:sz w:val="18"/>
              <w:szCs w:val="18"/>
              <w:lang w:val="en-NZ"/>
            </w:rPr>
            <w:t>3</w:t>
          </w:r>
          <w:r w:rsidRPr="00702088">
            <w:rPr>
              <w:b/>
              <w:color w:val="FFFFFF" w:themeColor="background1"/>
              <w:sz w:val="18"/>
              <w:szCs w:val="18"/>
              <w:lang w:val="en-NZ"/>
            </w:rPr>
            <w:t>.0</w:t>
          </w:r>
          <w:r w:rsidRPr="00702088">
            <w:rPr>
              <w:color w:val="FFFFFF" w:themeColor="background1"/>
              <w:sz w:val="18"/>
              <w:szCs w:val="18"/>
              <w:lang w:val="en-NZ"/>
            </w:rPr>
            <w:br/>
          </w:r>
          <w:r w:rsidR="008C187C">
            <w:rPr>
              <w:color w:val="FFFFFF" w:themeColor="background1"/>
              <w:sz w:val="18"/>
              <w:szCs w:val="18"/>
              <w:lang w:val="en-NZ"/>
            </w:rPr>
            <w:t>July 2024</w:t>
          </w:r>
        </w:p>
      </w:tc>
      <w:tc>
        <w:tcPr>
          <w:tcW w:w="8079" w:type="dxa"/>
          <w:tcBorders>
            <w:top w:val="nil"/>
            <w:left w:val="single" w:sz="4" w:space="0" w:color="076283"/>
            <w:bottom w:val="nil"/>
            <w:right w:val="nil"/>
          </w:tcBorders>
          <w:vAlign w:val="center"/>
        </w:tcPr>
        <w:p w14:paraId="4BE3E85F" w14:textId="0529314D" w:rsidR="00530526" w:rsidRPr="00702088" w:rsidRDefault="00C6695D" w:rsidP="00F11E28">
          <w:pPr>
            <w:pStyle w:val="Footer"/>
            <w:spacing w:before="120" w:after="120" w:line="240" w:lineRule="auto"/>
            <w:jc w:val="right"/>
            <w:rPr>
              <w:lang w:val="en-NZ"/>
            </w:rPr>
          </w:pPr>
          <w:r>
            <w:rPr>
              <w:noProof/>
            </w:rPr>
            <w:drawing>
              <wp:anchor distT="0" distB="0" distL="114300" distR="114300" simplePos="0" relativeHeight="251659264" behindDoc="0" locked="0" layoutInCell="1" allowOverlap="1" wp14:anchorId="185507FA" wp14:editId="0FF2B0CB">
                <wp:simplePos x="0" y="0"/>
                <wp:positionH relativeFrom="column">
                  <wp:posOffset>2624455</wp:posOffset>
                </wp:positionH>
                <wp:positionV relativeFrom="page">
                  <wp:posOffset>-47625</wp:posOffset>
                </wp:positionV>
                <wp:extent cx="2292350" cy="54229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542290"/>
                        </a:xfrm>
                        <a:prstGeom prst="rect">
                          <a:avLst/>
                        </a:prstGeom>
                        <a:noFill/>
                      </pic:spPr>
                    </pic:pic>
                  </a:graphicData>
                </a:graphic>
                <wp14:sizeRelH relativeFrom="page">
                  <wp14:pctWidth>0</wp14:pctWidth>
                </wp14:sizeRelH>
                <wp14:sizeRelV relativeFrom="page">
                  <wp14:pctHeight>0</wp14:pctHeight>
                </wp14:sizeRelV>
              </wp:anchor>
            </w:drawing>
          </w:r>
        </w:p>
      </w:tc>
    </w:tr>
  </w:tbl>
  <w:p w14:paraId="67FE84EB" w14:textId="77777777" w:rsidR="00530526" w:rsidRPr="00FB554D" w:rsidRDefault="00530526" w:rsidP="00FB554D">
    <w:pPr>
      <w:pStyle w:val="Footer"/>
      <w:spacing w:before="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4B09" w14:textId="77777777" w:rsidR="003D65C1" w:rsidRDefault="003D65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67"/>
      <w:gridCol w:w="7621"/>
    </w:tblGrid>
    <w:tr w:rsidR="00530526" w14:paraId="226DF217" w14:textId="77777777" w:rsidTr="00707425">
      <w:trPr>
        <w:cantSplit/>
      </w:trPr>
      <w:tc>
        <w:tcPr>
          <w:tcW w:w="567" w:type="dxa"/>
          <w:vAlign w:val="center"/>
        </w:tcPr>
        <w:p w14:paraId="37BB3B93" w14:textId="77777777" w:rsidR="00530526" w:rsidRPr="00931466" w:rsidRDefault="00530526" w:rsidP="004751DA">
          <w:pPr>
            <w:pStyle w:val="Footer"/>
            <w:spacing w:before="0" w:line="240" w:lineRule="auto"/>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10</w:t>
          </w:r>
          <w:r w:rsidRPr="00931466">
            <w:rPr>
              <w:rStyle w:val="PageNumber"/>
            </w:rPr>
            <w:fldChar w:fldCharType="end"/>
          </w:r>
        </w:p>
      </w:tc>
      <w:tc>
        <w:tcPr>
          <w:tcW w:w="7621" w:type="dxa"/>
          <w:vAlign w:val="center"/>
        </w:tcPr>
        <w:p w14:paraId="24E93A4A" w14:textId="44DA557E" w:rsidR="00530526" w:rsidRDefault="00530526" w:rsidP="00F7308E">
          <w:pPr>
            <w:pStyle w:val="RectoFooter"/>
            <w:jc w:val="left"/>
          </w:pPr>
          <w:r>
            <w:t>Guideline on the Regulation of Medicinal Cannabis in New Zealand</w:t>
          </w:r>
          <w:r>
            <w:br/>
          </w:r>
          <w:r w:rsidRPr="00530526">
            <w:t>Information for New Zealand Manufacturers and Packers</w:t>
          </w:r>
        </w:p>
      </w:tc>
    </w:tr>
  </w:tbl>
  <w:p w14:paraId="6EED2196" w14:textId="77777777" w:rsidR="00530526" w:rsidRPr="004751DA" w:rsidRDefault="00530526" w:rsidP="004751DA">
    <w:pPr>
      <w:spacing w:before="0"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613B" w14:textId="77777777" w:rsidR="00530526" w:rsidRPr="004751DA" w:rsidRDefault="00530526" w:rsidP="004751DA">
    <w:pPr>
      <w:spacing w:before="0" w:line="240"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222"/>
      <w:gridCol w:w="567"/>
    </w:tblGrid>
    <w:tr w:rsidR="00530526" w14:paraId="11367F58" w14:textId="77777777" w:rsidTr="00707425">
      <w:trPr>
        <w:cantSplit/>
      </w:trPr>
      <w:tc>
        <w:tcPr>
          <w:tcW w:w="8222" w:type="dxa"/>
          <w:vAlign w:val="center"/>
        </w:tcPr>
        <w:p w14:paraId="0B0367D3" w14:textId="279B8C11" w:rsidR="00530526" w:rsidRDefault="00530526" w:rsidP="00F7308E">
          <w:pPr>
            <w:pStyle w:val="RectoFooter"/>
          </w:pPr>
          <w:r>
            <w:t>Guideline on the Regulation of Medicinal Cannabis in New Zealand</w:t>
          </w:r>
          <w:r>
            <w:br/>
          </w:r>
          <w:r w:rsidRPr="00530526">
            <w:t>Information for New Zealand Manufacturers and Packers</w:t>
          </w:r>
        </w:p>
      </w:tc>
      <w:tc>
        <w:tcPr>
          <w:tcW w:w="567" w:type="dxa"/>
          <w:vAlign w:val="center"/>
        </w:tcPr>
        <w:p w14:paraId="1CB2C4D9" w14:textId="77777777" w:rsidR="00530526" w:rsidRPr="00931466" w:rsidRDefault="00530526" w:rsidP="00F75409">
          <w:pPr>
            <w:pStyle w:val="Footer"/>
            <w:spacing w:before="0" w:line="240" w:lineRule="auto"/>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72C00385" w14:textId="77777777" w:rsidR="00530526" w:rsidRPr="004751DA" w:rsidRDefault="00530526" w:rsidP="004751DA">
    <w:pPr>
      <w:spacing w:before="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9329" w14:textId="77777777" w:rsidR="001F4D80" w:rsidRPr="00A26E6B" w:rsidRDefault="001F4D80" w:rsidP="00A26E6B"/>
  </w:footnote>
  <w:footnote w:type="continuationSeparator" w:id="0">
    <w:p w14:paraId="7A964984" w14:textId="77777777" w:rsidR="001F4D80" w:rsidRDefault="001F4D80">
      <w:r>
        <w:continuationSeparator/>
      </w:r>
    </w:p>
    <w:p w14:paraId="728F58C4" w14:textId="77777777" w:rsidR="001F4D80" w:rsidRDefault="001F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770" w14:textId="77777777" w:rsidR="003D65C1" w:rsidRDefault="003D6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530526" w14:paraId="77ADF5D4" w14:textId="77777777" w:rsidTr="00FB554D">
      <w:trPr>
        <w:cantSplit/>
      </w:trPr>
      <w:tc>
        <w:tcPr>
          <w:tcW w:w="5210" w:type="dxa"/>
        </w:tcPr>
        <w:p w14:paraId="388327EE" w14:textId="77777777" w:rsidR="00530526" w:rsidRDefault="00530526" w:rsidP="00FB554D">
          <w:pPr>
            <w:pStyle w:val="Header"/>
          </w:pPr>
          <w:r>
            <w:rPr>
              <w:noProof/>
              <w:lang w:eastAsia="en-NZ"/>
            </w:rPr>
            <w:drawing>
              <wp:inline distT="0" distB="0" distL="0" distR="0" wp14:anchorId="6E6A87C2" wp14:editId="30C07ADE">
                <wp:extent cx="1862051" cy="1308025"/>
                <wp:effectExtent l="0" t="0" r="508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249" t="11641" r="8666" b="12214"/>
                        <a:stretch/>
                      </pic:blipFill>
                      <pic:spPr bwMode="auto">
                        <a:xfrm>
                          <a:off x="0" y="0"/>
                          <a:ext cx="1863501" cy="13090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A9F9899" w14:textId="56904C04" w:rsidR="00530526" w:rsidRDefault="00530526" w:rsidP="00FB554D">
          <w:pPr>
            <w:pStyle w:val="Header"/>
            <w:jc w:val="right"/>
          </w:pPr>
          <w:r>
            <w:rPr>
              <w:noProof/>
              <w:lang w:eastAsia="en-NZ"/>
            </w:rPr>
            <w:drawing>
              <wp:inline distT="0" distB="0" distL="0" distR="0" wp14:anchorId="78C126BE" wp14:editId="1F76143A">
                <wp:extent cx="1397853" cy="574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t="1805" b="1805"/>
                        <a:stretch>
                          <a:fillRect/>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CB475" w14:textId="77777777" w:rsidR="00530526" w:rsidRPr="00FB554D" w:rsidRDefault="0053052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D83C" w14:textId="77777777" w:rsidR="003D65C1" w:rsidRDefault="003D65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4DF" w14:textId="77777777" w:rsidR="00530526" w:rsidRDefault="00530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37CE42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EC3448"/>
    <w:multiLevelType w:val="multilevel"/>
    <w:tmpl w:val="CC4C0EF2"/>
    <w:lvl w:ilvl="0">
      <w:start w:val="1"/>
      <w:numFmt w:val="decimal"/>
      <w:pStyle w:val="Heading1"/>
      <w:suff w:val="nothing"/>
      <w:lvlText w:val="Section %1: "/>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234827627">
    <w:abstractNumId w:val="5"/>
  </w:num>
  <w:num w:numId="2" w16cid:durableId="1594901370">
    <w:abstractNumId w:val="2"/>
  </w:num>
  <w:num w:numId="3" w16cid:durableId="1471249213">
    <w:abstractNumId w:val="3"/>
  </w:num>
  <w:num w:numId="4" w16cid:durableId="2082830550">
    <w:abstractNumId w:val="1"/>
  </w:num>
  <w:num w:numId="5" w16cid:durableId="1802576468">
    <w:abstractNumId w:val="0"/>
  </w:num>
  <w:num w:numId="6" w16cid:durableId="184582537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384"/>
    <w:rsid w:val="00020569"/>
    <w:rsid w:val="00021F5F"/>
    <w:rsid w:val="000245A4"/>
    <w:rsid w:val="00025A6F"/>
    <w:rsid w:val="0002618D"/>
    <w:rsid w:val="00030746"/>
    <w:rsid w:val="00030B26"/>
    <w:rsid w:val="00030E84"/>
    <w:rsid w:val="00032C0A"/>
    <w:rsid w:val="00035257"/>
    <w:rsid w:val="00035C17"/>
    <w:rsid w:val="00035D68"/>
    <w:rsid w:val="00036027"/>
    <w:rsid w:val="00045613"/>
    <w:rsid w:val="00047899"/>
    <w:rsid w:val="000506B8"/>
    <w:rsid w:val="00053921"/>
    <w:rsid w:val="00054B44"/>
    <w:rsid w:val="0006006B"/>
    <w:rsid w:val="0006228D"/>
    <w:rsid w:val="000712C6"/>
    <w:rsid w:val="00072BD6"/>
    <w:rsid w:val="000739AA"/>
    <w:rsid w:val="00075B78"/>
    <w:rsid w:val="000763E9"/>
    <w:rsid w:val="00082CD6"/>
    <w:rsid w:val="00084151"/>
    <w:rsid w:val="0008437D"/>
    <w:rsid w:val="00085AFE"/>
    <w:rsid w:val="00094800"/>
    <w:rsid w:val="00094BC6"/>
    <w:rsid w:val="00095A52"/>
    <w:rsid w:val="000A0158"/>
    <w:rsid w:val="000A373D"/>
    <w:rsid w:val="000A41ED"/>
    <w:rsid w:val="000B0730"/>
    <w:rsid w:val="000B2F62"/>
    <w:rsid w:val="000C7335"/>
    <w:rsid w:val="000D19F4"/>
    <w:rsid w:val="000D37D6"/>
    <w:rsid w:val="000D3FB7"/>
    <w:rsid w:val="000D58DD"/>
    <w:rsid w:val="000E7D0E"/>
    <w:rsid w:val="000F1F42"/>
    <w:rsid w:val="000F2AE2"/>
    <w:rsid w:val="000F2BFF"/>
    <w:rsid w:val="000F3765"/>
    <w:rsid w:val="00102063"/>
    <w:rsid w:val="0010541C"/>
    <w:rsid w:val="00105770"/>
    <w:rsid w:val="00106F93"/>
    <w:rsid w:val="00111D50"/>
    <w:rsid w:val="00112264"/>
    <w:rsid w:val="00113B8E"/>
    <w:rsid w:val="00117F59"/>
    <w:rsid w:val="0012053C"/>
    <w:rsid w:val="00122363"/>
    <w:rsid w:val="00125D45"/>
    <w:rsid w:val="001342C7"/>
    <w:rsid w:val="0013585C"/>
    <w:rsid w:val="00141538"/>
    <w:rsid w:val="00142261"/>
    <w:rsid w:val="00142954"/>
    <w:rsid w:val="001460E0"/>
    <w:rsid w:val="001472F0"/>
    <w:rsid w:val="00147F71"/>
    <w:rsid w:val="00150A6E"/>
    <w:rsid w:val="0016304B"/>
    <w:rsid w:val="0016318F"/>
    <w:rsid w:val="0016468A"/>
    <w:rsid w:val="00167677"/>
    <w:rsid w:val="0017070E"/>
    <w:rsid w:val="00174F02"/>
    <w:rsid w:val="001774AA"/>
    <w:rsid w:val="0018184B"/>
    <w:rsid w:val="0018376C"/>
    <w:rsid w:val="0018662D"/>
    <w:rsid w:val="00197427"/>
    <w:rsid w:val="001A21B4"/>
    <w:rsid w:val="001A5CF5"/>
    <w:rsid w:val="001B19C9"/>
    <w:rsid w:val="001B30E5"/>
    <w:rsid w:val="001B39D2"/>
    <w:rsid w:val="001B4BF8"/>
    <w:rsid w:val="001B7B14"/>
    <w:rsid w:val="001C0157"/>
    <w:rsid w:val="001C0FFF"/>
    <w:rsid w:val="001C30AE"/>
    <w:rsid w:val="001C4326"/>
    <w:rsid w:val="001C665E"/>
    <w:rsid w:val="001C678E"/>
    <w:rsid w:val="001D3541"/>
    <w:rsid w:val="001D3E4E"/>
    <w:rsid w:val="001E254A"/>
    <w:rsid w:val="001E7386"/>
    <w:rsid w:val="001F45A7"/>
    <w:rsid w:val="001F4D80"/>
    <w:rsid w:val="001F5E27"/>
    <w:rsid w:val="001F64C6"/>
    <w:rsid w:val="0020027C"/>
    <w:rsid w:val="00201A01"/>
    <w:rsid w:val="0020754B"/>
    <w:rsid w:val="002104D3"/>
    <w:rsid w:val="00213A33"/>
    <w:rsid w:val="0021763B"/>
    <w:rsid w:val="00225031"/>
    <w:rsid w:val="00232E9F"/>
    <w:rsid w:val="00235BF1"/>
    <w:rsid w:val="0023776A"/>
    <w:rsid w:val="00245748"/>
    <w:rsid w:val="00246DB1"/>
    <w:rsid w:val="002476B5"/>
    <w:rsid w:val="002520CC"/>
    <w:rsid w:val="00253ECF"/>
    <w:rsid w:val="00254044"/>
    <w:rsid w:val="002546A1"/>
    <w:rsid w:val="002575E8"/>
    <w:rsid w:val="00257EF1"/>
    <w:rsid w:val="00260582"/>
    <w:rsid w:val="002628F4"/>
    <w:rsid w:val="0027275C"/>
    <w:rsid w:val="0027461A"/>
    <w:rsid w:val="00275D08"/>
    <w:rsid w:val="002839AF"/>
    <w:rsid w:val="002842EA"/>
    <w:rsid w:val="002858E3"/>
    <w:rsid w:val="0029190A"/>
    <w:rsid w:val="00292C5A"/>
    <w:rsid w:val="00295241"/>
    <w:rsid w:val="002A4DFC"/>
    <w:rsid w:val="002B047D"/>
    <w:rsid w:val="002B732B"/>
    <w:rsid w:val="002B76A7"/>
    <w:rsid w:val="002B7BEC"/>
    <w:rsid w:val="002C0B97"/>
    <w:rsid w:val="002C1056"/>
    <w:rsid w:val="002C2219"/>
    <w:rsid w:val="002C2552"/>
    <w:rsid w:val="002C380A"/>
    <w:rsid w:val="002D0DF2"/>
    <w:rsid w:val="002D23BD"/>
    <w:rsid w:val="002E0B47"/>
    <w:rsid w:val="002E7563"/>
    <w:rsid w:val="002F3A0D"/>
    <w:rsid w:val="002F4685"/>
    <w:rsid w:val="002F7213"/>
    <w:rsid w:val="0030382F"/>
    <w:rsid w:val="0030408D"/>
    <w:rsid w:val="003060E4"/>
    <w:rsid w:val="00311CF4"/>
    <w:rsid w:val="003160E7"/>
    <w:rsid w:val="0031739E"/>
    <w:rsid w:val="00317DA3"/>
    <w:rsid w:val="00321381"/>
    <w:rsid w:val="003235C6"/>
    <w:rsid w:val="003309CA"/>
    <w:rsid w:val="00331A25"/>
    <w:rsid w:val="003325AB"/>
    <w:rsid w:val="00332709"/>
    <w:rsid w:val="003332D1"/>
    <w:rsid w:val="00333FED"/>
    <w:rsid w:val="0033412B"/>
    <w:rsid w:val="0033448B"/>
    <w:rsid w:val="00337838"/>
    <w:rsid w:val="00341161"/>
    <w:rsid w:val="00342D8B"/>
    <w:rsid w:val="00343230"/>
    <w:rsid w:val="00343365"/>
    <w:rsid w:val="003445F4"/>
    <w:rsid w:val="003450E8"/>
    <w:rsid w:val="00353501"/>
    <w:rsid w:val="00353734"/>
    <w:rsid w:val="003538D4"/>
    <w:rsid w:val="00353B1E"/>
    <w:rsid w:val="003545F5"/>
    <w:rsid w:val="003606F8"/>
    <w:rsid w:val="003648EF"/>
    <w:rsid w:val="003673E6"/>
    <w:rsid w:val="00371E7E"/>
    <w:rsid w:val="00377264"/>
    <w:rsid w:val="003779D2"/>
    <w:rsid w:val="0038199E"/>
    <w:rsid w:val="00385355"/>
    <w:rsid w:val="00385E38"/>
    <w:rsid w:val="00386795"/>
    <w:rsid w:val="00394F7F"/>
    <w:rsid w:val="003A26A5"/>
    <w:rsid w:val="003A3761"/>
    <w:rsid w:val="003A512D"/>
    <w:rsid w:val="003A5FEA"/>
    <w:rsid w:val="003A710B"/>
    <w:rsid w:val="003B1D10"/>
    <w:rsid w:val="003B57A0"/>
    <w:rsid w:val="003C310C"/>
    <w:rsid w:val="003C76D4"/>
    <w:rsid w:val="003D137D"/>
    <w:rsid w:val="003D2CC5"/>
    <w:rsid w:val="003D3E5C"/>
    <w:rsid w:val="003D65C1"/>
    <w:rsid w:val="003E04C1"/>
    <w:rsid w:val="003E0887"/>
    <w:rsid w:val="003E3865"/>
    <w:rsid w:val="003E74C8"/>
    <w:rsid w:val="003E74E2"/>
    <w:rsid w:val="003E7C46"/>
    <w:rsid w:val="003F2106"/>
    <w:rsid w:val="003F44BE"/>
    <w:rsid w:val="003F52A7"/>
    <w:rsid w:val="003F7013"/>
    <w:rsid w:val="003F7F6A"/>
    <w:rsid w:val="0040240C"/>
    <w:rsid w:val="004034CE"/>
    <w:rsid w:val="00413021"/>
    <w:rsid w:val="00414C35"/>
    <w:rsid w:val="004171B7"/>
    <w:rsid w:val="00420D66"/>
    <w:rsid w:val="00424C53"/>
    <w:rsid w:val="004301C6"/>
    <w:rsid w:val="00433FB2"/>
    <w:rsid w:val="0043478F"/>
    <w:rsid w:val="0043602B"/>
    <w:rsid w:val="004367D2"/>
    <w:rsid w:val="00440BE0"/>
    <w:rsid w:val="00440F14"/>
    <w:rsid w:val="00442A06"/>
    <w:rsid w:val="00442C1C"/>
    <w:rsid w:val="0044584B"/>
    <w:rsid w:val="00447CB7"/>
    <w:rsid w:val="00455CC9"/>
    <w:rsid w:val="00460826"/>
    <w:rsid w:val="00460B1E"/>
    <w:rsid w:val="00460EA7"/>
    <w:rsid w:val="0046195B"/>
    <w:rsid w:val="0046210D"/>
    <w:rsid w:val="0046362D"/>
    <w:rsid w:val="0046596D"/>
    <w:rsid w:val="004751DA"/>
    <w:rsid w:val="00475F27"/>
    <w:rsid w:val="00482202"/>
    <w:rsid w:val="004852AB"/>
    <w:rsid w:val="00487C04"/>
    <w:rsid w:val="004907E1"/>
    <w:rsid w:val="00490900"/>
    <w:rsid w:val="00494C8E"/>
    <w:rsid w:val="004A035B"/>
    <w:rsid w:val="004A13D1"/>
    <w:rsid w:val="004A1E15"/>
    <w:rsid w:val="004A2108"/>
    <w:rsid w:val="004A38D7"/>
    <w:rsid w:val="004A5C95"/>
    <w:rsid w:val="004A778C"/>
    <w:rsid w:val="004B14DD"/>
    <w:rsid w:val="004B3536"/>
    <w:rsid w:val="004B48C7"/>
    <w:rsid w:val="004B7926"/>
    <w:rsid w:val="004C2E6A"/>
    <w:rsid w:val="004C64B8"/>
    <w:rsid w:val="004D2A2D"/>
    <w:rsid w:val="004D3914"/>
    <w:rsid w:val="004D479F"/>
    <w:rsid w:val="004D6689"/>
    <w:rsid w:val="004E1D1D"/>
    <w:rsid w:val="004E2375"/>
    <w:rsid w:val="004E333C"/>
    <w:rsid w:val="004E3A1B"/>
    <w:rsid w:val="004E7AC8"/>
    <w:rsid w:val="004F05F4"/>
    <w:rsid w:val="004F0C94"/>
    <w:rsid w:val="004F4ABE"/>
    <w:rsid w:val="005019AE"/>
    <w:rsid w:val="00503749"/>
    <w:rsid w:val="00503D59"/>
    <w:rsid w:val="00504CF4"/>
    <w:rsid w:val="0050635B"/>
    <w:rsid w:val="005075B3"/>
    <w:rsid w:val="00511891"/>
    <w:rsid w:val="005151C2"/>
    <w:rsid w:val="00515750"/>
    <w:rsid w:val="00522A41"/>
    <w:rsid w:val="005275E8"/>
    <w:rsid w:val="00530526"/>
    <w:rsid w:val="005309FE"/>
    <w:rsid w:val="0053199F"/>
    <w:rsid w:val="00531E12"/>
    <w:rsid w:val="00533B90"/>
    <w:rsid w:val="005410F8"/>
    <w:rsid w:val="005448EC"/>
    <w:rsid w:val="0054528E"/>
    <w:rsid w:val="00545963"/>
    <w:rsid w:val="00550256"/>
    <w:rsid w:val="00553165"/>
    <w:rsid w:val="00553958"/>
    <w:rsid w:val="00556BB7"/>
    <w:rsid w:val="0055763D"/>
    <w:rsid w:val="00561516"/>
    <w:rsid w:val="005621F2"/>
    <w:rsid w:val="00567B58"/>
    <w:rsid w:val="00571223"/>
    <w:rsid w:val="005756F8"/>
    <w:rsid w:val="005758A5"/>
    <w:rsid w:val="005763E0"/>
    <w:rsid w:val="00576C17"/>
    <w:rsid w:val="00581136"/>
    <w:rsid w:val="00581EB8"/>
    <w:rsid w:val="005827A6"/>
    <w:rsid w:val="005839E7"/>
    <w:rsid w:val="0058437F"/>
    <w:rsid w:val="0059368A"/>
    <w:rsid w:val="005A27CA"/>
    <w:rsid w:val="005A43BD"/>
    <w:rsid w:val="005A5C19"/>
    <w:rsid w:val="005A7968"/>
    <w:rsid w:val="005A79E5"/>
    <w:rsid w:val="005B59F3"/>
    <w:rsid w:val="005B68A6"/>
    <w:rsid w:val="005D034C"/>
    <w:rsid w:val="005D50B4"/>
    <w:rsid w:val="005E11C7"/>
    <w:rsid w:val="005E226E"/>
    <w:rsid w:val="005E2636"/>
    <w:rsid w:val="005E522D"/>
    <w:rsid w:val="005F0388"/>
    <w:rsid w:val="005F6B52"/>
    <w:rsid w:val="006015D7"/>
    <w:rsid w:val="00601B21"/>
    <w:rsid w:val="006041F0"/>
    <w:rsid w:val="00605BE8"/>
    <w:rsid w:val="00605C6D"/>
    <w:rsid w:val="00606CDC"/>
    <w:rsid w:val="00610487"/>
    <w:rsid w:val="006120CA"/>
    <w:rsid w:val="0061443A"/>
    <w:rsid w:val="00624174"/>
    <w:rsid w:val="00626CF8"/>
    <w:rsid w:val="006314AF"/>
    <w:rsid w:val="006331CD"/>
    <w:rsid w:val="00634003"/>
    <w:rsid w:val="006342BC"/>
    <w:rsid w:val="00634ED8"/>
    <w:rsid w:val="00635292"/>
    <w:rsid w:val="00636D7D"/>
    <w:rsid w:val="00637408"/>
    <w:rsid w:val="00642868"/>
    <w:rsid w:val="0064643B"/>
    <w:rsid w:val="00647AFE"/>
    <w:rsid w:val="00650417"/>
    <w:rsid w:val="006512BC"/>
    <w:rsid w:val="006524E1"/>
    <w:rsid w:val="00653A5A"/>
    <w:rsid w:val="006554AC"/>
    <w:rsid w:val="00656F28"/>
    <w:rsid w:val="006575F4"/>
    <w:rsid w:val="006579E6"/>
    <w:rsid w:val="00660682"/>
    <w:rsid w:val="00660B90"/>
    <w:rsid w:val="00660F74"/>
    <w:rsid w:val="00663EDC"/>
    <w:rsid w:val="00671058"/>
    <w:rsid w:val="00671078"/>
    <w:rsid w:val="006758CA"/>
    <w:rsid w:val="00680A04"/>
    <w:rsid w:val="00686D80"/>
    <w:rsid w:val="00694895"/>
    <w:rsid w:val="00697E2E"/>
    <w:rsid w:val="006A25A2"/>
    <w:rsid w:val="006A3B87"/>
    <w:rsid w:val="006B0A88"/>
    <w:rsid w:val="006B0E73"/>
    <w:rsid w:val="006B1A77"/>
    <w:rsid w:val="006B1E3D"/>
    <w:rsid w:val="006B4A4D"/>
    <w:rsid w:val="006B4D1E"/>
    <w:rsid w:val="006B5695"/>
    <w:rsid w:val="006B62E6"/>
    <w:rsid w:val="006B7B2E"/>
    <w:rsid w:val="006C06DD"/>
    <w:rsid w:val="006C78EB"/>
    <w:rsid w:val="006D1660"/>
    <w:rsid w:val="006D63E5"/>
    <w:rsid w:val="006E1753"/>
    <w:rsid w:val="006E2886"/>
    <w:rsid w:val="006E31C4"/>
    <w:rsid w:val="006E3911"/>
    <w:rsid w:val="006E69F4"/>
    <w:rsid w:val="006F1B67"/>
    <w:rsid w:val="006F4D9C"/>
    <w:rsid w:val="006F5C10"/>
    <w:rsid w:val="006F7BA5"/>
    <w:rsid w:val="0070091D"/>
    <w:rsid w:val="00702088"/>
    <w:rsid w:val="00702854"/>
    <w:rsid w:val="00703E43"/>
    <w:rsid w:val="00707425"/>
    <w:rsid w:val="00712491"/>
    <w:rsid w:val="0071741C"/>
    <w:rsid w:val="00725D81"/>
    <w:rsid w:val="00726C84"/>
    <w:rsid w:val="007348D8"/>
    <w:rsid w:val="00742B90"/>
    <w:rsid w:val="0074406E"/>
    <w:rsid w:val="0074434D"/>
    <w:rsid w:val="00752E53"/>
    <w:rsid w:val="00755398"/>
    <w:rsid w:val="00756F86"/>
    <w:rsid w:val="007570C4"/>
    <w:rsid w:val="0075746C"/>
    <w:rsid w:val="00760057"/>
    <w:rsid w:val="007605B8"/>
    <w:rsid w:val="007625C0"/>
    <w:rsid w:val="007653E3"/>
    <w:rsid w:val="0077112D"/>
    <w:rsid w:val="00771B1E"/>
    <w:rsid w:val="00773C95"/>
    <w:rsid w:val="00774AB9"/>
    <w:rsid w:val="0078171E"/>
    <w:rsid w:val="0078658E"/>
    <w:rsid w:val="007866BC"/>
    <w:rsid w:val="00790AD3"/>
    <w:rsid w:val="007920E2"/>
    <w:rsid w:val="007953D4"/>
    <w:rsid w:val="0079566E"/>
    <w:rsid w:val="00795B34"/>
    <w:rsid w:val="007A067F"/>
    <w:rsid w:val="007B1770"/>
    <w:rsid w:val="007B4D3E"/>
    <w:rsid w:val="007B7C70"/>
    <w:rsid w:val="007B7DEB"/>
    <w:rsid w:val="007C0449"/>
    <w:rsid w:val="007C43B6"/>
    <w:rsid w:val="007D059F"/>
    <w:rsid w:val="007D2151"/>
    <w:rsid w:val="007D3803"/>
    <w:rsid w:val="007D3B90"/>
    <w:rsid w:val="007D42CC"/>
    <w:rsid w:val="007D5DE4"/>
    <w:rsid w:val="007D7C3A"/>
    <w:rsid w:val="007E0205"/>
    <w:rsid w:val="007E0777"/>
    <w:rsid w:val="007E1341"/>
    <w:rsid w:val="007E1AE6"/>
    <w:rsid w:val="007E1B41"/>
    <w:rsid w:val="007E1EC4"/>
    <w:rsid w:val="007E30B9"/>
    <w:rsid w:val="007E537A"/>
    <w:rsid w:val="007E611C"/>
    <w:rsid w:val="007E74F1"/>
    <w:rsid w:val="007F0F0C"/>
    <w:rsid w:val="007F1288"/>
    <w:rsid w:val="007F3E11"/>
    <w:rsid w:val="00800A8A"/>
    <w:rsid w:val="0080155C"/>
    <w:rsid w:val="008017DC"/>
    <w:rsid w:val="00805141"/>
    <w:rsid w:val="008052E1"/>
    <w:rsid w:val="00811EEB"/>
    <w:rsid w:val="0082081A"/>
    <w:rsid w:val="00822D9D"/>
    <w:rsid w:val="00822F2C"/>
    <w:rsid w:val="00823DEE"/>
    <w:rsid w:val="008305E8"/>
    <w:rsid w:val="00836165"/>
    <w:rsid w:val="008365B2"/>
    <w:rsid w:val="0084640C"/>
    <w:rsid w:val="00856088"/>
    <w:rsid w:val="0085711A"/>
    <w:rsid w:val="00860826"/>
    <w:rsid w:val="00860E21"/>
    <w:rsid w:val="00862272"/>
    <w:rsid w:val="00863117"/>
    <w:rsid w:val="0086388B"/>
    <w:rsid w:val="008642E5"/>
    <w:rsid w:val="00864488"/>
    <w:rsid w:val="00870A36"/>
    <w:rsid w:val="00871394"/>
    <w:rsid w:val="00871507"/>
    <w:rsid w:val="00872D93"/>
    <w:rsid w:val="00880470"/>
    <w:rsid w:val="00880D94"/>
    <w:rsid w:val="008814E8"/>
    <w:rsid w:val="008823F8"/>
    <w:rsid w:val="00886F64"/>
    <w:rsid w:val="008924DE"/>
    <w:rsid w:val="008A09FC"/>
    <w:rsid w:val="008A3755"/>
    <w:rsid w:val="008B19DC"/>
    <w:rsid w:val="008B264F"/>
    <w:rsid w:val="008B5640"/>
    <w:rsid w:val="008B5D08"/>
    <w:rsid w:val="008B6F83"/>
    <w:rsid w:val="008B7FD8"/>
    <w:rsid w:val="008C187C"/>
    <w:rsid w:val="008C2973"/>
    <w:rsid w:val="008C6324"/>
    <w:rsid w:val="008C64C4"/>
    <w:rsid w:val="008C66DB"/>
    <w:rsid w:val="008D2CDD"/>
    <w:rsid w:val="008D74D5"/>
    <w:rsid w:val="008D7C9F"/>
    <w:rsid w:val="008E04BA"/>
    <w:rsid w:val="008E0ED1"/>
    <w:rsid w:val="008E155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231A"/>
    <w:rsid w:val="0095565C"/>
    <w:rsid w:val="00964AB6"/>
    <w:rsid w:val="00966B34"/>
    <w:rsid w:val="00966F9A"/>
    <w:rsid w:val="00975115"/>
    <w:rsid w:val="00977B8A"/>
    <w:rsid w:val="00982971"/>
    <w:rsid w:val="009845AD"/>
    <w:rsid w:val="00984835"/>
    <w:rsid w:val="009918A6"/>
    <w:rsid w:val="009933EF"/>
    <w:rsid w:val="00995BA0"/>
    <w:rsid w:val="009A27DA"/>
    <w:rsid w:val="009A2D24"/>
    <w:rsid w:val="009A418B"/>
    <w:rsid w:val="009A426F"/>
    <w:rsid w:val="009A42D5"/>
    <w:rsid w:val="009A4473"/>
    <w:rsid w:val="009B05C9"/>
    <w:rsid w:val="009B0715"/>
    <w:rsid w:val="009B286C"/>
    <w:rsid w:val="009C151C"/>
    <w:rsid w:val="009C440A"/>
    <w:rsid w:val="009C6E70"/>
    <w:rsid w:val="009D2A09"/>
    <w:rsid w:val="009D3F99"/>
    <w:rsid w:val="009D5125"/>
    <w:rsid w:val="009D5457"/>
    <w:rsid w:val="009D60B8"/>
    <w:rsid w:val="009D7D4B"/>
    <w:rsid w:val="009E36ED"/>
    <w:rsid w:val="009E3B47"/>
    <w:rsid w:val="009E3C8C"/>
    <w:rsid w:val="009E5286"/>
    <w:rsid w:val="009E624D"/>
    <w:rsid w:val="009E6B77"/>
    <w:rsid w:val="009F4372"/>
    <w:rsid w:val="009F460A"/>
    <w:rsid w:val="00A0000C"/>
    <w:rsid w:val="00A002DB"/>
    <w:rsid w:val="00A02A3C"/>
    <w:rsid w:val="00A043FB"/>
    <w:rsid w:val="00A05086"/>
    <w:rsid w:val="00A06BE4"/>
    <w:rsid w:val="00A0729C"/>
    <w:rsid w:val="00A073CF"/>
    <w:rsid w:val="00A07779"/>
    <w:rsid w:val="00A1166A"/>
    <w:rsid w:val="00A20B2E"/>
    <w:rsid w:val="00A24770"/>
    <w:rsid w:val="00A24F33"/>
    <w:rsid w:val="00A25069"/>
    <w:rsid w:val="00A26E6B"/>
    <w:rsid w:val="00A3068F"/>
    <w:rsid w:val="00A3145B"/>
    <w:rsid w:val="00A339D0"/>
    <w:rsid w:val="00A3415C"/>
    <w:rsid w:val="00A41002"/>
    <w:rsid w:val="00A4201A"/>
    <w:rsid w:val="00A5465D"/>
    <w:rsid w:val="00A553CE"/>
    <w:rsid w:val="00A5677A"/>
    <w:rsid w:val="00A56DCC"/>
    <w:rsid w:val="00A613AF"/>
    <w:rsid w:val="00A625E8"/>
    <w:rsid w:val="00A631C3"/>
    <w:rsid w:val="00A63DFF"/>
    <w:rsid w:val="00A64496"/>
    <w:rsid w:val="00A6490D"/>
    <w:rsid w:val="00A67033"/>
    <w:rsid w:val="00A700B2"/>
    <w:rsid w:val="00A7415D"/>
    <w:rsid w:val="00A80363"/>
    <w:rsid w:val="00A80939"/>
    <w:rsid w:val="00A83E9D"/>
    <w:rsid w:val="00A87C05"/>
    <w:rsid w:val="00A9169D"/>
    <w:rsid w:val="00A93598"/>
    <w:rsid w:val="00A97A3A"/>
    <w:rsid w:val="00AA0496"/>
    <w:rsid w:val="00AA240C"/>
    <w:rsid w:val="00AB0332"/>
    <w:rsid w:val="00AB71F7"/>
    <w:rsid w:val="00AC101C"/>
    <w:rsid w:val="00AC4558"/>
    <w:rsid w:val="00AC489F"/>
    <w:rsid w:val="00AD4CF1"/>
    <w:rsid w:val="00AD5988"/>
    <w:rsid w:val="00AD6293"/>
    <w:rsid w:val="00AE1643"/>
    <w:rsid w:val="00AE16AF"/>
    <w:rsid w:val="00AE539E"/>
    <w:rsid w:val="00AF372E"/>
    <w:rsid w:val="00AF7800"/>
    <w:rsid w:val="00B00CF5"/>
    <w:rsid w:val="00B024F5"/>
    <w:rsid w:val="00B04E6C"/>
    <w:rsid w:val="00B072E0"/>
    <w:rsid w:val="00B1007E"/>
    <w:rsid w:val="00B12B2A"/>
    <w:rsid w:val="00B13D41"/>
    <w:rsid w:val="00B22873"/>
    <w:rsid w:val="00B253F6"/>
    <w:rsid w:val="00B26675"/>
    <w:rsid w:val="00B26A0A"/>
    <w:rsid w:val="00B305DB"/>
    <w:rsid w:val="00B305F6"/>
    <w:rsid w:val="00B30B75"/>
    <w:rsid w:val="00B332F8"/>
    <w:rsid w:val="00B3492B"/>
    <w:rsid w:val="00B4008E"/>
    <w:rsid w:val="00B4341A"/>
    <w:rsid w:val="00B441E1"/>
    <w:rsid w:val="00B4646F"/>
    <w:rsid w:val="00B55C7D"/>
    <w:rsid w:val="00B56592"/>
    <w:rsid w:val="00B62EFE"/>
    <w:rsid w:val="00B63038"/>
    <w:rsid w:val="00B63785"/>
    <w:rsid w:val="00B64BD8"/>
    <w:rsid w:val="00B701D1"/>
    <w:rsid w:val="00B711F0"/>
    <w:rsid w:val="00B73AF2"/>
    <w:rsid w:val="00B73D79"/>
    <w:rsid w:val="00B7551A"/>
    <w:rsid w:val="00B773F1"/>
    <w:rsid w:val="00B86AB1"/>
    <w:rsid w:val="00B87726"/>
    <w:rsid w:val="00B91B22"/>
    <w:rsid w:val="00BA40E1"/>
    <w:rsid w:val="00BA7EBA"/>
    <w:rsid w:val="00BB2A06"/>
    <w:rsid w:val="00BB2CBB"/>
    <w:rsid w:val="00BB4198"/>
    <w:rsid w:val="00BB6F9B"/>
    <w:rsid w:val="00BC03EE"/>
    <w:rsid w:val="00BC59F1"/>
    <w:rsid w:val="00BD488E"/>
    <w:rsid w:val="00BD59EB"/>
    <w:rsid w:val="00BE06F8"/>
    <w:rsid w:val="00BF16CD"/>
    <w:rsid w:val="00BF3DE1"/>
    <w:rsid w:val="00BF4843"/>
    <w:rsid w:val="00BF5205"/>
    <w:rsid w:val="00C05132"/>
    <w:rsid w:val="00C11B3F"/>
    <w:rsid w:val="00C12508"/>
    <w:rsid w:val="00C23728"/>
    <w:rsid w:val="00C239E7"/>
    <w:rsid w:val="00C3026C"/>
    <w:rsid w:val="00C313A9"/>
    <w:rsid w:val="00C347C8"/>
    <w:rsid w:val="00C358E4"/>
    <w:rsid w:val="00C418EE"/>
    <w:rsid w:val="00C441CF"/>
    <w:rsid w:val="00C45AA2"/>
    <w:rsid w:val="00C4792C"/>
    <w:rsid w:val="00C55BEF"/>
    <w:rsid w:val="00C57C00"/>
    <w:rsid w:val="00C601AF"/>
    <w:rsid w:val="00C61A63"/>
    <w:rsid w:val="00C64C32"/>
    <w:rsid w:val="00C6604E"/>
    <w:rsid w:val="00C66296"/>
    <w:rsid w:val="00C6695D"/>
    <w:rsid w:val="00C7394D"/>
    <w:rsid w:val="00C73A06"/>
    <w:rsid w:val="00C756B7"/>
    <w:rsid w:val="00C77282"/>
    <w:rsid w:val="00C84DE5"/>
    <w:rsid w:val="00C86248"/>
    <w:rsid w:val="00C90B31"/>
    <w:rsid w:val="00C90C3F"/>
    <w:rsid w:val="00CA0D6F"/>
    <w:rsid w:val="00CA43C1"/>
    <w:rsid w:val="00CA4C33"/>
    <w:rsid w:val="00CA6F4A"/>
    <w:rsid w:val="00CB3483"/>
    <w:rsid w:val="00CB6427"/>
    <w:rsid w:val="00CB7638"/>
    <w:rsid w:val="00CC0FBE"/>
    <w:rsid w:val="00CD077C"/>
    <w:rsid w:val="00CD2119"/>
    <w:rsid w:val="00CD237A"/>
    <w:rsid w:val="00CD36AC"/>
    <w:rsid w:val="00CE13A3"/>
    <w:rsid w:val="00CE36BC"/>
    <w:rsid w:val="00CF1747"/>
    <w:rsid w:val="00CF60ED"/>
    <w:rsid w:val="00D02A79"/>
    <w:rsid w:val="00D05D74"/>
    <w:rsid w:val="00D20C59"/>
    <w:rsid w:val="00D22249"/>
    <w:rsid w:val="00D23323"/>
    <w:rsid w:val="00D2392A"/>
    <w:rsid w:val="00D25FFE"/>
    <w:rsid w:val="00D27922"/>
    <w:rsid w:val="00D27A64"/>
    <w:rsid w:val="00D27F5A"/>
    <w:rsid w:val="00D371B0"/>
    <w:rsid w:val="00D37D80"/>
    <w:rsid w:val="00D442F3"/>
    <w:rsid w:val="00D44483"/>
    <w:rsid w:val="00D4476F"/>
    <w:rsid w:val="00D50573"/>
    <w:rsid w:val="00D51410"/>
    <w:rsid w:val="00D54D50"/>
    <w:rsid w:val="00D560B4"/>
    <w:rsid w:val="00D604E1"/>
    <w:rsid w:val="00D662F8"/>
    <w:rsid w:val="00D66797"/>
    <w:rsid w:val="00D7087C"/>
    <w:rsid w:val="00D70C3C"/>
    <w:rsid w:val="00D71DF7"/>
    <w:rsid w:val="00D72BE5"/>
    <w:rsid w:val="00D81462"/>
    <w:rsid w:val="00D81918"/>
    <w:rsid w:val="00D82431"/>
    <w:rsid w:val="00D82F26"/>
    <w:rsid w:val="00D863D0"/>
    <w:rsid w:val="00D86B00"/>
    <w:rsid w:val="00D86FB9"/>
    <w:rsid w:val="00D87C87"/>
    <w:rsid w:val="00D90BB4"/>
    <w:rsid w:val="00D90C9C"/>
    <w:rsid w:val="00D90E07"/>
    <w:rsid w:val="00D91B74"/>
    <w:rsid w:val="00D932C2"/>
    <w:rsid w:val="00D95A0C"/>
    <w:rsid w:val="00DA0232"/>
    <w:rsid w:val="00DA3956"/>
    <w:rsid w:val="00DA5314"/>
    <w:rsid w:val="00DA622E"/>
    <w:rsid w:val="00DA7F9E"/>
    <w:rsid w:val="00DB39CF"/>
    <w:rsid w:val="00DB7256"/>
    <w:rsid w:val="00DC0401"/>
    <w:rsid w:val="00DC1544"/>
    <w:rsid w:val="00DC20BD"/>
    <w:rsid w:val="00DD0BCD"/>
    <w:rsid w:val="00DD447A"/>
    <w:rsid w:val="00DE19EF"/>
    <w:rsid w:val="00DE3B20"/>
    <w:rsid w:val="00DE6C94"/>
    <w:rsid w:val="00DE6FD7"/>
    <w:rsid w:val="00DF0C7C"/>
    <w:rsid w:val="00DF232E"/>
    <w:rsid w:val="00DF37C5"/>
    <w:rsid w:val="00DF6931"/>
    <w:rsid w:val="00E06BD5"/>
    <w:rsid w:val="00E10B18"/>
    <w:rsid w:val="00E1258D"/>
    <w:rsid w:val="00E22993"/>
    <w:rsid w:val="00E23271"/>
    <w:rsid w:val="00E23DDB"/>
    <w:rsid w:val="00E24F80"/>
    <w:rsid w:val="00E259F3"/>
    <w:rsid w:val="00E30985"/>
    <w:rsid w:val="00E33238"/>
    <w:rsid w:val="00E33934"/>
    <w:rsid w:val="00E376B7"/>
    <w:rsid w:val="00E42F5D"/>
    <w:rsid w:val="00E4486C"/>
    <w:rsid w:val="00E460B6"/>
    <w:rsid w:val="00E511D5"/>
    <w:rsid w:val="00E53A9F"/>
    <w:rsid w:val="00E56723"/>
    <w:rsid w:val="00E57349"/>
    <w:rsid w:val="00E60249"/>
    <w:rsid w:val="00E62238"/>
    <w:rsid w:val="00E65269"/>
    <w:rsid w:val="00E724F3"/>
    <w:rsid w:val="00E76D66"/>
    <w:rsid w:val="00E80820"/>
    <w:rsid w:val="00E81759"/>
    <w:rsid w:val="00E93C5A"/>
    <w:rsid w:val="00EA6AC2"/>
    <w:rsid w:val="00EA796A"/>
    <w:rsid w:val="00EB1856"/>
    <w:rsid w:val="00EC50CE"/>
    <w:rsid w:val="00EC5B34"/>
    <w:rsid w:val="00ED021E"/>
    <w:rsid w:val="00ED323C"/>
    <w:rsid w:val="00ED778C"/>
    <w:rsid w:val="00EE2D5C"/>
    <w:rsid w:val="00EE441A"/>
    <w:rsid w:val="00EE4ADE"/>
    <w:rsid w:val="00EE4DE8"/>
    <w:rsid w:val="00EE5CB7"/>
    <w:rsid w:val="00F000BF"/>
    <w:rsid w:val="00F024FE"/>
    <w:rsid w:val="00F05AD4"/>
    <w:rsid w:val="00F103BE"/>
    <w:rsid w:val="00F10EB6"/>
    <w:rsid w:val="00F11E28"/>
    <w:rsid w:val="00F13F07"/>
    <w:rsid w:val="00F140B2"/>
    <w:rsid w:val="00F16595"/>
    <w:rsid w:val="00F251E8"/>
    <w:rsid w:val="00F25970"/>
    <w:rsid w:val="00F2637E"/>
    <w:rsid w:val="00F311A9"/>
    <w:rsid w:val="00F31343"/>
    <w:rsid w:val="00F37381"/>
    <w:rsid w:val="00F420B1"/>
    <w:rsid w:val="00F434C9"/>
    <w:rsid w:val="00F5180D"/>
    <w:rsid w:val="00F54E74"/>
    <w:rsid w:val="00F61ED4"/>
    <w:rsid w:val="00F63781"/>
    <w:rsid w:val="00F6576A"/>
    <w:rsid w:val="00F67496"/>
    <w:rsid w:val="00F7308E"/>
    <w:rsid w:val="00F7421E"/>
    <w:rsid w:val="00F745DE"/>
    <w:rsid w:val="00F75409"/>
    <w:rsid w:val="00F801BA"/>
    <w:rsid w:val="00F807AD"/>
    <w:rsid w:val="00F8400D"/>
    <w:rsid w:val="00F9366A"/>
    <w:rsid w:val="00F946C9"/>
    <w:rsid w:val="00FA0EA5"/>
    <w:rsid w:val="00FA26D9"/>
    <w:rsid w:val="00FA4E01"/>
    <w:rsid w:val="00FA68C7"/>
    <w:rsid w:val="00FA6910"/>
    <w:rsid w:val="00FA74EE"/>
    <w:rsid w:val="00FB0A5B"/>
    <w:rsid w:val="00FB554D"/>
    <w:rsid w:val="00FC09F7"/>
    <w:rsid w:val="00FC3711"/>
    <w:rsid w:val="00FC46E7"/>
    <w:rsid w:val="00FC5D25"/>
    <w:rsid w:val="00FD0D7E"/>
    <w:rsid w:val="00FD16C4"/>
    <w:rsid w:val="00FD362F"/>
    <w:rsid w:val="00FD47FE"/>
    <w:rsid w:val="00FD4DEB"/>
    <w:rsid w:val="00FD4FFB"/>
    <w:rsid w:val="00FE022F"/>
    <w:rsid w:val="00FE4E99"/>
    <w:rsid w:val="00FE5FFD"/>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48F56"/>
  <w15:docId w15:val="{5EAD1331-0341-414E-977D-70DF392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39E"/>
    <w:pPr>
      <w:spacing w:before="180" w:line="264" w:lineRule="auto"/>
    </w:pPr>
    <w:rPr>
      <w:rFonts w:ascii="Avenir" w:hAnsi="Avenir"/>
      <w:sz w:val="22"/>
      <w:lang w:eastAsia="en-GB"/>
    </w:rPr>
  </w:style>
  <w:style w:type="paragraph" w:styleId="Heading1">
    <w:name w:val="heading 1"/>
    <w:basedOn w:val="Normal"/>
    <w:next w:val="Normal"/>
    <w:link w:val="Heading1Char"/>
    <w:uiPriority w:val="9"/>
    <w:qFormat/>
    <w:rsid w:val="00AE539E"/>
    <w:pPr>
      <w:pageBreakBefore/>
      <w:numPr>
        <w:numId w:val="6"/>
      </w:numPr>
      <w:pBdr>
        <w:bottom w:val="single" w:sz="18" w:space="3" w:color="076283"/>
      </w:pBdr>
      <w:spacing w:before="0" w:after="600"/>
      <w:outlineLvl w:val="0"/>
    </w:pPr>
    <w:rPr>
      <w:rFonts w:ascii="Avenir Black" w:hAnsi="Avenir Black"/>
      <w:b/>
      <w:color w:val="076283"/>
      <w:sz w:val="36"/>
    </w:rPr>
  </w:style>
  <w:style w:type="paragraph" w:styleId="Heading2">
    <w:name w:val="heading 2"/>
    <w:basedOn w:val="Normal"/>
    <w:next w:val="Normal"/>
    <w:link w:val="Heading2Char"/>
    <w:uiPriority w:val="1"/>
    <w:qFormat/>
    <w:rsid w:val="00AE539E"/>
    <w:pPr>
      <w:keepNext/>
      <w:numPr>
        <w:ilvl w:val="1"/>
        <w:numId w:val="6"/>
      </w:numPr>
      <w:spacing w:before="720" w:line="240" w:lineRule="auto"/>
      <w:outlineLvl w:val="1"/>
    </w:pPr>
    <w:rPr>
      <w:rFonts w:ascii="Avenir Black" w:hAnsi="Avenir Black"/>
      <w:b/>
      <w:color w:val="076283"/>
      <w:sz w:val="28"/>
    </w:rPr>
  </w:style>
  <w:style w:type="paragraph" w:styleId="Heading3">
    <w:name w:val="heading 3"/>
    <w:basedOn w:val="Normal"/>
    <w:next w:val="Normal"/>
    <w:link w:val="Heading3Char"/>
    <w:uiPriority w:val="1"/>
    <w:qFormat/>
    <w:rsid w:val="009C6E70"/>
    <w:pPr>
      <w:keepNext/>
      <w:numPr>
        <w:ilvl w:val="2"/>
        <w:numId w:val="6"/>
      </w:numPr>
      <w:spacing w:before="480" w:line="240" w:lineRule="auto"/>
      <w:outlineLvl w:val="2"/>
    </w:pPr>
    <w:rPr>
      <w:b/>
      <w:sz w:val="24"/>
    </w:rPr>
  </w:style>
  <w:style w:type="paragraph" w:styleId="Heading4">
    <w:name w:val="heading 4"/>
    <w:basedOn w:val="Normal"/>
    <w:next w:val="Normal"/>
    <w:link w:val="Heading4Char"/>
    <w:uiPriority w:val="1"/>
    <w:qFormat/>
    <w:rsid w:val="00420D66"/>
    <w:pPr>
      <w:keepNext/>
      <w:spacing w:before="360" w:line="240" w:lineRule="auto"/>
      <w:outlineLvl w:val="3"/>
    </w:pPr>
    <w:rPr>
      <w:b/>
      <w:i/>
    </w:rPr>
  </w:style>
  <w:style w:type="paragraph" w:styleId="Heading5">
    <w:name w:val="heading 5"/>
    <w:basedOn w:val="Normal"/>
    <w:next w:val="Normal"/>
    <w:link w:val="Heading5Char"/>
    <w:uiPriority w:val="9"/>
    <w:qFormat/>
    <w:rsid w:val="00337838"/>
    <w:pPr>
      <w:keepNext/>
      <w:spacing w:before="240" w:line="240" w:lineRule="auto"/>
      <w:outlineLvl w:val="4"/>
    </w:pPr>
    <w:rPr>
      <w:color w:val="076283"/>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39E"/>
    <w:rPr>
      <w:rFonts w:ascii="Avenir Black" w:hAnsi="Avenir Black"/>
      <w:b/>
      <w:color w:val="076283"/>
      <w:sz w:val="36"/>
      <w:lang w:eastAsia="en-GB"/>
    </w:rPr>
  </w:style>
  <w:style w:type="character" w:customStyle="1" w:styleId="Heading2Char">
    <w:name w:val="Heading 2 Char"/>
    <w:link w:val="Heading2"/>
    <w:uiPriority w:val="1"/>
    <w:rsid w:val="00AE539E"/>
    <w:rPr>
      <w:rFonts w:ascii="Avenir Black" w:hAnsi="Avenir Black"/>
      <w:b/>
      <w:color w:val="076283"/>
      <w:sz w:val="28"/>
      <w:lang w:eastAsia="en-GB"/>
    </w:rPr>
  </w:style>
  <w:style w:type="character" w:customStyle="1" w:styleId="Heading3Char">
    <w:name w:val="Heading 3 Char"/>
    <w:link w:val="Heading3"/>
    <w:uiPriority w:val="1"/>
    <w:rsid w:val="009C6E70"/>
    <w:rPr>
      <w:rFonts w:ascii="Avenir" w:hAnsi="Avenir"/>
      <w:b/>
      <w:sz w:val="24"/>
      <w:lang w:eastAsia="en-GB"/>
    </w:rPr>
  </w:style>
  <w:style w:type="character" w:customStyle="1" w:styleId="Heading4Char">
    <w:name w:val="Heading 4 Char"/>
    <w:link w:val="Heading4"/>
    <w:uiPriority w:val="1"/>
    <w:rsid w:val="00420D66"/>
    <w:rPr>
      <w:rFonts w:ascii="Arial" w:hAnsi="Arial"/>
      <w:b/>
      <w:i/>
      <w:sz w:val="22"/>
      <w:lang w:eastAsia="en-GB"/>
    </w:rPr>
  </w:style>
  <w:style w:type="character" w:customStyle="1" w:styleId="Heading5Char">
    <w:name w:val="Heading 5 Char"/>
    <w:link w:val="Heading5"/>
    <w:uiPriority w:val="9"/>
    <w:rsid w:val="00337838"/>
    <w:rPr>
      <w:rFonts w:ascii="Arial" w:hAnsi="Arial"/>
      <w:color w:val="076283"/>
      <w:sz w:val="22"/>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46210D"/>
    <w:pPr>
      <w:tabs>
        <w:tab w:val="right" w:leader="dot" w:pos="8789"/>
      </w:tabs>
      <w:spacing w:before="360" w:line="240" w:lineRule="auto"/>
      <w:ind w:right="567"/>
    </w:pPr>
    <w:rPr>
      <w:b/>
    </w:rPr>
  </w:style>
  <w:style w:type="paragraph" w:styleId="TOC2">
    <w:name w:val="toc 2"/>
    <w:basedOn w:val="Normal"/>
    <w:next w:val="Normal"/>
    <w:uiPriority w:val="39"/>
    <w:qFormat/>
    <w:rsid w:val="008017DC"/>
    <w:pPr>
      <w:tabs>
        <w:tab w:val="right" w:leader="dot" w:pos="8789"/>
      </w:tabs>
      <w:spacing w:before="150" w:line="240" w:lineRule="auto"/>
      <w:ind w:left="567" w:right="567" w:hanging="567"/>
    </w:pPr>
  </w:style>
  <w:style w:type="paragraph" w:styleId="TOC3">
    <w:name w:val="toc 3"/>
    <w:basedOn w:val="Normal"/>
    <w:next w:val="Normal"/>
    <w:uiPriority w:val="39"/>
    <w:rsid w:val="0046210D"/>
    <w:pPr>
      <w:tabs>
        <w:tab w:val="right" w:leader="dot" w:pos="8789"/>
      </w:tabs>
      <w:spacing w:before="60" w:line="240" w:lineRule="auto"/>
      <w:ind w:left="1276" w:right="567" w:hanging="709"/>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Avenir" w:hAnsi="Avenir"/>
      <w:sz w:val="22"/>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0F3765"/>
    <w:pPr>
      <w:spacing w:before="0" w:line="240" w:lineRule="auto"/>
    </w:pPr>
  </w:style>
  <w:style w:type="character" w:customStyle="1" w:styleId="HeaderChar">
    <w:name w:val="Header Char"/>
    <w:link w:val="Header"/>
    <w:uiPriority w:val="99"/>
    <w:rsid w:val="000F3765"/>
    <w:rPr>
      <w:rFonts w:ascii="Arial" w:hAnsi="Arial"/>
      <w:sz w:val="22"/>
      <w:lang w:eastAsia="en-GB"/>
    </w:rPr>
  </w:style>
  <w:style w:type="paragraph" w:styleId="Title">
    <w:name w:val="Title"/>
    <w:basedOn w:val="Normal"/>
    <w:next w:val="Normal"/>
    <w:link w:val="TitleChar"/>
    <w:uiPriority w:val="10"/>
    <w:qFormat/>
    <w:rsid w:val="00DF6931"/>
    <w:pPr>
      <w:spacing w:before="240" w:after="240" w:line="240" w:lineRule="auto"/>
    </w:pPr>
    <w:rPr>
      <w:rFonts w:ascii="Avenir Black" w:hAnsi="Avenir Black" w:cs="Lucida Sans Unicode"/>
      <w:b/>
      <w:caps/>
      <w:color w:val="076283"/>
      <w:sz w:val="56"/>
      <w:szCs w:val="72"/>
    </w:rPr>
  </w:style>
  <w:style w:type="character" w:customStyle="1" w:styleId="TitleChar">
    <w:name w:val="Title Char"/>
    <w:link w:val="Title"/>
    <w:uiPriority w:val="10"/>
    <w:rsid w:val="00DF6931"/>
    <w:rPr>
      <w:rFonts w:ascii="Avenir Black" w:hAnsi="Avenir Black" w:cs="Lucida Sans Unicode"/>
      <w:b/>
      <w:caps/>
      <w:color w:val="076283"/>
      <w:sz w:val="56"/>
      <w:szCs w:val="72"/>
      <w:lang w:eastAsia="en-GB"/>
    </w:rPr>
  </w:style>
  <w:style w:type="paragraph" w:customStyle="1" w:styleId="Imprint">
    <w:name w:val="Imprint"/>
    <w:basedOn w:val="Normal"/>
    <w:next w:val="Normal"/>
    <w:qFormat/>
    <w:rsid w:val="00141538"/>
    <w:pPr>
      <w:spacing w:line="240" w:lineRule="auto"/>
      <w:ind w:right="284"/>
      <w:jc w:val="right"/>
    </w:pPr>
    <w:rPr>
      <w:color w:val="FFFFFF" w:themeColor="background1"/>
      <w:sz w:val="28"/>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D22249"/>
    <w:rPr>
      <w:rFonts w:ascii="Avenir Black" w:hAnsi="Avenir Black"/>
      <w:b/>
      <w:color w:val="076283"/>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D22249"/>
    <w:pPr>
      <w:spacing w:before="0" w:line="240" w:lineRule="auto"/>
      <w:jc w:val="right"/>
    </w:pPr>
    <w:rPr>
      <w:caps/>
      <w:color w:val="076283"/>
      <w:sz w:val="16"/>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AE539E"/>
    <w:pPr>
      <w:spacing w:before="360" w:line="240" w:lineRule="auto"/>
    </w:pPr>
    <w:rPr>
      <w:rFonts w:ascii="Avenir Medium" w:hAnsi="Avenir Medium"/>
      <w:b w:val="0"/>
      <w:i/>
      <w:color w:val="076283"/>
      <w:sz w:val="22"/>
    </w:rPr>
  </w:style>
  <w:style w:type="character" w:customStyle="1" w:styleId="TableChar">
    <w:name w:val="Table Char"/>
    <w:link w:val="Table"/>
    <w:locked/>
    <w:rsid w:val="00AE539E"/>
    <w:rPr>
      <w:rFonts w:ascii="Avenir Medium" w:hAnsi="Avenir Medium"/>
      <w:i/>
      <w:color w:val="076283"/>
      <w:sz w:val="22"/>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7E611C"/>
    <w:pPr>
      <w:spacing w:before="60" w:after="60" w:line="240"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rsid w:val="00AE539E"/>
    <w:pPr>
      <w:pBdr>
        <w:top w:val="single" w:sz="4" w:space="12" w:color="auto"/>
        <w:left w:val="single" w:sz="4" w:space="12" w:color="auto"/>
        <w:bottom w:val="single" w:sz="4" w:space="12" w:color="auto"/>
        <w:right w:val="single" w:sz="4" w:space="12" w:color="auto"/>
      </w:pBdr>
      <w:spacing w:before="120"/>
      <w:ind w:left="284" w:right="284"/>
    </w:pPr>
    <w:rPr>
      <w:sz w:val="20"/>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ind w:left="284" w:right="284"/>
    </w:pPr>
    <w:rPr>
      <w:b/>
      <w:sz w:val="24"/>
      <w:szCs w:val="24"/>
    </w:rPr>
  </w:style>
  <w:style w:type="paragraph" w:customStyle="1" w:styleId="BoxBullet">
    <w:name w:val="BoxBullet"/>
    <w:basedOn w:val="Bullet"/>
    <w:qFormat/>
    <w:rsid w:val="005827A6"/>
    <w:pPr>
      <w:pBdr>
        <w:top w:val="single" w:sz="4" w:space="12" w:color="auto"/>
        <w:left w:val="single" w:sz="4" w:space="12" w:color="auto"/>
        <w:bottom w:val="single" w:sz="4" w:space="12" w:color="auto"/>
        <w:right w:val="single" w:sz="4" w:space="12" w:color="auto"/>
      </w:pBdr>
      <w:ind w:left="568" w:right="284"/>
    </w:pPr>
    <w:rPr>
      <w:sz w:val="21"/>
    </w:rPr>
  </w:style>
  <w:style w:type="paragraph" w:customStyle="1" w:styleId="IntroHead">
    <w:name w:val="IntroHead"/>
    <w:basedOn w:val="Heading1"/>
    <w:next w:val="Normal"/>
    <w:qFormat/>
    <w:rsid w:val="0033783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D22249"/>
    <w:pPr>
      <w:spacing w:before="80"/>
      <w:ind w:left="284" w:hanging="284"/>
    </w:pPr>
    <w:rPr>
      <w:sz w:val="16"/>
    </w:rPr>
  </w:style>
  <w:style w:type="character" w:customStyle="1" w:styleId="NoteChar">
    <w:name w:val="Note Char"/>
    <w:link w:val="Note"/>
    <w:rsid w:val="00D22249"/>
    <w:rPr>
      <w:rFonts w:ascii="Avenir" w:hAnsi="Avenir"/>
      <w:sz w:val="16"/>
      <w:lang w:eastAsia="en-GB"/>
    </w:rPr>
  </w:style>
  <w:style w:type="paragraph" w:customStyle="1" w:styleId="Subhead">
    <w:name w:val="Subhead"/>
    <w:basedOn w:val="Normal"/>
    <w:next w:val="Year"/>
    <w:qFormat/>
    <w:rsid w:val="00DF6931"/>
    <w:pPr>
      <w:spacing w:before="240" w:after="240" w:line="240" w:lineRule="auto"/>
    </w:pPr>
    <w:rPr>
      <w:rFonts w:ascii="Avenir Medium" w:hAnsi="Avenir Medium" w:cs="Segoe UI Semibold"/>
      <w:color w:val="FFFFFF" w:themeColor="background1"/>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AE539E"/>
    <w:rPr>
      <w:rFonts w:ascii="Avenir" w:hAnsi="Avenir"/>
      <w:b w:val="0"/>
      <w:color w:val="076283"/>
      <w:sz w:val="22"/>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33FB2"/>
    <w:pPr>
      <w:numPr>
        <w:ilvl w:val="3"/>
        <w:numId w:val="6"/>
      </w:numPr>
      <w:spacing w:before="90"/>
    </w:pPr>
    <w:rPr>
      <w:szCs w:val="24"/>
    </w:rPr>
  </w:style>
  <w:style w:type="paragraph" w:customStyle="1" w:styleId="Letter">
    <w:name w:val="Letter"/>
    <w:basedOn w:val="Normal"/>
    <w:qFormat/>
    <w:rsid w:val="00F140B2"/>
    <w:pPr>
      <w:numPr>
        <w:ilvl w:val="4"/>
        <w:numId w:val="5"/>
      </w:numPr>
      <w:spacing w:before="120"/>
    </w:p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D371B0"/>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unhideWhenUsed/>
    <w:rsid w:val="006524E1"/>
    <w:pPr>
      <w:tabs>
        <w:tab w:val="right" w:leader="dot" w:pos="8789"/>
      </w:tabs>
      <w:spacing w:before="120" w:line="240" w:lineRule="auto"/>
      <w:ind w:left="992" w:hanging="992"/>
    </w:pPr>
  </w:style>
  <w:style w:type="paragraph" w:styleId="BalloonText">
    <w:name w:val="Balloon Text"/>
    <w:basedOn w:val="Normal"/>
    <w:link w:val="BalloonTextChar"/>
    <w:uiPriority w:val="99"/>
    <w:semiHidden/>
    <w:unhideWhenUsed/>
    <w:rsid w:val="003450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E8"/>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371E7E"/>
    <w:rPr>
      <w:color w:val="800080" w:themeColor="followedHyperlink"/>
      <w:u w:val="single"/>
    </w:rPr>
  </w:style>
  <w:style w:type="character" w:styleId="UnresolvedMention">
    <w:name w:val="Unresolved Mention"/>
    <w:basedOn w:val="DefaultParagraphFont"/>
    <w:uiPriority w:val="99"/>
    <w:semiHidden/>
    <w:unhideWhenUsed/>
    <w:rsid w:val="006F7BA5"/>
    <w:rPr>
      <w:color w:val="605E5C"/>
      <w:shd w:val="clear" w:color="auto" w:fill="E1DFDD"/>
    </w:rPr>
  </w:style>
  <w:style w:type="character" w:styleId="CommentReference">
    <w:name w:val="annotation reference"/>
    <w:basedOn w:val="DefaultParagraphFont"/>
    <w:uiPriority w:val="99"/>
    <w:semiHidden/>
    <w:unhideWhenUsed/>
    <w:rsid w:val="005E522D"/>
    <w:rPr>
      <w:sz w:val="16"/>
      <w:szCs w:val="16"/>
    </w:rPr>
  </w:style>
  <w:style w:type="paragraph" w:styleId="CommentText">
    <w:name w:val="annotation text"/>
    <w:basedOn w:val="Normal"/>
    <w:link w:val="CommentTextChar"/>
    <w:uiPriority w:val="99"/>
    <w:unhideWhenUsed/>
    <w:rsid w:val="005E522D"/>
    <w:pPr>
      <w:spacing w:line="240" w:lineRule="auto"/>
    </w:pPr>
    <w:rPr>
      <w:sz w:val="20"/>
    </w:rPr>
  </w:style>
  <w:style w:type="character" w:customStyle="1" w:styleId="CommentTextChar">
    <w:name w:val="Comment Text Char"/>
    <w:basedOn w:val="DefaultParagraphFont"/>
    <w:link w:val="CommentText"/>
    <w:uiPriority w:val="99"/>
    <w:rsid w:val="005E522D"/>
    <w:rPr>
      <w:rFonts w:ascii="Avenir" w:hAnsi="Avenir"/>
      <w:lang w:eastAsia="en-GB"/>
    </w:rPr>
  </w:style>
  <w:style w:type="paragraph" w:styleId="CommentSubject">
    <w:name w:val="annotation subject"/>
    <w:basedOn w:val="CommentText"/>
    <w:next w:val="CommentText"/>
    <w:link w:val="CommentSubjectChar"/>
    <w:uiPriority w:val="99"/>
    <w:semiHidden/>
    <w:unhideWhenUsed/>
    <w:rsid w:val="005E522D"/>
    <w:rPr>
      <w:b/>
      <w:bCs/>
    </w:rPr>
  </w:style>
  <w:style w:type="character" w:customStyle="1" w:styleId="CommentSubjectChar">
    <w:name w:val="Comment Subject Char"/>
    <w:basedOn w:val="CommentTextChar"/>
    <w:link w:val="CommentSubject"/>
    <w:uiPriority w:val="99"/>
    <w:semiHidden/>
    <w:rsid w:val="005E522D"/>
    <w:rPr>
      <w:rFonts w:ascii="Avenir" w:hAnsi="Avenir"/>
      <w:b/>
      <w:bCs/>
      <w:lang w:eastAsia="en-GB"/>
    </w:rPr>
  </w:style>
  <w:style w:type="paragraph" w:styleId="ListParagraph">
    <w:name w:val="List Paragraph"/>
    <w:basedOn w:val="Normal"/>
    <w:uiPriority w:val="34"/>
    <w:qFormat/>
    <w:rsid w:val="00AC4558"/>
    <w:pPr>
      <w:ind w:left="720"/>
      <w:contextualSpacing/>
    </w:pPr>
  </w:style>
  <w:style w:type="paragraph" w:styleId="BodyText">
    <w:name w:val="Body Text"/>
    <w:basedOn w:val="Normal"/>
    <w:link w:val="BodyTextChar"/>
    <w:uiPriority w:val="1"/>
    <w:qFormat/>
    <w:rsid w:val="00AA0496"/>
    <w:pPr>
      <w:widowControl w:val="0"/>
      <w:autoSpaceDE w:val="0"/>
      <w:autoSpaceDN w:val="0"/>
      <w:spacing w:before="0" w:line="240" w:lineRule="auto"/>
    </w:pPr>
    <w:rPr>
      <w:rFonts w:ascii="Arial" w:eastAsia="Arial" w:hAnsi="Arial" w:cs="Arial"/>
      <w:sz w:val="20"/>
      <w:lang w:val="en-US" w:eastAsia="en-US"/>
    </w:rPr>
  </w:style>
  <w:style w:type="character" w:customStyle="1" w:styleId="BodyTextChar">
    <w:name w:val="Body Text Char"/>
    <w:basedOn w:val="DefaultParagraphFont"/>
    <w:link w:val="BodyText"/>
    <w:uiPriority w:val="1"/>
    <w:rsid w:val="00AA0496"/>
    <w:rPr>
      <w:rFonts w:ascii="Arial" w:eastAsia="Arial" w:hAnsi="Arial" w:cs="Arial"/>
      <w:lang w:val="en-US" w:eastAsia="en-US"/>
    </w:rPr>
  </w:style>
  <w:style w:type="paragraph" w:customStyle="1" w:styleId="TableParagraph">
    <w:name w:val="Table Paragraph"/>
    <w:basedOn w:val="Normal"/>
    <w:uiPriority w:val="1"/>
    <w:qFormat/>
    <w:rsid w:val="00AA0496"/>
    <w:pPr>
      <w:widowControl w:val="0"/>
      <w:autoSpaceDE w:val="0"/>
      <w:autoSpaceDN w:val="0"/>
      <w:spacing w:before="0" w:line="240" w:lineRule="auto"/>
    </w:pPr>
    <w:rPr>
      <w:rFonts w:ascii="Arial" w:eastAsia="Arial" w:hAnsi="Arial" w:cs="Arial"/>
      <w:sz w:val="20"/>
      <w:szCs w:val="22"/>
      <w:lang w:val="en-US" w:eastAsia="en-US"/>
    </w:rPr>
  </w:style>
  <w:style w:type="paragraph" w:styleId="Caption">
    <w:name w:val="caption"/>
    <w:basedOn w:val="Normal"/>
    <w:next w:val="Normal"/>
    <w:uiPriority w:val="35"/>
    <w:unhideWhenUsed/>
    <w:qFormat/>
    <w:rsid w:val="00530526"/>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796">
      <w:bodyDiv w:val="1"/>
      <w:marLeft w:val="0"/>
      <w:marRight w:val="0"/>
      <w:marTop w:val="0"/>
      <w:marBottom w:val="0"/>
      <w:divBdr>
        <w:top w:val="none" w:sz="0" w:space="0" w:color="auto"/>
        <w:left w:val="none" w:sz="0" w:space="0" w:color="auto"/>
        <w:bottom w:val="none" w:sz="0" w:space="0" w:color="auto"/>
        <w:right w:val="none" w:sz="0" w:space="0" w:color="auto"/>
      </w:divBdr>
      <w:divsChild>
        <w:div w:id="18231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hyperlink" Target="https://medsafe.govt.nz/regulatory/Guideline/code.asp" TargetMode="External"/><Relationship Id="rId39" Type="http://schemas.openxmlformats.org/officeDocument/2006/relationships/hyperlink" Target="mailto:GMP@health.govt.nz"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7.emf"/><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ealth.govt.nz/our-work/regulation-health-and-disability-system/medicinal-cannabis-agency/medicinal-cannabis-agency-information-industry/medicinal-cannabis-agency-working-medicinal-cannabis/medicinal-cannabis-agency-minimum-quality-standard" TargetMode="External"/><Relationship Id="rId33" Type="http://schemas.openxmlformats.org/officeDocument/2006/relationships/image" Target="media/image6.png"/><Relationship Id="rId38" Type="http://schemas.openxmlformats.org/officeDocument/2006/relationships/hyperlink" Target="https://www.health.govt.nz/our-work/regulation-health-and-disability-system/medicinal-cannabis-agency/medicinal-cannabis-agency-information-industry/medicinal-cannabis-agency-working-medicinal-cannabis/medicinal-cannabis-agency-security-cannabi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medicinescontrol@health.govt.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t.nz/publication/medicinal-cannabis-scheme-guideline-and-forms" TargetMode="External"/><Relationship Id="rId32" Type="http://schemas.openxmlformats.org/officeDocument/2006/relationships/hyperlink" Target="https://www.medsafe.govt.nz/regulatory/consultants.asp" TargetMode="External"/><Relationship Id="rId37" Type="http://schemas.openxmlformats.org/officeDocument/2006/relationships/image" Target="media/image10.png"/><Relationship Id="rId40" Type="http://schemas.openxmlformats.org/officeDocument/2006/relationships/hyperlink" Target="mailto:GMP@health.govt.nz"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medsafe.govt.nz/regulatory/fees.asp" TargetMode="External"/><Relationship Id="rId36"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medsafe.govt.nz/regulatory/Guideline/code.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gmp@health.govt.nz" TargetMode="External"/><Relationship Id="rId30" Type="http://schemas.openxmlformats.org/officeDocument/2006/relationships/hyperlink" Target="https://www.health.govt.nz/our-work/regulation-health-and-disability-system/medicinal-cannabis-agency/medicinal-cannabis-agency-information-industry/medicinal-cannabis-agency-working-medicinal-cannabis/medicinal-cannabis-agency-cannabidiol-cbd-products" TargetMode="External"/><Relationship Id="rId35" Type="http://schemas.openxmlformats.org/officeDocument/2006/relationships/image" Target="media/image8.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92BC1A40C10D1E47AEF982DF108D3320" ma:contentTypeVersion="347" ma:contentTypeDescription="Create a new document." ma:contentTypeScope="" ma:versionID="a5b9d71cee77467dc032aff939e216ad">
  <xsd:schema xmlns:xsd="http://www.w3.org/2001/XMLSchema" xmlns:xs="http://www.w3.org/2001/XMLSchema" xmlns:p="http://schemas.microsoft.com/office/2006/metadata/properties" xmlns:ns2="cf453169-29d2-47b6-b493-a75019883e5f" xmlns:ns3="4f9c820c-e7e2-444d-97ee-45f2b3485c1d" xmlns:ns4="15ffb055-6eb4-45a1-bc20-bf2ac0d420da" xmlns:ns5="725c79e5-42ce-4aa0-ac78-b6418001f0d2" xmlns:ns6="c91a514c-9034-4fa3-897a-8352025b26ed" xmlns:ns7="d0b61010-d6f3-4072-b934-7bbb13e97771" xmlns:ns8="184c05c4-c568-455d-94a4-7e009b164348" xmlns:ns9="1d05d202-b420-4560-9c38-b56d725d4a35" targetNamespace="http://schemas.microsoft.com/office/2006/metadata/properties" ma:root="true" ma:fieldsID="95f6d14a6bfac755d057c66c81ceb2e3" ns2:_="" ns3:_="" ns4:_="" ns5:_="" ns6:_="" ns7:_="" ns8:_="" ns9:_="">
    <xsd:import namespace="cf453169-29d2-47b6-b493-a75019883e5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1d05d202-b420-4560-9c38-b56d725d4a3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2:SharedWithUsers" minOccurs="0"/>
                <xsd:element ref="ns2:SharedWithDetails" minOccurs="0"/>
                <xsd:element ref="ns9:BriefDescription" minOccurs="0"/>
                <xsd:element ref="ns9:MediaServiceObjectDetectorVersions" minOccurs="0"/>
                <xsd:element ref="ns9:MediaServiceSearchProperties" minOccurs="0"/>
                <xsd:element ref="ns9:MediaServiceDateTaken"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53169-29d2-47b6-b493-a75019883e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2577b56b-205d-44e9-b511-fcb3af4093c7}" ma:internalName="TaxCatchAll" ma:showField="CatchAllData" ma:web="cf453169-29d2-47b6-b493-a75019883e5f">
      <xsd:complexType>
        <xsd:complexContent>
          <xsd:extension base="dms:MultiChoiceLookup">
            <xsd:sequence>
              <xsd:element name="Value" type="dms:Lookup" maxOccurs="unbounded" minOccurs="0" nillable="true"/>
            </xsd:sequence>
          </xsd:extension>
        </xsd:complexContent>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Regulate Medicines and Medical Device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Medicinal Cannabis Compli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edicinal Cannabis Compli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d05d202-b420-4560-9c38-b56d725d4a3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BriefDescription" ma:index="61" nillable="true" ma:displayName="Brief Description" ma:internalName="BriefDescription">
      <xsd:simpleType>
        <xsd:restriction base="dms:Text">
          <xsd:maxLength value="255"/>
        </xsd:restriction>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Location" ma:index="6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BriefDescription xmlns="1d05d202-b420-4560-9c38-b56d725d4a35" xsi:nil="true"/>
    <KeyWords xmlns="15ffb055-6eb4-45a1-bc20-bf2ac0d420da" xsi:nil="true"/>
    <SecurityClassification xmlns="15ffb055-6eb4-45a1-bc20-bf2ac0d420da">UNCLASSIFIED</SecurityClassification>
    <PRADate3 xmlns="4f9c820c-e7e2-444d-97ee-45f2b3485c1d" xsi:nil="true"/>
    <lcf76f155ced4ddcb4097134ff3c332f xmlns="1d05d202-b420-4560-9c38-b56d725d4a35">
      <Terms xmlns="http://schemas.microsoft.com/office/infopath/2007/PartnerControls"/>
    </lcf76f155ced4ddcb4097134ff3c332f>
    <PRAText5 xmlns="4f9c820c-e7e2-444d-97ee-45f2b3485c1d" xsi:nil="true"/>
    <Level2 xmlns="c91a514c-9034-4fa3-897a-8352025b26ed">NA</Level2>
    <CopiedFrom xmlns="184c05c4-c568-455d-94a4-7e009b164348" xsi:nil="true"/>
    <Activity xmlns="4f9c820c-e7e2-444d-97ee-45f2b3485c1d">Medicinal Cannabis Compliance</Activity>
    <AggregationStatus xmlns="4f9c820c-e7e2-444d-97ee-45f2b3485c1d">Normal</AggregationStatus>
    <OverrideLabel xmlns="d0b61010-d6f3-4072-b934-7bbb13e97771" xsi:nil="true"/>
    <TaxCatchAll xmlns="cf453169-29d2-47b6-b493-a75019883e5f" xsi:nil="true"/>
    <CategoryValue xmlns="4f9c820c-e7e2-444d-97ee-45f2b3485c1d">Formatted Guidance Documents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Medicinal Cannabis Compliance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MCA Webpages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Guidance and forms for upcoming regulatory changes</CategoryName>
    <PRADateTrigger xmlns="4f9c820c-e7e2-444d-97ee-45f2b3485c1d" xsi:nil="true"/>
    <PRAText2 xmlns="4f9c820c-e7e2-444d-97ee-45f2b3485c1d" xsi:nil="true"/>
    <zLegacyID xmlns="184c05c4-c568-455d-94a4-7e009b164348" xsi:nil="true"/>
    <_dlc_DocId xmlns="cf453169-29d2-47b6-b493-a75019883e5f">MOHECM-799694629-6033</_dlc_DocId>
    <_dlc_DocIdUrl xmlns="cf453169-29d2-47b6-b493-a75019883e5f">
      <Url>https://mohgovtnz.sharepoint.com/sites/moh-ecm-GoodPrac/_layouts/15/DocIdRedir.aspx?ID=MOHECM-799694629-6033</Url>
      <Description>MOHECM-799694629-6033</Description>
    </_dlc_DocIdUrl>
  </documentManagement>
</p:properties>
</file>

<file path=customXml/itemProps1.xml><?xml version="1.0" encoding="utf-8"?>
<ds:datastoreItem xmlns:ds="http://schemas.openxmlformats.org/officeDocument/2006/customXml" ds:itemID="{9542253A-BA52-41EC-8E4A-9B312C123C3B}">
  <ds:schemaRefs>
    <ds:schemaRef ds:uri="http://schemas.microsoft.com/sharepoint/v3/contenttype/forms"/>
  </ds:schemaRefs>
</ds:datastoreItem>
</file>

<file path=customXml/itemProps2.xml><?xml version="1.0" encoding="utf-8"?>
<ds:datastoreItem xmlns:ds="http://schemas.openxmlformats.org/officeDocument/2006/customXml" ds:itemID="{CCB36125-F367-478A-9F53-2B1FFC00580E}">
  <ds:schemaRefs>
    <ds:schemaRef ds:uri="http://schemas.openxmlformats.org/officeDocument/2006/bibliography"/>
  </ds:schemaRefs>
</ds:datastoreItem>
</file>

<file path=customXml/itemProps3.xml><?xml version="1.0" encoding="utf-8"?>
<ds:datastoreItem xmlns:ds="http://schemas.openxmlformats.org/officeDocument/2006/customXml" ds:itemID="{B6E301BB-106E-4B7E-BAD1-49F45839B301}">
  <ds:schemaRefs>
    <ds:schemaRef ds:uri="http://schemas.microsoft.com/sharepoint/events"/>
  </ds:schemaRefs>
</ds:datastoreItem>
</file>

<file path=customXml/itemProps4.xml><?xml version="1.0" encoding="utf-8"?>
<ds:datastoreItem xmlns:ds="http://schemas.openxmlformats.org/officeDocument/2006/customXml" ds:itemID="{7236600C-E6F9-4A43-92B6-880774D0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53169-29d2-47b6-b493-a75019883e5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1d05d202-b420-4560-9c38-b56d725d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8752D2-6519-4A64-825A-8D553CF16511}">
  <ds:schemaRefs>
    <ds:schemaRef ds:uri="http://schemas.microsoft.com/office/2006/metadata/properties"/>
    <ds:schemaRef ds:uri="http://schemas.microsoft.com/office/infopath/2007/PartnerControls"/>
    <ds:schemaRef ds:uri="4f9c820c-e7e2-444d-97ee-45f2b3485c1d"/>
    <ds:schemaRef ds:uri="1d05d202-b420-4560-9c38-b56d725d4a35"/>
    <ds:schemaRef ds:uri="15ffb055-6eb4-45a1-bc20-bf2ac0d420da"/>
    <ds:schemaRef ds:uri="c91a514c-9034-4fa3-897a-8352025b26ed"/>
    <ds:schemaRef ds:uri="184c05c4-c568-455d-94a4-7e009b164348"/>
    <ds:schemaRef ds:uri="d0b61010-d6f3-4072-b934-7bbb13e97771"/>
    <ds:schemaRef ds:uri="cf453169-29d2-47b6-b493-a75019883e5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TotalTime>
  <Pages>20</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Guideline on the Regulation of Medicinal Cannabis in New Zealand Part 2</vt:lpstr>
    </vt:vector>
  </TitlesOfParts>
  <Company>Microsoft</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the Regulation of Medicinal Cannabis in New Zealand Part 2</dc:title>
  <dc:creator>Ministry of Health</dc:creator>
  <cp:lastModifiedBy>Ministry of Health</cp:lastModifiedBy>
  <cp:revision>7</cp:revision>
  <cp:lastPrinted>2024-07-04T22:27:00Z</cp:lastPrinted>
  <dcterms:created xsi:type="dcterms:W3CDTF">2024-07-04T22:22:00Z</dcterms:created>
  <dcterms:modified xsi:type="dcterms:W3CDTF">2024-07-04T22:27:00Z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0x01010092BC1A40C10D1E47AEF982DF108D3320</vt:lpwstr>
  </property>
  <property fmtid="{D5CDD505-2E9C-101B-9397-08002B2CF9AE}" pid="3" name="_dlc_DocIdItemGuid">
    <vt:lpwstr>a36a1712-7f3b-41a8-8de6-267dc905d826</vt:lpwstr>
  </property>
</Properties>
</file>