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F69B" w14:textId="21ED7410" w:rsidR="00047AF3" w:rsidRPr="003228F1" w:rsidRDefault="00047AF3" w:rsidP="00047AF3">
      <w:pPr>
        <w:spacing w:after="0"/>
        <w:rPr>
          <w:rFonts w:ascii="Segoe UI" w:hAnsi="Segoe UI" w:cs="Segoe UI"/>
          <w:b/>
          <w:bCs/>
          <w:color w:val="4472C4" w:themeColor="accent1"/>
          <w:sz w:val="36"/>
          <w:szCs w:val="36"/>
        </w:rPr>
      </w:pPr>
      <w:bookmarkStart w:id="0" w:name="_Hlk98769724"/>
      <w:bookmarkStart w:id="1" w:name="_Hlk96952471"/>
      <w:r w:rsidRPr="00AF060D">
        <w:rPr>
          <w:rFonts w:ascii="Segoe UI" w:hAnsi="Segoe UI" w:cs="Segoe UI"/>
          <w:b/>
          <w:bCs/>
          <w:color w:val="4472C4" w:themeColor="accent1"/>
          <w:sz w:val="36"/>
          <w:szCs w:val="36"/>
        </w:rPr>
        <w:t xml:space="preserve">Operational policy </w:t>
      </w:r>
      <w:bookmarkEnd w:id="0"/>
      <w:r w:rsidR="00E05D96">
        <w:rPr>
          <w:rFonts w:ascii="Segoe UI" w:hAnsi="Segoe UI" w:cs="Segoe UI"/>
          <w:b/>
          <w:bCs/>
          <w:color w:val="4472C4" w:themeColor="accent1"/>
          <w:sz w:val="36"/>
          <w:szCs w:val="36"/>
        </w:rPr>
        <w:t xml:space="preserve">expectations </w:t>
      </w:r>
      <w:r w:rsidR="003079B3" w:rsidRPr="00675C81">
        <w:rPr>
          <w:rFonts w:ascii="Segoe UI" w:hAnsi="Segoe UI" w:cs="Segoe UI"/>
          <w:b/>
          <w:bCs/>
          <w:color w:val="4472C4" w:themeColor="accent1"/>
          <w:sz w:val="36"/>
          <w:szCs w:val="36"/>
        </w:rPr>
        <w:t>2024-25</w:t>
      </w:r>
    </w:p>
    <w:p w14:paraId="32BA3648" w14:textId="115B9052" w:rsidR="00047AF3" w:rsidRPr="003228F1" w:rsidRDefault="00047AF3" w:rsidP="00EF1C89">
      <w:pPr>
        <w:pStyle w:val="Heading1"/>
      </w:pPr>
      <w:r w:rsidRPr="003228F1">
        <w:t xml:space="preserve">Operational policy as agreed by </w:t>
      </w:r>
      <w:r w:rsidR="3998A4A8" w:rsidRPr="003228F1">
        <w:t>C</w:t>
      </w:r>
      <w:r w:rsidRPr="003228F1">
        <w:t>abinet or Ministerial decision</w:t>
      </w:r>
    </w:p>
    <w:p w14:paraId="2CC134D0" w14:textId="541D57A9" w:rsidR="00047AF3" w:rsidRPr="003228F1" w:rsidRDefault="00047AF3" w:rsidP="00047AF3">
      <w:pPr>
        <w:spacing w:before="240" w:after="0"/>
        <w:rPr>
          <w:rFonts w:ascii="Segoe UI" w:hAnsi="Segoe UI" w:cs="Segoe UI"/>
          <w:color w:val="000000" w:themeColor="text1"/>
        </w:rPr>
      </w:pPr>
      <w:bookmarkStart w:id="2" w:name="_Hlk99380059"/>
      <w:r w:rsidRPr="003228F1">
        <w:rPr>
          <w:rFonts w:ascii="Segoe UI" w:hAnsi="Segoe UI" w:cs="Segoe UI"/>
          <w:color w:val="000000" w:themeColor="text1"/>
        </w:rPr>
        <w:t>Th</w:t>
      </w:r>
      <w:r w:rsidR="003E7B48">
        <w:rPr>
          <w:rFonts w:ascii="Segoe UI" w:hAnsi="Segoe UI" w:cs="Segoe UI"/>
          <w:color w:val="000000" w:themeColor="text1"/>
        </w:rPr>
        <w:t>ese</w:t>
      </w:r>
      <w:r w:rsidRPr="003228F1">
        <w:rPr>
          <w:rFonts w:ascii="Segoe UI" w:hAnsi="Segoe UI" w:cs="Segoe UI"/>
          <w:color w:val="000000" w:themeColor="text1"/>
        </w:rPr>
        <w:t xml:space="preserve"> operational policy </w:t>
      </w:r>
      <w:r w:rsidR="00EB6524">
        <w:rPr>
          <w:rFonts w:ascii="Segoe UI" w:hAnsi="Segoe UI" w:cs="Segoe UI"/>
          <w:color w:val="000000" w:themeColor="text1"/>
        </w:rPr>
        <w:t>expectations</w:t>
      </w:r>
      <w:r w:rsidR="00EB6524" w:rsidRPr="003228F1">
        <w:rPr>
          <w:rFonts w:ascii="Segoe UI" w:hAnsi="Segoe UI" w:cs="Segoe UI"/>
          <w:color w:val="000000" w:themeColor="text1"/>
        </w:rPr>
        <w:t xml:space="preserve"> </w:t>
      </w:r>
      <w:r w:rsidRPr="003228F1">
        <w:rPr>
          <w:rFonts w:ascii="Segoe UI" w:hAnsi="Segoe UI" w:cs="Segoe UI"/>
          <w:color w:val="000000" w:themeColor="text1"/>
        </w:rPr>
        <w:t>(OP</w:t>
      </w:r>
      <w:r w:rsidR="00AF362A">
        <w:rPr>
          <w:rFonts w:ascii="Segoe UI" w:hAnsi="Segoe UI" w:cs="Segoe UI"/>
          <w:color w:val="000000" w:themeColor="text1"/>
        </w:rPr>
        <w:t>E</w:t>
      </w:r>
      <w:r w:rsidRPr="003228F1">
        <w:rPr>
          <w:rFonts w:ascii="Segoe UI" w:hAnsi="Segoe UI" w:cs="Segoe UI"/>
          <w:color w:val="000000" w:themeColor="text1"/>
        </w:rPr>
        <w:t xml:space="preserve">) </w:t>
      </w:r>
      <w:bookmarkStart w:id="3" w:name="_Hlk98771496"/>
      <w:r w:rsidRPr="003228F1">
        <w:rPr>
          <w:rFonts w:ascii="Segoe UI" w:hAnsi="Segoe UI" w:cs="Segoe UI"/>
          <w:color w:val="000000" w:themeColor="text1"/>
        </w:rPr>
        <w:t>set out the operational policy arrangements for the health system</w:t>
      </w:r>
      <w:r w:rsidR="00FC5180">
        <w:rPr>
          <w:rFonts w:ascii="Segoe UI" w:hAnsi="Segoe UI" w:cs="Segoe UI"/>
          <w:color w:val="000000" w:themeColor="text1"/>
        </w:rPr>
        <w:t xml:space="preserve"> and is authorised through the G</w:t>
      </w:r>
      <w:r w:rsidR="00D760BA">
        <w:rPr>
          <w:rFonts w:ascii="Segoe UI" w:hAnsi="Segoe UI" w:cs="Segoe UI"/>
          <w:color w:val="000000" w:themeColor="text1"/>
        </w:rPr>
        <w:t xml:space="preserve">overnment </w:t>
      </w:r>
      <w:r w:rsidR="00FC5180">
        <w:rPr>
          <w:rFonts w:ascii="Segoe UI" w:hAnsi="Segoe UI" w:cs="Segoe UI"/>
          <w:color w:val="000000" w:themeColor="text1"/>
        </w:rPr>
        <w:t>P</w:t>
      </w:r>
      <w:r w:rsidR="00D760BA">
        <w:rPr>
          <w:rFonts w:ascii="Segoe UI" w:hAnsi="Segoe UI" w:cs="Segoe UI"/>
          <w:color w:val="000000" w:themeColor="text1"/>
        </w:rPr>
        <w:t xml:space="preserve">olicy </w:t>
      </w:r>
      <w:r w:rsidR="00FC5180">
        <w:rPr>
          <w:rFonts w:ascii="Segoe UI" w:hAnsi="Segoe UI" w:cs="Segoe UI"/>
          <w:color w:val="000000" w:themeColor="text1"/>
        </w:rPr>
        <w:t>S</w:t>
      </w:r>
      <w:r w:rsidR="00D760BA">
        <w:rPr>
          <w:rFonts w:ascii="Segoe UI" w:hAnsi="Segoe UI" w:cs="Segoe UI"/>
          <w:color w:val="000000" w:themeColor="text1"/>
        </w:rPr>
        <w:t>tatement on Health 2024-27 (GPS)</w:t>
      </w:r>
      <w:r w:rsidR="003B3553">
        <w:rPr>
          <w:rFonts w:ascii="Segoe UI" w:hAnsi="Segoe UI" w:cs="Segoe UI"/>
          <w:color w:val="000000" w:themeColor="text1"/>
        </w:rPr>
        <w:t>.</w:t>
      </w:r>
      <w:r w:rsidR="00754E40">
        <w:rPr>
          <w:rFonts w:ascii="Segoe UI" w:hAnsi="Segoe UI" w:cs="Segoe UI"/>
          <w:color w:val="000000" w:themeColor="text1"/>
        </w:rPr>
        <w:t xml:space="preserve"> </w:t>
      </w:r>
      <w:r w:rsidR="003B3553">
        <w:rPr>
          <w:rFonts w:ascii="Segoe UI" w:hAnsi="Segoe UI" w:cs="Segoe UI"/>
          <w:color w:val="000000" w:themeColor="text1"/>
        </w:rPr>
        <w:t xml:space="preserve"> </w:t>
      </w:r>
      <w:r w:rsidRPr="003228F1">
        <w:rPr>
          <w:rFonts w:ascii="Segoe UI" w:hAnsi="Segoe UI" w:cs="Segoe UI"/>
          <w:color w:val="000000" w:themeColor="text1"/>
        </w:rPr>
        <w:t xml:space="preserve"> </w:t>
      </w:r>
    </w:p>
    <w:bookmarkEnd w:id="3"/>
    <w:p w14:paraId="4C1ADD98" w14:textId="1D26E4D2" w:rsidR="00007398" w:rsidRPr="003228F1" w:rsidRDefault="00007398" w:rsidP="00007398">
      <w:pPr>
        <w:spacing w:before="240" w:after="0"/>
        <w:rPr>
          <w:rFonts w:ascii="Segoe UI" w:hAnsi="Segoe UI" w:cs="Segoe UI"/>
          <w:color w:val="000000" w:themeColor="text1"/>
        </w:rPr>
      </w:pPr>
      <w:r w:rsidRPr="252FBADE">
        <w:rPr>
          <w:rFonts w:ascii="Segoe UI" w:hAnsi="Segoe UI" w:cs="Segoe UI"/>
          <w:color w:val="000000" w:themeColor="text1"/>
        </w:rPr>
        <w:t>The OP</w:t>
      </w:r>
      <w:r w:rsidR="003E7B48">
        <w:rPr>
          <w:rFonts w:ascii="Segoe UI" w:hAnsi="Segoe UI" w:cs="Segoe UI"/>
          <w:color w:val="000000" w:themeColor="text1"/>
        </w:rPr>
        <w:t>E</w:t>
      </w:r>
      <w:r w:rsidRPr="252FBADE">
        <w:rPr>
          <w:rFonts w:ascii="Segoe UI" w:hAnsi="Segoe UI" w:cs="Segoe UI"/>
          <w:color w:val="000000" w:themeColor="text1"/>
        </w:rPr>
        <w:t xml:space="preserve"> summarises </w:t>
      </w:r>
      <w:r w:rsidR="00663823">
        <w:rPr>
          <w:rFonts w:ascii="Segoe UI" w:hAnsi="Segoe UI" w:cs="Segoe UI"/>
          <w:color w:val="000000" w:themeColor="text1"/>
        </w:rPr>
        <w:t xml:space="preserve">both </w:t>
      </w:r>
      <w:r w:rsidR="00864B06">
        <w:rPr>
          <w:rFonts w:ascii="Segoe UI" w:hAnsi="Segoe UI" w:cs="Segoe UI"/>
          <w:color w:val="000000" w:themeColor="text1"/>
        </w:rPr>
        <w:t>new and</w:t>
      </w:r>
      <w:r w:rsidRPr="252FBADE">
        <w:rPr>
          <w:rFonts w:ascii="Segoe UI" w:hAnsi="Segoe UI" w:cs="Segoe UI"/>
          <w:color w:val="000000" w:themeColor="text1"/>
        </w:rPr>
        <w:t xml:space="preserve"> long-standing operating expectations </w:t>
      </w:r>
      <w:r w:rsidR="007B0A59">
        <w:rPr>
          <w:rFonts w:ascii="Segoe UI" w:hAnsi="Segoe UI" w:cs="Segoe UI"/>
          <w:color w:val="000000" w:themeColor="text1"/>
        </w:rPr>
        <w:t xml:space="preserve">for the health sector and all of government as </w:t>
      </w:r>
      <w:r w:rsidRPr="252FBADE">
        <w:rPr>
          <w:rFonts w:ascii="Segoe UI" w:hAnsi="Segoe UI" w:cs="Segoe UI"/>
          <w:color w:val="000000" w:themeColor="text1"/>
        </w:rPr>
        <w:t xml:space="preserve">agreed by </w:t>
      </w:r>
      <w:bookmarkStart w:id="4" w:name="_Hlk97190983"/>
      <w:r w:rsidRPr="252FBADE">
        <w:rPr>
          <w:rFonts w:ascii="Segoe UI" w:hAnsi="Segoe UI" w:cs="Segoe UI"/>
          <w:color w:val="000000" w:themeColor="text1"/>
        </w:rPr>
        <w:t>Cabinet or through ministerial decisions</w:t>
      </w:r>
      <w:bookmarkStart w:id="5" w:name="_Hlk106888708"/>
      <w:bookmarkEnd w:id="4"/>
      <w:r w:rsidR="00C00E43">
        <w:rPr>
          <w:rFonts w:ascii="Segoe UI" w:hAnsi="Segoe UI" w:cs="Segoe UI"/>
          <w:color w:val="000000" w:themeColor="text1"/>
        </w:rPr>
        <w:t>.</w:t>
      </w:r>
      <w:r w:rsidRPr="252FBADE">
        <w:rPr>
          <w:rFonts w:ascii="Segoe UI" w:hAnsi="Segoe UI" w:cs="Segoe UI"/>
          <w:color w:val="000000" w:themeColor="text1"/>
        </w:rPr>
        <w:t xml:space="preserve"> </w:t>
      </w:r>
      <w:bookmarkEnd w:id="5"/>
      <w:r w:rsidRPr="252FBADE">
        <w:rPr>
          <w:rFonts w:ascii="Segoe UI" w:hAnsi="Segoe UI" w:cs="Segoe UI"/>
          <w:color w:val="000000" w:themeColor="text1"/>
        </w:rPr>
        <w:t xml:space="preserve">These rules and decisions continue to apply in the new health system settings until new or revised policy is in place. </w:t>
      </w:r>
    </w:p>
    <w:p w14:paraId="112DFCCC" w14:textId="1B7F7900" w:rsidR="00047AF3" w:rsidRPr="003228F1" w:rsidRDefault="00047AF3" w:rsidP="00047AF3">
      <w:pPr>
        <w:spacing w:before="240" w:after="0"/>
        <w:rPr>
          <w:rFonts w:ascii="Segoe UI" w:hAnsi="Segoe UI" w:cs="Segoe UI"/>
        </w:rPr>
      </w:pPr>
      <w:r w:rsidRPr="003228F1">
        <w:rPr>
          <w:rFonts w:ascii="Segoe UI" w:hAnsi="Segoe UI" w:cs="Segoe UI"/>
          <w:color w:val="000000" w:themeColor="text1"/>
        </w:rPr>
        <w:t xml:space="preserve">This document is updated regularly to reflect changes to operational policy decisions. </w:t>
      </w:r>
    </w:p>
    <w:bookmarkEnd w:id="1"/>
    <w:bookmarkEnd w:id="2"/>
    <w:p w14:paraId="2CEA96DF" w14:textId="77777777" w:rsidR="00047AF3" w:rsidRPr="003228F1" w:rsidRDefault="00047AF3" w:rsidP="00047AF3">
      <w:pPr>
        <w:spacing w:after="0"/>
        <w:rPr>
          <w:rFonts w:ascii="Segoe UI" w:hAnsi="Segoe UI" w:cs="Segoe UI"/>
        </w:rPr>
      </w:pPr>
      <w:r w:rsidRPr="003228F1">
        <w:rPr>
          <w:rFonts w:ascii="Segoe UI" w:hAnsi="Segoe UI" w:cs="Segoe UI"/>
        </w:rPr>
        <w:t>A summary of key Government requirements is provided under each heading below.</w:t>
      </w:r>
    </w:p>
    <w:p w14:paraId="3EAAB97C" w14:textId="77777777" w:rsidR="00047AF3" w:rsidRPr="003228F1" w:rsidRDefault="00047AF3" w:rsidP="00EF1C89">
      <w:pPr>
        <w:pStyle w:val="Heading1"/>
      </w:pPr>
      <w:r w:rsidRPr="003228F1">
        <w:t>Governance</w:t>
      </w:r>
    </w:p>
    <w:p w14:paraId="369AA709" w14:textId="3F69DF9A" w:rsidR="00047AF3" w:rsidRPr="003228F1" w:rsidRDefault="00047AF3" w:rsidP="00047AF3">
      <w:pPr>
        <w:spacing w:before="120" w:after="120"/>
        <w:rPr>
          <w:rFonts w:ascii="Segoe UI" w:hAnsi="Segoe UI" w:cs="Segoe UI"/>
          <w:i/>
          <w:iCs/>
          <w:lang w:eastAsia="en-GB"/>
        </w:rPr>
      </w:pPr>
      <w:r w:rsidRPr="003228F1">
        <w:rPr>
          <w:rFonts w:ascii="Segoe UI" w:hAnsi="Segoe UI" w:cs="Segoe UI"/>
          <w:i/>
          <w:iCs/>
          <w:lang w:eastAsia="en-GB"/>
        </w:rPr>
        <w:t xml:space="preserve">This </w:t>
      </w:r>
      <w:r w:rsidR="00291601">
        <w:rPr>
          <w:rFonts w:ascii="Segoe UI" w:hAnsi="Segoe UI" w:cs="Segoe UI"/>
          <w:i/>
          <w:iCs/>
          <w:lang w:eastAsia="en-GB"/>
        </w:rPr>
        <w:t>section</w:t>
      </w:r>
      <w:r w:rsidR="00291601" w:rsidRPr="003228F1">
        <w:rPr>
          <w:rFonts w:ascii="Segoe UI" w:hAnsi="Segoe UI" w:cs="Segoe UI"/>
          <w:i/>
          <w:iCs/>
          <w:lang w:eastAsia="en-GB"/>
        </w:rPr>
        <w:t xml:space="preserve"> </w:t>
      </w:r>
      <w:r w:rsidRPr="003228F1">
        <w:rPr>
          <w:rFonts w:ascii="Segoe UI" w:hAnsi="Segoe UI" w:cs="Segoe UI"/>
          <w:i/>
          <w:iCs/>
          <w:lang w:eastAsia="en-GB"/>
        </w:rPr>
        <w:t>covers general organisational requirements relating to legislative compliance, conflicts of interest, the process of self-evaluation by Board members, and political neutrality.</w:t>
      </w:r>
    </w:p>
    <w:p w14:paraId="6606C7B4" w14:textId="5722358A" w:rsidR="00047AF3" w:rsidRPr="003228F1" w:rsidRDefault="00007398" w:rsidP="00047AF3">
      <w:pPr>
        <w:spacing w:before="240" w:after="120"/>
        <w:rPr>
          <w:rFonts w:ascii="Segoe UI" w:hAnsi="Segoe UI" w:cs="Segoe UI"/>
          <w:lang w:eastAsia="en-GB"/>
        </w:rPr>
      </w:pPr>
      <w:r w:rsidRPr="00007398">
        <w:rPr>
          <w:rFonts w:ascii="Segoe UI" w:hAnsi="Segoe UI" w:cs="Segoe UI"/>
        </w:rPr>
        <w:t>Health New Zealand</w:t>
      </w:r>
      <w:r>
        <w:rPr>
          <w:rFonts w:ascii="Segoe UI" w:hAnsi="Segoe UI" w:cs="Segoe UI"/>
        </w:rPr>
        <w:t xml:space="preserve"> </w:t>
      </w:r>
      <w:r w:rsidR="00DF7A4F">
        <w:rPr>
          <w:rFonts w:ascii="Segoe UI" w:hAnsi="Segoe UI" w:cs="Segoe UI"/>
        </w:rPr>
        <w:t>is expected to</w:t>
      </w:r>
      <w:r w:rsidR="00047AF3" w:rsidRPr="003228F1">
        <w:rPr>
          <w:rFonts w:ascii="Segoe UI" w:hAnsi="Segoe UI" w:cs="Segoe UI"/>
          <w:lang w:eastAsia="en-GB"/>
        </w:rPr>
        <w:t>:</w:t>
      </w:r>
    </w:p>
    <w:p w14:paraId="66154977" w14:textId="4AEFB918" w:rsidR="003B5BDC" w:rsidRPr="003228F1" w:rsidRDefault="00047AF3" w:rsidP="003B5BDC">
      <w:pPr>
        <w:pStyle w:val="ListParagraph"/>
        <w:numPr>
          <w:ilvl w:val="0"/>
          <w:numId w:val="2"/>
        </w:numPr>
        <w:spacing w:after="120"/>
        <w:rPr>
          <w:rFonts w:ascii="Segoe UI" w:hAnsi="Segoe UI" w:cs="Segoe UI"/>
          <w:lang w:eastAsia="en-GB"/>
        </w:rPr>
      </w:pPr>
      <w:r w:rsidRPr="003228F1">
        <w:rPr>
          <w:rFonts w:ascii="Segoe UI" w:hAnsi="Segoe UI" w:cs="Segoe UI"/>
          <w:lang w:eastAsia="en-GB"/>
        </w:rPr>
        <w:t>apply an open approach to disclosing interests and an active approach to managing conflicts of interest as they arise, as set out in Crown Entit</w:t>
      </w:r>
      <w:r w:rsidR="00AD17E0" w:rsidRPr="003228F1">
        <w:rPr>
          <w:rFonts w:ascii="Segoe UI" w:hAnsi="Segoe UI" w:cs="Segoe UI"/>
          <w:lang w:eastAsia="en-GB"/>
        </w:rPr>
        <w:t>i</w:t>
      </w:r>
      <w:r w:rsidRPr="003228F1">
        <w:rPr>
          <w:rFonts w:ascii="Segoe UI" w:hAnsi="Segoe UI" w:cs="Segoe UI"/>
          <w:lang w:eastAsia="en-GB"/>
        </w:rPr>
        <w:t>es Act 2004 section 65</w:t>
      </w:r>
      <w:r w:rsidR="003B5BDC" w:rsidRPr="003228F1">
        <w:rPr>
          <w:rFonts w:ascii="Segoe UI" w:hAnsi="Segoe UI" w:cs="Segoe UI"/>
          <w:lang w:eastAsia="en-GB"/>
        </w:rPr>
        <w:t xml:space="preserve"> and CAB (00) M32/2A (2) (section 2.3)</w:t>
      </w:r>
      <w:r w:rsidR="00291601" w:rsidRPr="003228F1">
        <w:rPr>
          <w:rFonts w:ascii="Segoe UI" w:hAnsi="Segoe UI" w:cs="Segoe UI"/>
        </w:rPr>
        <w:t xml:space="preserve"> </w:t>
      </w:r>
    </w:p>
    <w:p w14:paraId="7303C71F" w14:textId="56FE9BE7" w:rsidR="000016AA" w:rsidRPr="00675C81" w:rsidRDefault="0041413A" w:rsidP="00291601">
      <w:pPr>
        <w:pStyle w:val="ListParagraph"/>
        <w:numPr>
          <w:ilvl w:val="0"/>
          <w:numId w:val="2"/>
        </w:numPr>
        <w:spacing w:after="120"/>
        <w:rPr>
          <w:rFonts w:ascii="Segoe UI" w:hAnsi="Segoe UI" w:cs="Segoe UI"/>
          <w:lang w:eastAsia="en-GB"/>
        </w:rPr>
      </w:pPr>
      <w:r>
        <w:rPr>
          <w:rFonts w:ascii="Segoe UI" w:hAnsi="Segoe UI" w:cs="Segoe UI"/>
          <w:lang w:eastAsia="en-GB"/>
        </w:rPr>
        <w:t>apply t</w:t>
      </w:r>
      <w:r w:rsidR="00C47EBD" w:rsidRPr="003228F1">
        <w:rPr>
          <w:rFonts w:ascii="Segoe UI" w:hAnsi="Segoe UI" w:cs="Segoe UI"/>
          <w:lang w:eastAsia="en-GB"/>
        </w:rPr>
        <w:t xml:space="preserve">he principles that guide </w:t>
      </w:r>
      <w:r w:rsidR="0095240A">
        <w:rPr>
          <w:rFonts w:ascii="Segoe UI" w:hAnsi="Segoe UI" w:cs="Segoe UI"/>
          <w:lang w:eastAsia="en-GB"/>
        </w:rPr>
        <w:t>Health New Zealand</w:t>
      </w:r>
      <w:r w:rsidR="0095240A" w:rsidRPr="003228F1">
        <w:rPr>
          <w:rFonts w:ascii="Segoe UI" w:hAnsi="Segoe UI" w:cs="Segoe UI"/>
          <w:lang w:eastAsia="en-GB"/>
        </w:rPr>
        <w:t xml:space="preserve"> </w:t>
      </w:r>
      <w:r w:rsidR="00C47EBD" w:rsidRPr="003228F1">
        <w:rPr>
          <w:rFonts w:ascii="Segoe UI" w:hAnsi="Segoe UI" w:cs="Segoe UI"/>
          <w:lang w:eastAsia="en-GB"/>
        </w:rPr>
        <w:t>involvement in privately funded service provision are also relevant to private involvement more generally through sponsorship</w:t>
      </w:r>
      <w:r w:rsidR="00291601">
        <w:rPr>
          <w:rFonts w:ascii="Segoe UI" w:hAnsi="Segoe UI" w:cs="Segoe UI"/>
          <w:lang w:eastAsia="en-GB"/>
        </w:rPr>
        <w:t xml:space="preserve"> (</w:t>
      </w:r>
      <w:r w:rsidR="00291601" w:rsidRPr="003228F1">
        <w:rPr>
          <w:rFonts w:ascii="Segoe UI" w:hAnsi="Segoe UI" w:cs="Segoe UI"/>
          <w:lang w:eastAsia="en-GB"/>
        </w:rPr>
        <w:t>Private involvement protocols for funded service provision (refer to Appendix one)</w:t>
      </w:r>
      <w:r w:rsidR="00291601" w:rsidRPr="00675C81">
        <w:rPr>
          <w:rFonts w:ascii="Segoe UI" w:hAnsi="Segoe UI" w:cs="Segoe UI"/>
          <w:lang w:eastAsia="en-GB"/>
        </w:rPr>
        <w:t xml:space="preserve"> </w:t>
      </w:r>
    </w:p>
    <w:p w14:paraId="62F15C4D" w14:textId="13EA9262" w:rsidR="00047AF3" w:rsidRDefault="00047AF3" w:rsidP="00047AF3">
      <w:pPr>
        <w:pStyle w:val="ListParagraph"/>
        <w:numPr>
          <w:ilvl w:val="0"/>
          <w:numId w:val="2"/>
        </w:numPr>
        <w:spacing w:after="120"/>
        <w:rPr>
          <w:rFonts w:ascii="Segoe UI" w:hAnsi="Segoe UI" w:cs="Segoe UI"/>
          <w:lang w:eastAsia="en-GB"/>
        </w:rPr>
      </w:pPr>
      <w:r w:rsidRPr="003228F1">
        <w:rPr>
          <w:rFonts w:ascii="Segoe UI" w:hAnsi="Segoe UI" w:cs="Segoe UI"/>
          <w:lang w:eastAsia="en-GB"/>
        </w:rPr>
        <w:t>follow the Public Service Commissioner’s guidance, for example, on the public service principle of political neutrality and election guidance for the public sector. Note that it is a constitutional convention for Ministers to avoid making major decisions or major appointments in the lead-up to a general election</w:t>
      </w:r>
    </w:p>
    <w:p w14:paraId="3AA47E53" w14:textId="7F58A30D" w:rsidR="00806F6F" w:rsidRDefault="00F90B3C" w:rsidP="00047AF3">
      <w:pPr>
        <w:pStyle w:val="ListParagraph"/>
        <w:numPr>
          <w:ilvl w:val="0"/>
          <w:numId w:val="2"/>
        </w:numPr>
        <w:spacing w:after="120"/>
        <w:rPr>
          <w:rFonts w:ascii="Segoe UI" w:hAnsi="Segoe UI" w:cs="Segoe UI"/>
          <w:lang w:eastAsia="en-GB"/>
        </w:rPr>
      </w:pPr>
      <w:r>
        <w:rPr>
          <w:rFonts w:ascii="Segoe UI" w:hAnsi="Segoe UI" w:cs="Segoe UI"/>
          <w:lang w:eastAsia="en-GB"/>
        </w:rPr>
        <w:t>have a</w:t>
      </w:r>
      <w:r w:rsidR="00FA22FD">
        <w:rPr>
          <w:rFonts w:ascii="Segoe UI" w:hAnsi="Segoe UI" w:cs="Segoe UI"/>
          <w:lang w:eastAsia="en-GB"/>
        </w:rPr>
        <w:t xml:space="preserve"> </w:t>
      </w:r>
      <w:r>
        <w:rPr>
          <w:rFonts w:ascii="Segoe UI" w:hAnsi="Segoe UI" w:cs="Segoe UI"/>
          <w:lang w:eastAsia="en-GB"/>
        </w:rPr>
        <w:t xml:space="preserve">documented </w:t>
      </w:r>
      <w:r w:rsidR="00B404E6">
        <w:rPr>
          <w:rFonts w:ascii="Segoe UI" w:hAnsi="Segoe UI" w:cs="Segoe UI"/>
          <w:lang w:eastAsia="en-GB"/>
        </w:rPr>
        <w:t>operating model</w:t>
      </w:r>
      <w:r w:rsidR="00E11B9A">
        <w:rPr>
          <w:rFonts w:ascii="Segoe UI" w:hAnsi="Segoe UI" w:cs="Segoe UI"/>
          <w:lang w:eastAsia="en-GB"/>
        </w:rPr>
        <w:t xml:space="preserve"> </w:t>
      </w:r>
      <w:r w:rsidR="007C10DE">
        <w:rPr>
          <w:rFonts w:ascii="Segoe UI" w:hAnsi="Segoe UI" w:cs="Segoe UI"/>
          <w:lang w:eastAsia="en-GB"/>
        </w:rPr>
        <w:t>tha</w:t>
      </w:r>
      <w:r w:rsidR="00E44E07">
        <w:rPr>
          <w:rFonts w:ascii="Segoe UI" w:hAnsi="Segoe UI" w:cs="Segoe UI"/>
          <w:lang w:eastAsia="en-GB"/>
        </w:rPr>
        <w:t xml:space="preserve">t </w:t>
      </w:r>
      <w:r w:rsidR="005B22AA">
        <w:rPr>
          <w:rFonts w:ascii="Segoe UI" w:hAnsi="Segoe UI" w:cs="Segoe UI"/>
          <w:lang w:eastAsia="en-GB"/>
        </w:rPr>
        <w:t>outline</w:t>
      </w:r>
      <w:r w:rsidR="00651637">
        <w:rPr>
          <w:rFonts w:ascii="Segoe UI" w:hAnsi="Segoe UI" w:cs="Segoe UI"/>
          <w:lang w:eastAsia="en-GB"/>
        </w:rPr>
        <w:t>s</w:t>
      </w:r>
      <w:r w:rsidR="005B22AA">
        <w:rPr>
          <w:rFonts w:ascii="Segoe UI" w:hAnsi="Segoe UI" w:cs="Segoe UI"/>
          <w:lang w:eastAsia="en-GB"/>
        </w:rPr>
        <w:t xml:space="preserve"> how parts of the organisation work</w:t>
      </w:r>
      <w:r w:rsidR="00651637">
        <w:rPr>
          <w:rFonts w:ascii="Segoe UI" w:hAnsi="Segoe UI" w:cs="Segoe UI"/>
          <w:lang w:eastAsia="en-GB"/>
        </w:rPr>
        <w:t xml:space="preserve"> and where accountabilities lie</w:t>
      </w:r>
      <w:r w:rsidR="00270F89">
        <w:rPr>
          <w:rFonts w:ascii="Segoe UI" w:hAnsi="Segoe UI" w:cs="Segoe UI"/>
          <w:lang w:eastAsia="en-GB"/>
        </w:rPr>
        <w:t xml:space="preserve"> </w:t>
      </w:r>
    </w:p>
    <w:p w14:paraId="1AFB665F" w14:textId="49014CF7" w:rsidR="00B404E6" w:rsidRPr="003228F1" w:rsidRDefault="00651637" w:rsidP="00047AF3">
      <w:pPr>
        <w:pStyle w:val="ListParagraph"/>
        <w:numPr>
          <w:ilvl w:val="0"/>
          <w:numId w:val="2"/>
        </w:numPr>
        <w:spacing w:after="120"/>
        <w:rPr>
          <w:rFonts w:ascii="Segoe UI" w:hAnsi="Segoe UI" w:cs="Segoe UI"/>
          <w:lang w:eastAsia="en-GB"/>
        </w:rPr>
      </w:pPr>
      <w:r>
        <w:rPr>
          <w:rFonts w:ascii="Segoe UI" w:hAnsi="Segoe UI" w:cs="Segoe UI"/>
          <w:lang w:eastAsia="en-GB"/>
        </w:rPr>
        <w:t>have</w:t>
      </w:r>
      <w:r w:rsidR="00B404E6">
        <w:rPr>
          <w:rFonts w:ascii="Segoe UI" w:hAnsi="Segoe UI" w:cs="Segoe UI"/>
          <w:lang w:eastAsia="en-GB"/>
        </w:rPr>
        <w:t xml:space="preserve"> an</w:t>
      </w:r>
      <w:r>
        <w:rPr>
          <w:rFonts w:ascii="Segoe UI" w:hAnsi="Segoe UI" w:cs="Segoe UI"/>
          <w:lang w:eastAsia="en-GB"/>
        </w:rPr>
        <w:t xml:space="preserve"> </w:t>
      </w:r>
      <w:r w:rsidR="00E44E07">
        <w:rPr>
          <w:rFonts w:ascii="Segoe UI" w:hAnsi="Segoe UI" w:cs="Segoe UI"/>
          <w:lang w:eastAsia="en-GB"/>
        </w:rPr>
        <w:t>entity</w:t>
      </w:r>
      <w:r w:rsidR="004F1029">
        <w:rPr>
          <w:rFonts w:ascii="Segoe UI" w:hAnsi="Segoe UI" w:cs="Segoe UI"/>
          <w:lang w:eastAsia="en-GB"/>
        </w:rPr>
        <w:t xml:space="preserve"> </w:t>
      </w:r>
      <w:r w:rsidR="00B404E6">
        <w:rPr>
          <w:rFonts w:ascii="Segoe UI" w:hAnsi="Segoe UI" w:cs="Segoe UI"/>
          <w:lang w:eastAsia="en-GB"/>
        </w:rPr>
        <w:t xml:space="preserve">performance framework </w:t>
      </w:r>
      <w:r w:rsidR="0001602F">
        <w:rPr>
          <w:rFonts w:ascii="Segoe UI" w:hAnsi="Segoe UI" w:cs="Segoe UI"/>
          <w:lang w:eastAsia="en-GB"/>
        </w:rPr>
        <w:t xml:space="preserve">that includes </w:t>
      </w:r>
      <w:r w:rsidR="00D104C4">
        <w:rPr>
          <w:rFonts w:ascii="Segoe UI" w:hAnsi="Segoe UI" w:cs="Segoe UI"/>
          <w:lang w:eastAsia="en-GB"/>
        </w:rPr>
        <w:t xml:space="preserve">information on </w:t>
      </w:r>
      <w:r w:rsidR="0001602F">
        <w:rPr>
          <w:rFonts w:ascii="Segoe UI" w:hAnsi="Segoe UI" w:cs="Segoe UI"/>
          <w:lang w:eastAsia="en-GB"/>
        </w:rPr>
        <w:t>internal management levers</w:t>
      </w:r>
      <w:r w:rsidR="00D104C4">
        <w:rPr>
          <w:rFonts w:ascii="Segoe UI" w:hAnsi="Segoe UI" w:cs="Segoe UI"/>
          <w:lang w:eastAsia="en-GB"/>
        </w:rPr>
        <w:t>, escalation</w:t>
      </w:r>
      <w:r w:rsidR="009959AD">
        <w:rPr>
          <w:rFonts w:ascii="Segoe UI" w:hAnsi="Segoe UI" w:cs="Segoe UI"/>
          <w:lang w:eastAsia="en-GB"/>
        </w:rPr>
        <w:t>,</w:t>
      </w:r>
      <w:r w:rsidR="00D104C4">
        <w:rPr>
          <w:rFonts w:ascii="Segoe UI" w:hAnsi="Segoe UI" w:cs="Segoe UI"/>
          <w:lang w:eastAsia="en-GB"/>
        </w:rPr>
        <w:t xml:space="preserve"> intervention </w:t>
      </w:r>
      <w:r w:rsidR="009959AD">
        <w:rPr>
          <w:rFonts w:ascii="Segoe UI" w:hAnsi="Segoe UI" w:cs="Segoe UI"/>
          <w:lang w:eastAsia="en-GB"/>
        </w:rPr>
        <w:t xml:space="preserve">and recovery </w:t>
      </w:r>
      <w:r w:rsidR="00D104C4">
        <w:rPr>
          <w:rFonts w:ascii="Segoe UI" w:hAnsi="Segoe UI" w:cs="Segoe UI"/>
          <w:lang w:eastAsia="en-GB"/>
        </w:rPr>
        <w:t>steps</w:t>
      </w:r>
      <w:r w:rsidR="00327DB5">
        <w:rPr>
          <w:rFonts w:ascii="Segoe UI" w:hAnsi="Segoe UI" w:cs="Segoe UI"/>
          <w:lang w:eastAsia="en-GB"/>
        </w:rPr>
        <w:t xml:space="preserve"> and who is accountable for these</w:t>
      </w:r>
      <w:r w:rsidR="004D442A">
        <w:rPr>
          <w:rFonts w:ascii="Segoe UI" w:hAnsi="Segoe UI" w:cs="Segoe UI"/>
          <w:lang w:eastAsia="en-GB"/>
        </w:rPr>
        <w:t>.</w:t>
      </w:r>
      <w:r w:rsidR="00E905AC">
        <w:rPr>
          <w:rFonts w:ascii="Segoe UI" w:hAnsi="Segoe UI" w:cs="Segoe UI"/>
          <w:lang w:eastAsia="en-GB"/>
        </w:rPr>
        <w:t xml:space="preserve"> </w:t>
      </w:r>
    </w:p>
    <w:p w14:paraId="188B74B1" w14:textId="77777777" w:rsidR="00047AF3" w:rsidRPr="003228F1" w:rsidRDefault="00047AF3" w:rsidP="00EF1C89">
      <w:pPr>
        <w:pStyle w:val="Heading1"/>
      </w:pPr>
      <w:bookmarkStart w:id="6" w:name="_Hlk99357069"/>
      <w:r w:rsidRPr="003228F1">
        <w:t>Planning and Accountability</w:t>
      </w:r>
    </w:p>
    <w:bookmarkEnd w:id="6"/>
    <w:p w14:paraId="5104C3A3" w14:textId="2E2BC411" w:rsidR="00047AF3" w:rsidRPr="003228F1" w:rsidRDefault="00047AF3" w:rsidP="0087436B">
      <w:pPr>
        <w:spacing w:before="120" w:after="0"/>
        <w:rPr>
          <w:rFonts w:ascii="Segoe UI" w:hAnsi="Segoe UI" w:cs="Segoe UI"/>
        </w:rPr>
      </w:pPr>
      <w:r w:rsidRPr="003228F1">
        <w:rPr>
          <w:rFonts w:ascii="Segoe UI" w:hAnsi="Segoe UI" w:cs="Segoe UI"/>
          <w:i/>
          <w:iCs/>
        </w:rPr>
        <w:t xml:space="preserve">This section covers requirements for the preparation of the health system planning and accountability documents. </w:t>
      </w:r>
    </w:p>
    <w:p w14:paraId="3ED23475" w14:textId="000654BD" w:rsidR="00047AF3" w:rsidRDefault="00007398" w:rsidP="0024312E">
      <w:pPr>
        <w:spacing w:before="240" w:after="0"/>
        <w:rPr>
          <w:rFonts w:ascii="Segoe UI" w:hAnsi="Segoe UI" w:cs="Segoe UI"/>
        </w:rPr>
      </w:pPr>
      <w:r w:rsidRPr="00007398">
        <w:rPr>
          <w:rFonts w:ascii="Segoe UI" w:hAnsi="Segoe UI" w:cs="Segoe UI"/>
        </w:rPr>
        <w:t xml:space="preserve">Health New Zealand </w:t>
      </w:r>
      <w:r w:rsidR="00DF5360">
        <w:rPr>
          <w:rFonts w:ascii="Segoe UI" w:hAnsi="Segoe UI" w:cs="Segoe UI"/>
        </w:rPr>
        <w:t>is expected to</w:t>
      </w:r>
      <w:r w:rsidR="00047AF3" w:rsidRPr="003228F1">
        <w:rPr>
          <w:rFonts w:ascii="Segoe UI" w:hAnsi="Segoe UI" w:cs="Segoe UI"/>
        </w:rPr>
        <w:t>:</w:t>
      </w:r>
    </w:p>
    <w:p w14:paraId="6AC6BBEF" w14:textId="77777777" w:rsidR="000B6FAE" w:rsidRPr="0087436B" w:rsidRDefault="000B6FAE" w:rsidP="000B6FAE">
      <w:pPr>
        <w:pStyle w:val="ListParagraph"/>
        <w:numPr>
          <w:ilvl w:val="0"/>
          <w:numId w:val="4"/>
        </w:numPr>
        <w:spacing w:before="120" w:after="0"/>
        <w:rPr>
          <w:rStyle w:val="normaltextrun"/>
          <w:rFonts w:ascii="Segoe UI" w:hAnsi="Segoe UI" w:cs="Segoe UI"/>
        </w:rPr>
      </w:pPr>
      <w:r w:rsidRPr="0087436B">
        <w:rPr>
          <w:rFonts w:ascii="Segoe UI" w:hAnsi="Segoe UI" w:cs="Segoe UI"/>
        </w:rPr>
        <w:lastRenderedPageBreak/>
        <w:t xml:space="preserve">implement the requirements of the </w:t>
      </w:r>
      <w:r w:rsidRPr="0087436B">
        <w:rPr>
          <w:rStyle w:val="normaltextrun"/>
          <w:rFonts w:ascii="Segoe UI" w:hAnsi="Segoe UI" w:cs="Segoe UI"/>
          <w:shd w:val="clear" w:color="auto" w:fill="FFFFFF"/>
        </w:rPr>
        <w:t>Plain Language Act 2022, including report annually to the Public Service Commissioner on compliance with the Plain Language Act 2022</w:t>
      </w:r>
    </w:p>
    <w:p w14:paraId="7B7F33AC" w14:textId="77777777" w:rsidR="00C90EB0" w:rsidRDefault="000B6FAE" w:rsidP="00C90EB0">
      <w:pPr>
        <w:pStyle w:val="ListParagraph"/>
        <w:numPr>
          <w:ilvl w:val="0"/>
          <w:numId w:val="4"/>
        </w:numPr>
        <w:spacing w:before="120" w:after="0"/>
        <w:rPr>
          <w:rFonts w:ascii="Segoe UI" w:hAnsi="Segoe UI" w:cs="Segoe UI"/>
        </w:rPr>
      </w:pPr>
      <w:r w:rsidRPr="0087436B">
        <w:rPr>
          <w:rFonts w:ascii="Segoe UI" w:hAnsi="Segoe UI" w:cs="Segoe UI"/>
        </w:rPr>
        <w:t>act in accordance with the Code of expectations for health entities’ engagement with consumer and whānau (the Code)</w:t>
      </w:r>
      <w:r w:rsidR="00124F90">
        <w:rPr>
          <w:rFonts w:ascii="Segoe UI" w:hAnsi="Segoe UI" w:cs="Segoe UI"/>
        </w:rPr>
        <w:t xml:space="preserve">, working with </w:t>
      </w:r>
      <w:r w:rsidR="00B018AD" w:rsidRPr="003228F1">
        <w:rPr>
          <w:rFonts w:ascii="Segoe UI" w:hAnsi="Segoe UI" w:cs="Segoe UI"/>
        </w:rPr>
        <w:t>Health Quality &amp; Safety Commission</w:t>
      </w:r>
      <w:r w:rsidR="00B018AD">
        <w:rPr>
          <w:rFonts w:ascii="Segoe UI" w:hAnsi="Segoe UI" w:cs="Segoe UI"/>
        </w:rPr>
        <w:t xml:space="preserve"> </w:t>
      </w:r>
      <w:r w:rsidRPr="0087436B">
        <w:rPr>
          <w:rFonts w:ascii="Segoe UI" w:hAnsi="Segoe UI" w:cs="Segoe UI"/>
        </w:rPr>
        <w:t xml:space="preserve">and report annually </w:t>
      </w:r>
      <w:r w:rsidR="0046714B">
        <w:rPr>
          <w:rFonts w:ascii="Segoe UI" w:hAnsi="Segoe UI" w:cs="Segoe UI"/>
        </w:rPr>
        <w:t>in your</w:t>
      </w:r>
      <w:r w:rsidRPr="0087436B">
        <w:rPr>
          <w:rFonts w:ascii="Segoe UI" w:hAnsi="Segoe UI" w:cs="Segoe UI"/>
        </w:rPr>
        <w:t xml:space="preserve"> Annual Report on how it has given effect to the Code</w:t>
      </w:r>
    </w:p>
    <w:p w14:paraId="3FD5C892" w14:textId="4C5888A6" w:rsidR="008A53B8" w:rsidRPr="00C90EB0" w:rsidRDefault="008A53B8" w:rsidP="00C90EB0">
      <w:pPr>
        <w:pStyle w:val="ListParagraph"/>
        <w:numPr>
          <w:ilvl w:val="0"/>
          <w:numId w:val="4"/>
        </w:numPr>
        <w:spacing w:before="120" w:after="0"/>
        <w:rPr>
          <w:rFonts w:ascii="Segoe UI" w:hAnsi="Segoe UI" w:cs="Segoe UI"/>
        </w:rPr>
      </w:pPr>
      <w:r w:rsidRPr="00C90EB0">
        <w:rPr>
          <w:rFonts w:ascii="Segoe UI" w:hAnsi="Segoe UI" w:cs="Segoe UI"/>
        </w:rPr>
        <w:t xml:space="preserve">give effect to the New Zealand Health Charter | Te Mauri o Ronga, and report at least every five years on how you have put the charter in practice.  </w:t>
      </w:r>
    </w:p>
    <w:p w14:paraId="7AF80339" w14:textId="0436F870" w:rsidR="004F68B6" w:rsidRPr="003228F1" w:rsidRDefault="00047AF3" w:rsidP="00047AF3">
      <w:pPr>
        <w:pStyle w:val="ListParagraph"/>
        <w:numPr>
          <w:ilvl w:val="0"/>
          <w:numId w:val="4"/>
        </w:numPr>
        <w:spacing w:before="120" w:after="0"/>
        <w:rPr>
          <w:rFonts w:ascii="Segoe UI" w:hAnsi="Segoe UI" w:cs="Segoe UI"/>
        </w:rPr>
      </w:pPr>
      <w:bookmarkStart w:id="7" w:name="_Hlk97023112"/>
      <w:r w:rsidRPr="003228F1">
        <w:rPr>
          <w:rFonts w:ascii="Segoe UI" w:hAnsi="Segoe UI" w:cs="Segoe UI"/>
        </w:rPr>
        <w:t>ensure access to services and communication about those services are accessible, effective and responsive, and that those services are safe and effective for all people (</w:t>
      </w:r>
      <w:r w:rsidR="009420A5">
        <w:rPr>
          <w:rFonts w:ascii="Segoe UI" w:hAnsi="Segoe UI" w:cs="Segoe UI"/>
        </w:rPr>
        <w:t>as per</w:t>
      </w:r>
      <w:r w:rsidR="009420A5" w:rsidRPr="003228F1">
        <w:rPr>
          <w:rFonts w:ascii="Segoe UI" w:hAnsi="Segoe UI" w:cs="Segoe UI"/>
        </w:rPr>
        <w:t xml:space="preserve"> </w:t>
      </w:r>
      <w:r w:rsidRPr="003228F1">
        <w:rPr>
          <w:rFonts w:ascii="Segoe UI" w:hAnsi="Segoe UI" w:cs="Segoe UI"/>
        </w:rPr>
        <w:t xml:space="preserve">Ngā Paerewa Health and Disability Services </w:t>
      </w:r>
      <w:r w:rsidRPr="009420A5">
        <w:rPr>
          <w:rFonts w:ascii="Segoe UI" w:hAnsi="Segoe UI" w:cs="Segoe UI"/>
        </w:rPr>
        <w:t>Standard</w:t>
      </w:r>
      <w:r w:rsidR="009420A5" w:rsidRPr="009420A5">
        <w:rPr>
          <w:rFonts w:ascii="Segoe UI" w:hAnsi="Segoe UI" w:cs="Segoe UI"/>
        </w:rPr>
        <w:t xml:space="preserve"> </w:t>
      </w:r>
      <w:r w:rsidR="009420A5" w:rsidRPr="0087436B">
        <w:rPr>
          <w:rFonts w:ascii="Segoe UI" w:hAnsi="Segoe UI" w:cs="Segoe UI"/>
        </w:rPr>
        <w:t>(NZS 8134:2021)</w:t>
      </w:r>
      <w:r w:rsidR="005E0889" w:rsidRPr="009420A5">
        <w:rPr>
          <w:rFonts w:ascii="Segoe UI" w:hAnsi="Segoe UI" w:cs="Segoe UI"/>
        </w:rPr>
        <w:t>)</w:t>
      </w:r>
      <w:r w:rsidRPr="003228F1">
        <w:rPr>
          <w:rFonts w:ascii="Segoe UI" w:hAnsi="Segoe UI" w:cs="Segoe UI"/>
        </w:rPr>
        <w:t xml:space="preserve"> </w:t>
      </w:r>
    </w:p>
    <w:bookmarkEnd w:id="7"/>
    <w:p w14:paraId="70E18FB2" w14:textId="76BC61F9" w:rsidR="00047AF3" w:rsidRPr="003228F1" w:rsidRDefault="00047AF3" w:rsidP="00600208">
      <w:pPr>
        <w:pStyle w:val="ListParagraph"/>
        <w:numPr>
          <w:ilvl w:val="0"/>
          <w:numId w:val="4"/>
        </w:numPr>
        <w:spacing w:before="120" w:after="0"/>
        <w:rPr>
          <w:rFonts w:ascii="Segoe UI" w:hAnsi="Segoe UI" w:cs="Segoe UI"/>
        </w:rPr>
      </w:pPr>
      <w:r w:rsidRPr="174E3CA1">
        <w:rPr>
          <w:rFonts w:ascii="Segoe UI" w:hAnsi="Segoe UI" w:cs="Segoe UI"/>
        </w:rPr>
        <w:t>develop, maintain and exercise Health Emergency Plan</w:t>
      </w:r>
      <w:r w:rsidR="00762AB0" w:rsidRPr="174E3CA1">
        <w:rPr>
          <w:rFonts w:ascii="Segoe UI" w:hAnsi="Segoe UI" w:cs="Segoe UI"/>
        </w:rPr>
        <w:t xml:space="preserve">s for significant incidents and emergencies </w:t>
      </w:r>
      <w:r w:rsidR="00544F1A" w:rsidRPr="174E3CA1">
        <w:rPr>
          <w:rFonts w:ascii="Segoe UI" w:hAnsi="Segoe UI" w:cs="Segoe UI"/>
        </w:rPr>
        <w:t>a</w:t>
      </w:r>
      <w:r w:rsidR="00762AB0" w:rsidRPr="174E3CA1">
        <w:rPr>
          <w:rFonts w:ascii="Segoe UI" w:hAnsi="Segoe UI" w:cs="Segoe UI"/>
        </w:rPr>
        <w:t xml:space="preserve">s required under the National CDEM Plan Order arising from s39 in the CDEM Act 2002. Schedule 3 of the Pae Ora (Healthy Futures) Act 2022 captures the consequential amendments associated with the health and disability reform as they relate to the emergency management legislation and the National Civil Defence Emergency Management Plan Order 2015 (CDEM Plan Order). </w:t>
      </w:r>
      <w:r w:rsidR="00600208" w:rsidRPr="174E3CA1">
        <w:rPr>
          <w:rFonts w:ascii="Segoe UI" w:hAnsi="Segoe UI" w:cs="Segoe UI"/>
        </w:rPr>
        <w:t>Refer t</w:t>
      </w:r>
      <w:r w:rsidR="00B632FE" w:rsidRPr="174E3CA1">
        <w:rPr>
          <w:rFonts w:ascii="Segoe UI" w:hAnsi="Segoe UI" w:cs="Segoe UI"/>
        </w:rPr>
        <w:t xml:space="preserve">o </w:t>
      </w:r>
      <w:r w:rsidR="00762AB0" w:rsidRPr="174E3CA1">
        <w:rPr>
          <w:rFonts w:ascii="Segoe UI" w:hAnsi="Segoe UI" w:cs="Segoe UI"/>
        </w:rPr>
        <w:t>National CDEM Plan s50</w:t>
      </w:r>
      <w:r w:rsidR="00EC3582" w:rsidRPr="174E3CA1">
        <w:rPr>
          <w:rFonts w:ascii="Segoe UI" w:hAnsi="Segoe UI" w:cs="Segoe UI"/>
        </w:rPr>
        <w:t>,</w:t>
      </w:r>
      <w:r w:rsidR="00762AB0" w:rsidRPr="174E3CA1">
        <w:rPr>
          <w:rFonts w:ascii="Segoe UI" w:hAnsi="Segoe UI" w:cs="Segoe UI"/>
        </w:rPr>
        <w:t xml:space="preserve"> </w:t>
      </w:r>
      <w:r w:rsidR="00EC3582" w:rsidRPr="174E3CA1">
        <w:rPr>
          <w:rFonts w:ascii="Segoe UI" w:hAnsi="Segoe UI" w:cs="Segoe UI"/>
        </w:rPr>
        <w:t>S</w:t>
      </w:r>
      <w:r w:rsidR="00762AB0" w:rsidRPr="174E3CA1">
        <w:rPr>
          <w:rFonts w:ascii="Segoe UI" w:hAnsi="Segoe UI" w:cs="Segoe UI"/>
        </w:rPr>
        <w:t>51</w:t>
      </w:r>
      <w:r w:rsidR="005F38D2" w:rsidRPr="174E3CA1">
        <w:rPr>
          <w:rFonts w:ascii="Segoe UI" w:hAnsi="Segoe UI" w:cs="Segoe UI"/>
        </w:rPr>
        <w:t xml:space="preserve"> and</w:t>
      </w:r>
      <w:r w:rsidR="00762AB0" w:rsidRPr="174E3CA1">
        <w:rPr>
          <w:rFonts w:ascii="Segoe UI" w:hAnsi="Segoe UI" w:cs="Segoe UI"/>
        </w:rPr>
        <w:t xml:space="preserve"> </w:t>
      </w:r>
      <w:r w:rsidR="005F38D2" w:rsidRPr="174E3CA1">
        <w:rPr>
          <w:rFonts w:ascii="Segoe UI" w:hAnsi="Segoe UI" w:cs="Segoe UI"/>
        </w:rPr>
        <w:t xml:space="preserve">s71 (psychosocial support) </w:t>
      </w:r>
      <w:r w:rsidR="00B632FE" w:rsidRPr="174E3CA1">
        <w:rPr>
          <w:rFonts w:ascii="Segoe UI" w:hAnsi="Segoe UI" w:cs="Segoe UI"/>
        </w:rPr>
        <w:t>for</w:t>
      </w:r>
      <w:r w:rsidR="00762AB0" w:rsidRPr="174E3CA1">
        <w:rPr>
          <w:rFonts w:ascii="Segoe UI" w:hAnsi="Segoe UI" w:cs="Segoe UI"/>
        </w:rPr>
        <w:t xml:space="preserve"> the requirements specifically for Health New Zealand, Land and air ambulance, and all other health and disability service providers</w:t>
      </w:r>
    </w:p>
    <w:p w14:paraId="0C402F73" w14:textId="42E12CCB" w:rsidR="009637D8" w:rsidRPr="003228F1" w:rsidRDefault="004D3E9C" w:rsidP="00047AF3">
      <w:pPr>
        <w:pStyle w:val="ListParagraph"/>
        <w:numPr>
          <w:ilvl w:val="0"/>
          <w:numId w:val="4"/>
        </w:numPr>
        <w:spacing w:before="120" w:after="0"/>
        <w:rPr>
          <w:rFonts w:ascii="Segoe UI" w:hAnsi="Segoe UI" w:cs="Segoe UI"/>
        </w:rPr>
      </w:pPr>
      <w:r w:rsidRPr="003228F1">
        <w:rPr>
          <w:rFonts w:ascii="Segoe UI" w:hAnsi="Segoe UI" w:cs="Segoe UI"/>
        </w:rPr>
        <w:t>g</w:t>
      </w:r>
      <w:r w:rsidR="009637D8" w:rsidRPr="003228F1">
        <w:rPr>
          <w:rFonts w:ascii="Segoe UI" w:hAnsi="Segoe UI" w:cs="Segoe UI"/>
        </w:rPr>
        <w:t>ive effect to relevant international health obligations, including in particular provisions of the International Health Regulations 2005 such as those relating to competent authorities and the core capacities for surveillance, risk assessment</w:t>
      </w:r>
      <w:r w:rsidR="00F25634" w:rsidRPr="003228F1">
        <w:rPr>
          <w:rFonts w:ascii="Segoe UI" w:hAnsi="Segoe UI" w:cs="Segoe UI"/>
        </w:rPr>
        <w:t xml:space="preserve"> and</w:t>
      </w:r>
      <w:r w:rsidR="009637D8" w:rsidRPr="003228F1">
        <w:rPr>
          <w:rFonts w:ascii="Segoe UI" w:hAnsi="Segoe UI" w:cs="Segoe UI"/>
        </w:rPr>
        <w:t xml:space="preserve"> response.</w:t>
      </w:r>
    </w:p>
    <w:p w14:paraId="18528186" w14:textId="53DF7CEE" w:rsidR="00047AF3" w:rsidRPr="003228F1" w:rsidRDefault="00047AF3" w:rsidP="00047AF3">
      <w:pPr>
        <w:pStyle w:val="ListParagraph"/>
        <w:numPr>
          <w:ilvl w:val="0"/>
          <w:numId w:val="4"/>
        </w:numPr>
        <w:spacing w:before="120" w:after="0"/>
        <w:rPr>
          <w:rFonts w:ascii="Segoe UI" w:hAnsi="Segoe UI" w:cs="Segoe UI"/>
        </w:rPr>
      </w:pPr>
      <w:r w:rsidRPr="003228F1">
        <w:rPr>
          <w:rFonts w:ascii="Segoe UI" w:hAnsi="Segoe UI" w:cs="Segoe UI"/>
        </w:rPr>
        <w:t xml:space="preserve">have </w:t>
      </w:r>
      <w:r w:rsidR="008A53B8">
        <w:rPr>
          <w:rFonts w:ascii="Segoe UI" w:hAnsi="Segoe UI" w:cs="Segoe UI"/>
        </w:rPr>
        <w:t>implemented written</w:t>
      </w:r>
      <w:r w:rsidRPr="003228F1">
        <w:rPr>
          <w:rFonts w:ascii="Segoe UI" w:hAnsi="Segoe UI" w:cs="Segoe UI"/>
        </w:rPr>
        <w:t xml:space="preserve"> policies and procedures for seeking ethical review and advice from an approved research ethics committee </w:t>
      </w:r>
    </w:p>
    <w:p w14:paraId="2007C9D6" w14:textId="7C603DF7" w:rsidR="005D6C81" w:rsidRPr="003228F1" w:rsidRDefault="00047AF3" w:rsidP="00047AF3">
      <w:pPr>
        <w:pStyle w:val="ListParagraph"/>
        <w:numPr>
          <w:ilvl w:val="0"/>
          <w:numId w:val="4"/>
        </w:numPr>
        <w:spacing w:before="120" w:after="0"/>
        <w:rPr>
          <w:rFonts w:ascii="Segoe UI" w:hAnsi="Segoe UI" w:cs="Segoe UI"/>
        </w:rPr>
      </w:pPr>
      <w:r w:rsidRPr="003228F1">
        <w:rPr>
          <w:rFonts w:ascii="Segoe UI" w:hAnsi="Segoe UI" w:cs="Segoe UI"/>
        </w:rPr>
        <w:t>act consistently with and comply with Pharmac Te Rārangi Rongoā pharmaceutical schedule</w:t>
      </w:r>
      <w:r w:rsidRPr="003228F1">
        <w:rPr>
          <w:rStyle w:val="FootnoteReference"/>
          <w:rFonts w:ascii="Segoe UI" w:hAnsi="Segoe UI" w:cs="Segoe UI"/>
        </w:rPr>
        <w:footnoteReference w:id="2"/>
      </w:r>
      <w:r w:rsidRPr="003228F1">
        <w:rPr>
          <w:rFonts w:ascii="Segoe UI" w:hAnsi="Segoe UI" w:cs="Segoe UI"/>
        </w:rPr>
        <w:t xml:space="preserve"> </w:t>
      </w:r>
    </w:p>
    <w:p w14:paraId="304143DE" w14:textId="108941A6" w:rsidR="005C4248" w:rsidRPr="003228F1" w:rsidRDefault="00047AF3" w:rsidP="005D6C81">
      <w:pPr>
        <w:pStyle w:val="ListParagraph"/>
        <w:numPr>
          <w:ilvl w:val="0"/>
          <w:numId w:val="4"/>
        </w:numPr>
        <w:spacing w:before="120" w:after="0"/>
        <w:rPr>
          <w:rFonts w:ascii="Segoe UI" w:hAnsi="Segoe UI" w:cs="Segoe UI"/>
        </w:rPr>
      </w:pPr>
      <w:r w:rsidRPr="003228F1">
        <w:rPr>
          <w:rFonts w:ascii="Segoe UI" w:hAnsi="Segoe UI" w:cs="Segoe UI"/>
        </w:rPr>
        <w:t>follow the service change protocols and processes on how public consultation is managed within the planning framework and the requirements of the Pae Ora (Healthy Futures) Act 2022 and Health Report (20101590 refers)</w:t>
      </w:r>
      <w:r w:rsidR="003A3AD9" w:rsidRPr="003228F1">
        <w:rPr>
          <w:rFonts w:ascii="Segoe UI" w:hAnsi="Segoe UI" w:cs="Segoe UI"/>
        </w:rPr>
        <w:t xml:space="preserve"> (Refer to Appendix </w:t>
      </w:r>
      <w:r w:rsidR="00F455A6" w:rsidRPr="003228F1">
        <w:rPr>
          <w:rFonts w:ascii="Segoe UI" w:hAnsi="Segoe UI" w:cs="Segoe UI"/>
        </w:rPr>
        <w:t>two</w:t>
      </w:r>
      <w:r w:rsidR="003A3AD9" w:rsidRPr="003228F1">
        <w:rPr>
          <w:rFonts w:ascii="Segoe UI" w:hAnsi="Segoe UI" w:cs="Segoe UI"/>
        </w:rPr>
        <w:t xml:space="preserve"> Service Change protocol</w:t>
      </w:r>
      <w:r w:rsidR="004E2AD2" w:rsidRPr="003228F1">
        <w:rPr>
          <w:rFonts w:ascii="Segoe UI" w:hAnsi="Segoe UI" w:cs="Segoe UI"/>
        </w:rPr>
        <w:t>s</w:t>
      </w:r>
      <w:r w:rsidR="003A3AD9" w:rsidRPr="003228F1">
        <w:rPr>
          <w:rFonts w:ascii="Segoe UI" w:hAnsi="Segoe UI" w:cs="Segoe UI"/>
        </w:rPr>
        <w:t>)</w:t>
      </w:r>
      <w:r w:rsidR="00DD37F6" w:rsidRPr="003228F1">
        <w:rPr>
          <w:rFonts w:ascii="Segoe UI" w:hAnsi="Segoe UI" w:cs="Segoe UI"/>
        </w:rPr>
        <w:t>.</w:t>
      </w:r>
    </w:p>
    <w:p w14:paraId="0B25EF09" w14:textId="087426E1" w:rsidR="000F25AE" w:rsidRDefault="001837D4" w:rsidP="00AF5665">
      <w:pPr>
        <w:pStyle w:val="ListParagraph"/>
        <w:numPr>
          <w:ilvl w:val="0"/>
          <w:numId w:val="4"/>
        </w:numPr>
        <w:spacing w:before="120" w:after="0"/>
        <w:ind w:left="426" w:hanging="426"/>
        <w:rPr>
          <w:rFonts w:ascii="Segoe UI" w:hAnsi="Segoe UI" w:cs="Segoe UI"/>
        </w:rPr>
      </w:pPr>
      <w:r w:rsidRPr="003228F1">
        <w:rPr>
          <w:rFonts w:ascii="Segoe UI" w:hAnsi="Segoe UI" w:cs="Segoe UI"/>
        </w:rPr>
        <w:t>m</w:t>
      </w:r>
      <w:r w:rsidR="0067312F" w:rsidRPr="003228F1">
        <w:rPr>
          <w:rFonts w:ascii="Segoe UI" w:hAnsi="Segoe UI" w:cs="Segoe UI"/>
        </w:rPr>
        <w:t>aintain</w:t>
      </w:r>
      <w:r w:rsidR="00442DF8" w:rsidRPr="003228F1">
        <w:rPr>
          <w:rFonts w:ascii="Segoe UI" w:hAnsi="Segoe UI" w:cs="Segoe UI"/>
        </w:rPr>
        <w:t xml:space="preserve"> </w:t>
      </w:r>
      <w:r w:rsidRPr="003228F1">
        <w:rPr>
          <w:rFonts w:ascii="Segoe UI" w:hAnsi="Segoe UI" w:cs="Segoe UI"/>
        </w:rPr>
        <w:t xml:space="preserve">the </w:t>
      </w:r>
      <w:r w:rsidR="00AC18FD" w:rsidRPr="003228F1">
        <w:rPr>
          <w:rFonts w:ascii="Segoe UI" w:hAnsi="Segoe UI" w:cs="Segoe UI"/>
        </w:rPr>
        <w:t>N</w:t>
      </w:r>
      <w:r w:rsidRPr="003228F1">
        <w:rPr>
          <w:rFonts w:ascii="Segoe UI" w:hAnsi="Segoe UI" w:cs="Segoe UI"/>
        </w:rPr>
        <w:t xml:space="preserve">ationwide </w:t>
      </w:r>
      <w:r w:rsidR="00AC18FD" w:rsidRPr="003228F1">
        <w:rPr>
          <w:rFonts w:ascii="Segoe UI" w:hAnsi="Segoe UI" w:cs="Segoe UI"/>
        </w:rPr>
        <w:t>Service Framework (</w:t>
      </w:r>
      <w:r w:rsidR="00400525" w:rsidRPr="003228F1">
        <w:rPr>
          <w:rFonts w:ascii="Segoe UI" w:hAnsi="Segoe UI" w:cs="Segoe UI"/>
        </w:rPr>
        <w:t xml:space="preserve">NSF) </w:t>
      </w:r>
      <w:r w:rsidR="0066340F" w:rsidRPr="003228F1">
        <w:rPr>
          <w:rFonts w:ascii="Segoe UI" w:hAnsi="Segoe UI" w:cs="Segoe UI"/>
        </w:rPr>
        <w:t xml:space="preserve">to provide common definition, processes and information to ensure nationwide </w:t>
      </w:r>
      <w:r w:rsidR="006D60B4" w:rsidRPr="003228F1">
        <w:rPr>
          <w:rFonts w:ascii="Segoe UI" w:hAnsi="Segoe UI" w:cs="Segoe UI"/>
        </w:rPr>
        <w:t xml:space="preserve">consistency were required and clarity of the services </w:t>
      </w:r>
      <w:r w:rsidR="000852F7" w:rsidRPr="003228F1">
        <w:rPr>
          <w:rFonts w:ascii="Segoe UI" w:hAnsi="Segoe UI" w:cs="Segoe UI"/>
        </w:rPr>
        <w:t>to be funded and provided</w:t>
      </w:r>
      <w:r w:rsidR="005E0F31" w:rsidRPr="003228F1">
        <w:rPr>
          <w:rFonts w:ascii="Segoe UI" w:hAnsi="Segoe UI" w:cs="Segoe UI"/>
        </w:rPr>
        <w:t xml:space="preserve">. </w:t>
      </w:r>
      <w:r w:rsidR="00627217" w:rsidRPr="003228F1">
        <w:rPr>
          <w:rFonts w:ascii="Segoe UI" w:hAnsi="Segoe UI" w:cs="Segoe UI"/>
        </w:rPr>
        <w:t xml:space="preserve">NSF components include, but are not limited to </w:t>
      </w:r>
      <w:r w:rsidR="00AB5B46" w:rsidRPr="003228F1">
        <w:rPr>
          <w:rFonts w:ascii="Segoe UI" w:hAnsi="Segoe UI" w:cs="Segoe UI"/>
        </w:rPr>
        <w:t>nationwide service specifications</w:t>
      </w:r>
      <w:r w:rsidR="00DB3C54" w:rsidRPr="003228F1">
        <w:rPr>
          <w:rFonts w:ascii="Segoe UI" w:hAnsi="Segoe UI" w:cs="Segoe UI"/>
        </w:rPr>
        <w:t xml:space="preserve">, purchase unit codes, </w:t>
      </w:r>
      <w:r w:rsidR="00627217" w:rsidRPr="003228F1">
        <w:rPr>
          <w:rFonts w:ascii="Segoe UI" w:hAnsi="Segoe UI" w:cs="Segoe UI"/>
        </w:rPr>
        <w:t>common costing guidelines, common counting standards</w:t>
      </w:r>
      <w:r w:rsidR="00AB5B46" w:rsidRPr="003228F1">
        <w:rPr>
          <w:rFonts w:ascii="Segoe UI" w:hAnsi="Segoe UI" w:cs="Segoe UI"/>
        </w:rPr>
        <w:t>, clinical coding</w:t>
      </w:r>
      <w:r w:rsidR="00F52DDB" w:rsidRPr="003228F1">
        <w:rPr>
          <w:rFonts w:ascii="Segoe UI" w:hAnsi="Segoe UI" w:cs="Segoe UI"/>
        </w:rPr>
        <w:t xml:space="preserve"> </w:t>
      </w:r>
      <w:r w:rsidR="000E6D4B" w:rsidRPr="003228F1">
        <w:rPr>
          <w:rFonts w:ascii="Segoe UI" w:hAnsi="Segoe UI" w:cs="Segoe UI"/>
        </w:rPr>
        <w:t>(</w:t>
      </w:r>
      <w:r w:rsidR="000F25AE" w:rsidRPr="003228F1">
        <w:rPr>
          <w:rFonts w:ascii="Segoe UI" w:hAnsi="Segoe UI" w:cs="Segoe UI"/>
        </w:rPr>
        <w:t xml:space="preserve">CAB (00) 319, CAB (00) 418 and SPH (00) 160 of the Nationwide Service Framework </w:t>
      </w:r>
      <w:r w:rsidR="00F52DDB" w:rsidRPr="003228F1">
        <w:rPr>
          <w:rFonts w:ascii="Segoe UI" w:hAnsi="Segoe UI" w:cs="Segoe UI"/>
        </w:rPr>
        <w:t>refers</w:t>
      </w:r>
      <w:r w:rsidR="000F25AE" w:rsidRPr="003228F1">
        <w:rPr>
          <w:rFonts w:ascii="Segoe UI" w:hAnsi="Segoe UI" w:cs="Segoe UI"/>
        </w:rPr>
        <w:t>)</w:t>
      </w:r>
      <w:r w:rsidR="00BC14B3" w:rsidRPr="003228F1">
        <w:rPr>
          <w:rFonts w:ascii="Segoe UI" w:hAnsi="Segoe UI" w:cs="Segoe UI"/>
        </w:rPr>
        <w:t>.</w:t>
      </w:r>
    </w:p>
    <w:p w14:paraId="5A7D8DE1" w14:textId="77777777" w:rsidR="00857712" w:rsidRPr="003228F1" w:rsidRDefault="00857712" w:rsidP="00AF060D">
      <w:pPr>
        <w:pStyle w:val="ListParagraph"/>
        <w:spacing w:before="120" w:after="0"/>
        <w:ind w:left="426"/>
        <w:rPr>
          <w:rFonts w:ascii="Segoe UI" w:hAnsi="Segoe UI" w:cs="Segoe UI"/>
        </w:rPr>
      </w:pPr>
    </w:p>
    <w:p w14:paraId="2D7BBC99" w14:textId="0F996808" w:rsidR="00047AF3" w:rsidRPr="003228F1" w:rsidRDefault="00AC18FD" w:rsidP="00EF1C89">
      <w:pPr>
        <w:pStyle w:val="Heading1"/>
      </w:pPr>
      <w:r w:rsidRPr="003228F1">
        <w:t xml:space="preserve"> </w:t>
      </w:r>
      <w:bookmarkStart w:id="8" w:name="_Hlk99357089"/>
      <w:bookmarkStart w:id="9" w:name="_Hlk98769532"/>
      <w:r w:rsidR="00047AF3" w:rsidRPr="003228F1">
        <w:t>System and service planning</w:t>
      </w:r>
      <w:bookmarkEnd w:id="8"/>
    </w:p>
    <w:p w14:paraId="7EFF0CE6" w14:textId="2A36FEF8" w:rsidR="00047AF3" w:rsidRPr="003228F1" w:rsidRDefault="00047AF3" w:rsidP="00047AF3">
      <w:pPr>
        <w:spacing w:before="120" w:after="120"/>
        <w:rPr>
          <w:rFonts w:ascii="Segoe UI" w:hAnsi="Segoe UI" w:cs="Segoe UI"/>
          <w:i/>
          <w:iCs/>
          <w:lang w:eastAsia="en-GB"/>
        </w:rPr>
      </w:pPr>
      <w:r w:rsidRPr="003228F1">
        <w:rPr>
          <w:rFonts w:ascii="Segoe UI" w:hAnsi="Segoe UI" w:cs="Segoe UI"/>
          <w:i/>
          <w:iCs/>
          <w:lang w:eastAsia="en-GB"/>
        </w:rPr>
        <w:t xml:space="preserve">This section covers </w:t>
      </w:r>
      <w:bookmarkStart w:id="10" w:name="_Hlk97020687"/>
      <w:r w:rsidR="007D3000">
        <w:rPr>
          <w:rFonts w:ascii="Segoe UI" w:hAnsi="Segoe UI" w:cs="Segoe UI"/>
          <w:i/>
          <w:iCs/>
          <w:lang w:eastAsia="en-GB"/>
        </w:rPr>
        <w:t xml:space="preserve">service planning </w:t>
      </w:r>
      <w:r w:rsidRPr="003228F1">
        <w:rPr>
          <w:rFonts w:ascii="Segoe UI" w:hAnsi="Segoe UI" w:cs="Segoe UI"/>
          <w:i/>
          <w:iCs/>
          <w:lang w:eastAsia="en-GB"/>
        </w:rPr>
        <w:t>requirements</w:t>
      </w:r>
      <w:r w:rsidR="007D3000">
        <w:rPr>
          <w:rFonts w:ascii="Segoe UI" w:hAnsi="Segoe UI" w:cs="Segoe UI"/>
          <w:i/>
          <w:iCs/>
          <w:lang w:eastAsia="en-GB"/>
        </w:rPr>
        <w:t xml:space="preserve"> in addition to </w:t>
      </w:r>
      <w:r w:rsidR="00141E9F">
        <w:rPr>
          <w:rFonts w:ascii="Segoe UI" w:hAnsi="Segoe UI" w:cs="Segoe UI"/>
          <w:i/>
          <w:iCs/>
          <w:lang w:eastAsia="en-GB"/>
        </w:rPr>
        <w:t xml:space="preserve">those </w:t>
      </w:r>
      <w:r w:rsidR="009C5F90">
        <w:rPr>
          <w:rFonts w:ascii="Segoe UI" w:hAnsi="Segoe UI" w:cs="Segoe UI"/>
          <w:i/>
          <w:iCs/>
          <w:lang w:eastAsia="en-GB"/>
        </w:rPr>
        <w:t xml:space="preserve">already </w:t>
      </w:r>
      <w:r w:rsidR="007D3000">
        <w:rPr>
          <w:rFonts w:ascii="Segoe UI" w:hAnsi="Segoe UI" w:cs="Segoe UI"/>
          <w:i/>
          <w:iCs/>
          <w:lang w:eastAsia="en-GB"/>
        </w:rPr>
        <w:t xml:space="preserve">specified </w:t>
      </w:r>
      <w:r w:rsidR="007E40E5">
        <w:rPr>
          <w:rFonts w:ascii="Segoe UI" w:hAnsi="Segoe UI" w:cs="Segoe UI"/>
          <w:i/>
          <w:iCs/>
          <w:lang w:eastAsia="en-GB"/>
        </w:rPr>
        <w:t>in the Pae Ora Act 2022</w:t>
      </w:r>
      <w:r w:rsidR="00BD133D">
        <w:rPr>
          <w:rFonts w:ascii="Segoe UI" w:hAnsi="Segoe UI" w:cs="Segoe UI"/>
          <w:i/>
          <w:iCs/>
          <w:lang w:eastAsia="en-GB"/>
        </w:rPr>
        <w:t xml:space="preserve">, like </w:t>
      </w:r>
      <w:r w:rsidR="00983044">
        <w:rPr>
          <w:rFonts w:ascii="Segoe UI" w:hAnsi="Segoe UI" w:cs="Segoe UI"/>
          <w:i/>
          <w:iCs/>
          <w:lang w:eastAsia="en-GB"/>
        </w:rPr>
        <w:t xml:space="preserve">Te Tiriti o Waitangi, </w:t>
      </w:r>
      <w:r w:rsidR="00BD133D">
        <w:rPr>
          <w:rFonts w:ascii="Segoe UI" w:hAnsi="Segoe UI" w:cs="Segoe UI"/>
          <w:i/>
          <w:iCs/>
          <w:lang w:eastAsia="en-GB"/>
        </w:rPr>
        <w:t xml:space="preserve">the </w:t>
      </w:r>
      <w:r w:rsidR="00144C87">
        <w:rPr>
          <w:rFonts w:ascii="Segoe UI" w:hAnsi="Segoe UI" w:cs="Segoe UI"/>
          <w:i/>
          <w:iCs/>
          <w:lang w:eastAsia="en-GB"/>
        </w:rPr>
        <w:t>six health strategies</w:t>
      </w:r>
      <w:r w:rsidR="008559F0">
        <w:rPr>
          <w:rFonts w:ascii="Segoe UI" w:hAnsi="Segoe UI" w:cs="Segoe UI"/>
          <w:i/>
          <w:iCs/>
          <w:lang w:eastAsia="en-GB"/>
        </w:rPr>
        <w:t xml:space="preserve"> and the Government</w:t>
      </w:r>
      <w:r w:rsidR="009A0B9F">
        <w:rPr>
          <w:rFonts w:ascii="Segoe UI" w:hAnsi="Segoe UI" w:cs="Segoe UI"/>
          <w:i/>
          <w:iCs/>
          <w:lang w:eastAsia="en-GB"/>
        </w:rPr>
        <w:t xml:space="preserve"> Policy statement on H</w:t>
      </w:r>
      <w:r w:rsidR="008559F0">
        <w:rPr>
          <w:rFonts w:ascii="Segoe UI" w:hAnsi="Segoe UI" w:cs="Segoe UI"/>
          <w:i/>
          <w:iCs/>
          <w:lang w:eastAsia="en-GB"/>
        </w:rPr>
        <w:t>ealth</w:t>
      </w:r>
      <w:r w:rsidR="007E40E5">
        <w:rPr>
          <w:rFonts w:ascii="Segoe UI" w:hAnsi="Segoe UI" w:cs="Segoe UI"/>
          <w:i/>
          <w:iCs/>
          <w:lang w:eastAsia="en-GB"/>
        </w:rPr>
        <w:t>)</w:t>
      </w:r>
      <w:r w:rsidR="00141E9F">
        <w:rPr>
          <w:rFonts w:ascii="Segoe UI" w:hAnsi="Segoe UI" w:cs="Segoe UI"/>
          <w:i/>
          <w:iCs/>
          <w:lang w:eastAsia="en-GB"/>
        </w:rPr>
        <w:t>.</w:t>
      </w:r>
      <w:r w:rsidR="007D3000">
        <w:rPr>
          <w:rFonts w:ascii="Segoe UI" w:hAnsi="Segoe UI" w:cs="Segoe UI"/>
          <w:i/>
          <w:iCs/>
          <w:lang w:eastAsia="en-GB"/>
        </w:rPr>
        <w:t xml:space="preserve"> </w:t>
      </w:r>
      <w:r w:rsidR="008559F0">
        <w:rPr>
          <w:rFonts w:ascii="Segoe UI" w:hAnsi="Segoe UI" w:cs="Segoe UI"/>
          <w:i/>
          <w:iCs/>
          <w:lang w:eastAsia="en-GB"/>
        </w:rPr>
        <w:t>T</w:t>
      </w:r>
      <w:r w:rsidRPr="003228F1">
        <w:rPr>
          <w:rFonts w:ascii="Segoe UI" w:hAnsi="Segoe UI" w:cs="Segoe UI"/>
          <w:i/>
          <w:iCs/>
          <w:lang w:eastAsia="en-GB"/>
        </w:rPr>
        <w:t xml:space="preserve">he </w:t>
      </w:r>
      <w:r w:rsidR="00D53153">
        <w:rPr>
          <w:rFonts w:ascii="Segoe UI" w:hAnsi="Segoe UI" w:cs="Segoe UI"/>
          <w:i/>
          <w:iCs/>
          <w:lang w:eastAsia="en-GB"/>
        </w:rPr>
        <w:t xml:space="preserve">additional </w:t>
      </w:r>
      <w:r w:rsidRPr="003228F1">
        <w:rPr>
          <w:rFonts w:ascii="Segoe UI" w:hAnsi="Segoe UI" w:cs="Segoe UI"/>
          <w:i/>
          <w:iCs/>
          <w:lang w:eastAsia="en-GB"/>
        </w:rPr>
        <w:t>key national health and disability strategies and action plans and highlights specific key system operational policies to support service planning</w:t>
      </w:r>
      <w:r w:rsidR="008559F0">
        <w:rPr>
          <w:rFonts w:ascii="Segoe UI" w:hAnsi="Segoe UI" w:cs="Segoe UI"/>
          <w:i/>
          <w:iCs/>
          <w:lang w:eastAsia="en-GB"/>
        </w:rPr>
        <w:t xml:space="preserve"> are </w:t>
      </w:r>
      <w:r w:rsidR="00D53153">
        <w:rPr>
          <w:rFonts w:ascii="Segoe UI" w:hAnsi="Segoe UI" w:cs="Segoe UI"/>
          <w:i/>
          <w:iCs/>
          <w:lang w:eastAsia="en-GB"/>
        </w:rPr>
        <w:t>listed</w:t>
      </w:r>
      <w:r w:rsidR="008559F0">
        <w:rPr>
          <w:rFonts w:ascii="Segoe UI" w:hAnsi="Segoe UI" w:cs="Segoe UI"/>
          <w:i/>
          <w:iCs/>
          <w:lang w:eastAsia="en-GB"/>
        </w:rPr>
        <w:t xml:space="preserve"> out below</w:t>
      </w:r>
      <w:r w:rsidR="00332B92">
        <w:rPr>
          <w:rFonts w:ascii="Segoe UI" w:hAnsi="Segoe UI" w:cs="Segoe UI"/>
          <w:i/>
          <w:iCs/>
          <w:lang w:eastAsia="en-GB"/>
        </w:rPr>
        <w:t>.</w:t>
      </w:r>
      <w:bookmarkStart w:id="11" w:name="_Hlk87444322"/>
      <w:bookmarkEnd w:id="9"/>
      <w:bookmarkEnd w:id="10"/>
    </w:p>
    <w:p w14:paraId="199ED329" w14:textId="402F9FD7" w:rsidR="00047AF3" w:rsidRPr="003228F1" w:rsidRDefault="00047AF3" w:rsidP="00047AF3">
      <w:pPr>
        <w:spacing w:before="120" w:after="120"/>
        <w:rPr>
          <w:rFonts w:ascii="Segoe UI" w:hAnsi="Segoe UI" w:cs="Segoe UI"/>
          <w:i/>
          <w:iCs/>
          <w:lang w:eastAsia="en-GB"/>
        </w:rPr>
      </w:pPr>
      <w:r w:rsidRPr="003228F1">
        <w:rPr>
          <w:rFonts w:ascii="Segoe UI" w:hAnsi="Segoe UI" w:cs="Segoe UI"/>
        </w:rPr>
        <w:lastRenderedPageBreak/>
        <w:t xml:space="preserve"> </w:t>
      </w:r>
      <w:r w:rsidR="00007398" w:rsidRPr="00007398">
        <w:rPr>
          <w:rFonts w:ascii="Segoe UI" w:hAnsi="Segoe UI" w:cs="Segoe UI"/>
        </w:rPr>
        <w:t>Health New Zealand</w:t>
      </w:r>
      <w:r w:rsidR="00007398">
        <w:rPr>
          <w:rFonts w:ascii="Segoe UI" w:hAnsi="Segoe UI" w:cs="Segoe UI"/>
        </w:rPr>
        <w:t xml:space="preserve"> </w:t>
      </w:r>
      <w:bookmarkEnd w:id="11"/>
      <w:r w:rsidR="00776065">
        <w:rPr>
          <w:rFonts w:ascii="Segoe UI" w:hAnsi="Segoe UI" w:cs="Segoe UI"/>
        </w:rPr>
        <w:t>is expected to:</w:t>
      </w:r>
    </w:p>
    <w:p w14:paraId="0B6C9AF1" w14:textId="3DA45059" w:rsidR="00047AF3" w:rsidRPr="003228F1" w:rsidRDefault="00047AF3" w:rsidP="00047AF3">
      <w:pPr>
        <w:pStyle w:val="ListParagraph"/>
        <w:numPr>
          <w:ilvl w:val="0"/>
          <w:numId w:val="5"/>
        </w:numPr>
        <w:spacing w:before="120" w:after="0"/>
        <w:ind w:left="567" w:hanging="567"/>
        <w:rPr>
          <w:rFonts w:ascii="Segoe UI" w:hAnsi="Segoe UI" w:cs="Segoe UI"/>
        </w:rPr>
      </w:pPr>
      <w:r w:rsidRPr="003228F1">
        <w:rPr>
          <w:rFonts w:ascii="Segoe UI" w:hAnsi="Segoe UI" w:cs="Segoe UI"/>
        </w:rPr>
        <w:t>ensure their work programmes reflect the Government’s priorities for health of older people including the Healthy Ageing Strategy 2016 and priority actions 2019-23, the health component of Better Later Life 2019-2034 and Action Plan, and Mahi Aroha Carers Strategy 2008 and Action Plan 2019–2023</w:t>
      </w:r>
    </w:p>
    <w:p w14:paraId="08C00B82" w14:textId="26029BF3" w:rsidR="00047AF3" w:rsidRPr="003228F1" w:rsidRDefault="00047AF3" w:rsidP="001E09CB">
      <w:pPr>
        <w:pStyle w:val="ListParagraph"/>
        <w:numPr>
          <w:ilvl w:val="0"/>
          <w:numId w:val="5"/>
        </w:numPr>
        <w:spacing w:before="120" w:after="0"/>
        <w:ind w:left="567" w:hanging="567"/>
        <w:rPr>
          <w:rFonts w:ascii="Segoe UI" w:hAnsi="Segoe UI" w:cs="Segoe UI"/>
        </w:rPr>
      </w:pPr>
      <w:r w:rsidRPr="003228F1">
        <w:rPr>
          <w:rFonts w:ascii="Segoe UI" w:hAnsi="Segoe UI" w:cs="Segoe UI"/>
        </w:rPr>
        <w:t xml:space="preserve">ensure the provision of disability and long-term support services is coordinated with other disability support services funded by the Ministry of Social Development, </w:t>
      </w:r>
      <w:r w:rsidR="00B8059F" w:rsidRPr="003228F1">
        <w:rPr>
          <w:rFonts w:ascii="Segoe UI" w:hAnsi="Segoe UI" w:cs="Segoe UI"/>
        </w:rPr>
        <w:t>Min</w:t>
      </w:r>
      <w:r w:rsidR="004A67F6" w:rsidRPr="003228F1">
        <w:rPr>
          <w:rFonts w:ascii="Segoe UI" w:hAnsi="Segoe UI" w:cs="Segoe UI"/>
        </w:rPr>
        <w:t>istry for Disabled Peopl</w:t>
      </w:r>
      <w:r w:rsidR="000C0E46">
        <w:rPr>
          <w:rFonts w:ascii="Segoe UI" w:hAnsi="Segoe UI" w:cs="Segoe UI"/>
        </w:rPr>
        <w:t>e | Whaikaha</w:t>
      </w:r>
      <w:r w:rsidR="004A67F6" w:rsidRPr="003228F1">
        <w:rPr>
          <w:rFonts w:ascii="Segoe UI" w:hAnsi="Segoe UI" w:cs="Segoe UI"/>
        </w:rPr>
        <w:t xml:space="preserve"> and ACC</w:t>
      </w:r>
    </w:p>
    <w:p w14:paraId="1A2971D5" w14:textId="406FF1A1" w:rsidR="00047AF3" w:rsidRPr="003228F1" w:rsidRDefault="00047AF3" w:rsidP="00047AF3">
      <w:pPr>
        <w:pStyle w:val="ListParagraph"/>
        <w:numPr>
          <w:ilvl w:val="0"/>
          <w:numId w:val="5"/>
        </w:numPr>
        <w:spacing w:before="120" w:after="0"/>
        <w:ind w:left="567" w:hanging="567"/>
        <w:rPr>
          <w:rFonts w:ascii="Segoe UI" w:hAnsi="Segoe UI" w:cs="Segoe UI"/>
        </w:rPr>
      </w:pPr>
      <w:r w:rsidRPr="003228F1">
        <w:rPr>
          <w:rFonts w:ascii="Segoe UI" w:hAnsi="Segoe UI" w:cs="Segoe UI"/>
        </w:rPr>
        <w:t>work to improve the health and wellbeing of infants, children, young people and their whānau and carers, with a particular focus on improving equity of outcomes, guided by the Child and Youth Wellbeing Strategy (2019)</w:t>
      </w:r>
    </w:p>
    <w:p w14:paraId="0AE4ECB6" w14:textId="7EEC55EE" w:rsidR="00047AF3" w:rsidRPr="003228F1" w:rsidRDefault="00047AF3" w:rsidP="00086174">
      <w:pPr>
        <w:pStyle w:val="ListParagraph"/>
        <w:numPr>
          <w:ilvl w:val="0"/>
          <w:numId w:val="5"/>
        </w:numPr>
        <w:spacing w:before="120" w:after="0"/>
        <w:ind w:left="567" w:hanging="567"/>
        <w:rPr>
          <w:rFonts w:ascii="Segoe UI" w:hAnsi="Segoe UI" w:cs="Segoe UI"/>
        </w:rPr>
      </w:pPr>
      <w:r w:rsidRPr="003228F1">
        <w:rPr>
          <w:rFonts w:ascii="Segoe UI" w:hAnsi="Segoe UI" w:cs="Segoe UI"/>
        </w:rPr>
        <w:t>deliver mental health and addiction services in line with Kia Manawanui Aotearoa: Long-term pathway to mental wellbeing (2021) and the Oranga Hinengaro System and Services Framework (2023)</w:t>
      </w:r>
    </w:p>
    <w:p w14:paraId="0B59A9AF" w14:textId="4D25875A" w:rsidR="00047AF3" w:rsidRPr="003228F1" w:rsidRDefault="00047AF3" w:rsidP="00047AF3">
      <w:pPr>
        <w:pStyle w:val="ListParagraph"/>
        <w:numPr>
          <w:ilvl w:val="0"/>
          <w:numId w:val="5"/>
        </w:numPr>
        <w:spacing w:before="120" w:after="0"/>
        <w:ind w:left="567" w:hanging="567"/>
        <w:rPr>
          <w:rFonts w:ascii="Segoe UI" w:hAnsi="Segoe UI" w:cs="Segoe UI"/>
        </w:rPr>
      </w:pPr>
      <w:r w:rsidRPr="003228F1">
        <w:rPr>
          <w:rFonts w:ascii="Segoe UI" w:hAnsi="Segoe UI" w:cs="Segoe UI"/>
        </w:rPr>
        <w:t xml:space="preserve">commission, deliver and promote public health programmes specified by the Public Health Agency (including prevention, promotion, protection, health needs assessment and surveillance, capacity building, and igniting community voices and action), meeting relevant policies and standards to achieve </w:t>
      </w:r>
      <w:r w:rsidR="00977697" w:rsidRPr="003228F1">
        <w:rPr>
          <w:rFonts w:ascii="Segoe UI" w:hAnsi="Segoe UI" w:cs="Segoe UI"/>
        </w:rPr>
        <w:t xml:space="preserve">government </w:t>
      </w:r>
      <w:r w:rsidRPr="003228F1">
        <w:rPr>
          <w:rFonts w:ascii="Segoe UI" w:hAnsi="Segoe UI" w:cs="Segoe UI"/>
        </w:rPr>
        <w:t>goals</w:t>
      </w:r>
    </w:p>
    <w:p w14:paraId="09CF4E75" w14:textId="0D256DE2" w:rsidR="00047AF3" w:rsidRPr="003228F1" w:rsidRDefault="00047AF3" w:rsidP="00047AF3">
      <w:pPr>
        <w:pStyle w:val="ListParagraph"/>
        <w:numPr>
          <w:ilvl w:val="0"/>
          <w:numId w:val="5"/>
        </w:numPr>
        <w:spacing w:before="120" w:after="0"/>
        <w:ind w:left="567" w:hanging="567"/>
        <w:rPr>
          <w:rFonts w:ascii="Segoe UI" w:hAnsi="Segoe UI" w:cs="Segoe UI"/>
        </w:rPr>
      </w:pPr>
      <w:bookmarkStart w:id="12" w:name="_Hlk97020824"/>
      <w:r w:rsidRPr="003228F1">
        <w:rPr>
          <w:rFonts w:ascii="Segoe UI" w:hAnsi="Segoe UI" w:cs="Segoe UI"/>
        </w:rPr>
        <w:t xml:space="preserve">plan and deliver planned care </w:t>
      </w:r>
      <w:r w:rsidRPr="00D53153">
        <w:rPr>
          <w:rFonts w:ascii="Segoe UI" w:hAnsi="Segoe UI" w:cs="Segoe UI"/>
        </w:rPr>
        <w:t>services in accordance with the</w:t>
      </w:r>
      <w:r w:rsidRPr="003228F1">
        <w:rPr>
          <w:rFonts w:ascii="Segoe UI" w:hAnsi="Segoe UI" w:cs="Segoe UI"/>
        </w:rPr>
        <w:t xml:space="preserve"> Planned Care Strategic Approach 2019-2024 and treat patients in accordance with the Planned Care Principles</w:t>
      </w:r>
    </w:p>
    <w:bookmarkEnd w:id="12"/>
    <w:p w14:paraId="71019499" w14:textId="4F1902EF" w:rsidR="00047AF3" w:rsidRPr="003228F1" w:rsidRDefault="00047AF3" w:rsidP="00047AF3">
      <w:pPr>
        <w:pStyle w:val="ListParagraph"/>
        <w:numPr>
          <w:ilvl w:val="0"/>
          <w:numId w:val="5"/>
        </w:numPr>
        <w:spacing w:before="120" w:after="0"/>
        <w:ind w:left="567" w:hanging="567"/>
        <w:rPr>
          <w:rFonts w:ascii="Segoe UI" w:hAnsi="Segoe UI" w:cs="Segoe UI"/>
        </w:rPr>
      </w:pPr>
      <w:r w:rsidRPr="003228F1">
        <w:rPr>
          <w:rFonts w:ascii="Segoe UI" w:hAnsi="Segoe UI" w:cs="Segoe UI"/>
        </w:rPr>
        <w:t>have appropriate service information to meet the communication needs of consumers and communities about eligibility for publicly funded services, and how to access these services. This information must be made available before any person is offered the option of private treatment, where a publicly funded alternative is available</w:t>
      </w:r>
    </w:p>
    <w:p w14:paraId="6EF16563" w14:textId="3AD2FAC8" w:rsidR="00930B89" w:rsidRPr="003228F1" w:rsidRDefault="00025314" w:rsidP="006A3BDD">
      <w:pPr>
        <w:pStyle w:val="ListParagraph"/>
        <w:numPr>
          <w:ilvl w:val="0"/>
          <w:numId w:val="5"/>
        </w:numPr>
        <w:spacing w:before="120" w:after="0"/>
        <w:ind w:left="567" w:hanging="567"/>
        <w:rPr>
          <w:rFonts w:ascii="Segoe UI" w:hAnsi="Segoe UI" w:cs="Segoe UI"/>
        </w:rPr>
      </w:pPr>
      <w:r w:rsidRPr="003228F1">
        <w:rPr>
          <w:rFonts w:ascii="Segoe UI" w:hAnsi="Segoe UI" w:cs="Segoe UI"/>
        </w:rPr>
        <w:t>ensure, f</w:t>
      </w:r>
      <w:r w:rsidR="00AF2E88" w:rsidRPr="003228F1">
        <w:rPr>
          <w:rFonts w:ascii="Segoe UI" w:hAnsi="Segoe UI" w:cs="Segoe UI"/>
        </w:rPr>
        <w:t xml:space="preserve">or services that incur a patient charge, the patient </w:t>
      </w:r>
      <w:r w:rsidRPr="003228F1">
        <w:rPr>
          <w:rFonts w:ascii="Segoe UI" w:hAnsi="Segoe UI" w:cs="Segoe UI"/>
        </w:rPr>
        <w:t>is</w:t>
      </w:r>
      <w:r w:rsidR="00AF2E88" w:rsidRPr="003228F1">
        <w:rPr>
          <w:rFonts w:ascii="Segoe UI" w:hAnsi="Segoe UI" w:cs="Segoe UI"/>
        </w:rPr>
        <w:t xml:space="preserve"> informed</w:t>
      </w:r>
      <w:r w:rsidRPr="003228F1">
        <w:rPr>
          <w:rFonts w:ascii="Segoe UI" w:hAnsi="Segoe UI" w:cs="Segoe UI"/>
        </w:rPr>
        <w:t xml:space="preserve"> of the </w:t>
      </w:r>
      <w:r w:rsidR="008759BD" w:rsidRPr="003228F1">
        <w:rPr>
          <w:rFonts w:ascii="Segoe UI" w:hAnsi="Segoe UI" w:cs="Segoe UI"/>
        </w:rPr>
        <w:t>cost</w:t>
      </w:r>
      <w:r w:rsidR="00AF2E88" w:rsidRPr="003228F1">
        <w:rPr>
          <w:rFonts w:ascii="Segoe UI" w:hAnsi="Segoe UI" w:cs="Segoe UI"/>
        </w:rPr>
        <w:t xml:space="preserve"> prior to service delivery commencing</w:t>
      </w:r>
    </w:p>
    <w:p w14:paraId="64AEB754" w14:textId="2DD8593A" w:rsidR="00047AF3" w:rsidRPr="006704B0" w:rsidRDefault="00930B89" w:rsidP="00047AF3">
      <w:pPr>
        <w:pStyle w:val="ListParagraph"/>
        <w:numPr>
          <w:ilvl w:val="0"/>
          <w:numId w:val="5"/>
        </w:numPr>
        <w:spacing w:before="120" w:after="0"/>
        <w:ind w:left="567" w:hanging="567"/>
        <w:rPr>
          <w:rFonts w:ascii="Segoe UI" w:hAnsi="Segoe UI" w:cs="Segoe UI"/>
        </w:rPr>
      </w:pPr>
      <w:r w:rsidRPr="00211D0C">
        <w:rPr>
          <w:rFonts w:ascii="Segoe UI" w:hAnsi="Segoe UI" w:cs="Segoe UI"/>
        </w:rPr>
        <w:t>note that public providers shall be deemed provider of last resort in all circumstances – for example, when a third party contractor fails to provide or deliver care</w:t>
      </w:r>
      <w:r w:rsidR="008759BD" w:rsidRPr="00211D0C">
        <w:rPr>
          <w:rFonts w:ascii="Segoe UI" w:hAnsi="Segoe UI" w:cs="Segoe UI"/>
        </w:rPr>
        <w:t>.</w:t>
      </w:r>
    </w:p>
    <w:p w14:paraId="1DBBF433" w14:textId="77777777" w:rsidR="00047AF3" w:rsidRPr="003228F1" w:rsidRDefault="00047AF3" w:rsidP="00EF1C89">
      <w:pPr>
        <w:pStyle w:val="Heading1"/>
      </w:pPr>
      <w:r w:rsidRPr="003228F1">
        <w:t>Quality and system improvement</w:t>
      </w:r>
    </w:p>
    <w:p w14:paraId="4E940478" w14:textId="77777777" w:rsidR="00047AF3" w:rsidRPr="003228F1" w:rsidRDefault="00047AF3" w:rsidP="00047AF3">
      <w:pPr>
        <w:spacing w:before="120" w:after="0"/>
        <w:rPr>
          <w:rFonts w:ascii="Segoe UI" w:hAnsi="Segoe UI" w:cs="Segoe UI"/>
          <w:i/>
          <w:iCs/>
        </w:rPr>
      </w:pPr>
      <w:r w:rsidRPr="003228F1">
        <w:rPr>
          <w:rFonts w:ascii="Segoe UI" w:hAnsi="Segoe UI" w:cs="Segoe UI"/>
          <w:i/>
          <w:iCs/>
        </w:rPr>
        <w:t>This section covers requirements responsible commissioners must follow when developing provider quality specifications. It also describes other quality standards they must adhere to, and related quality and system improvement processes.</w:t>
      </w:r>
    </w:p>
    <w:p w14:paraId="1F7C556C" w14:textId="1AD153D0" w:rsidR="00047AF3" w:rsidRPr="003228F1" w:rsidRDefault="00007398" w:rsidP="00047AF3">
      <w:pPr>
        <w:spacing w:before="240" w:after="120"/>
        <w:ind w:left="567" w:hanging="567"/>
        <w:rPr>
          <w:rFonts w:ascii="Segoe UI" w:hAnsi="Segoe UI" w:cs="Segoe UI"/>
        </w:rPr>
      </w:pPr>
      <w:bookmarkStart w:id="13" w:name="_Hlk108079467"/>
      <w:r w:rsidRPr="00007398">
        <w:rPr>
          <w:rFonts w:ascii="Segoe UI" w:hAnsi="Segoe UI" w:cs="Segoe UI"/>
        </w:rPr>
        <w:t>Health New Zealand</w:t>
      </w:r>
      <w:r w:rsidR="008F07E1">
        <w:rPr>
          <w:rFonts w:ascii="Segoe UI" w:hAnsi="Segoe UI" w:cs="Segoe UI"/>
        </w:rPr>
        <w:t xml:space="preserve"> as</w:t>
      </w:r>
      <w:r w:rsidR="00047AF3" w:rsidRPr="003228F1">
        <w:rPr>
          <w:rFonts w:ascii="Segoe UI" w:hAnsi="Segoe UI" w:cs="Segoe UI"/>
        </w:rPr>
        <w:t xml:space="preserve"> responsible Commissioner </w:t>
      </w:r>
      <w:r w:rsidR="008F07E1">
        <w:rPr>
          <w:rFonts w:ascii="Segoe UI" w:hAnsi="Segoe UI" w:cs="Segoe UI"/>
        </w:rPr>
        <w:t>is expected to</w:t>
      </w:r>
      <w:r w:rsidR="00047AF3" w:rsidRPr="003228F1">
        <w:rPr>
          <w:rFonts w:ascii="Segoe UI" w:hAnsi="Segoe UI" w:cs="Segoe UI"/>
        </w:rPr>
        <w:t>:</w:t>
      </w:r>
    </w:p>
    <w:bookmarkEnd w:id="13"/>
    <w:p w14:paraId="5EA092E0" w14:textId="19A21ADB" w:rsidR="00E76329" w:rsidRPr="0087436B" w:rsidRDefault="0043206F" w:rsidP="00047AF3">
      <w:pPr>
        <w:pStyle w:val="ListParagraph"/>
        <w:numPr>
          <w:ilvl w:val="0"/>
          <w:numId w:val="6"/>
        </w:numPr>
        <w:spacing w:before="120" w:after="0"/>
        <w:rPr>
          <w:rFonts w:ascii="Segoe UI" w:hAnsi="Segoe UI" w:cs="Segoe UI"/>
        </w:rPr>
      </w:pPr>
      <w:r w:rsidRPr="0087436B">
        <w:rPr>
          <w:rFonts w:ascii="Segoe UI" w:hAnsi="Segoe UI" w:cs="Segoe UI"/>
        </w:rPr>
        <w:t>comply</w:t>
      </w:r>
      <w:r w:rsidR="00047AF3" w:rsidRPr="00FF415A">
        <w:rPr>
          <w:rFonts w:ascii="Segoe UI" w:hAnsi="Segoe UI" w:cs="Segoe UI"/>
        </w:rPr>
        <w:t xml:space="preserve"> with Ng</w:t>
      </w:r>
      <w:r w:rsidR="00F550B3" w:rsidRPr="00FF415A">
        <w:rPr>
          <w:rFonts w:ascii="Segoe UI" w:hAnsi="Segoe UI" w:cs="Segoe UI"/>
        </w:rPr>
        <w:t>ā</w:t>
      </w:r>
      <w:r w:rsidR="00047AF3" w:rsidRPr="00FF415A">
        <w:rPr>
          <w:rFonts w:ascii="Segoe UI" w:hAnsi="Segoe UI" w:cs="Segoe UI"/>
        </w:rPr>
        <w:t xml:space="preserve"> Paerewa Health and Disability Services Standard (NZS 8134:2021)</w:t>
      </w:r>
    </w:p>
    <w:p w14:paraId="31745689" w14:textId="51397B69" w:rsidR="00047AF3" w:rsidRPr="00FF415A" w:rsidRDefault="00D5408E" w:rsidP="00047AF3">
      <w:pPr>
        <w:pStyle w:val="ListParagraph"/>
        <w:numPr>
          <w:ilvl w:val="0"/>
          <w:numId w:val="6"/>
        </w:numPr>
        <w:spacing w:before="120" w:after="0"/>
        <w:rPr>
          <w:rFonts w:ascii="Segoe UI" w:hAnsi="Segoe UI" w:cs="Segoe UI"/>
        </w:rPr>
      </w:pPr>
      <w:r w:rsidRPr="0087436B">
        <w:rPr>
          <w:rFonts w:ascii="Segoe UI" w:hAnsi="Segoe UI" w:cs="Segoe UI"/>
        </w:rPr>
        <w:t>comply</w:t>
      </w:r>
      <w:r w:rsidR="00AE7097" w:rsidRPr="0087436B">
        <w:rPr>
          <w:rFonts w:ascii="Segoe UI" w:hAnsi="Segoe UI" w:cs="Segoe UI"/>
        </w:rPr>
        <w:t xml:space="preserve"> with </w:t>
      </w:r>
      <w:r w:rsidR="00047AF3" w:rsidRPr="00FF415A">
        <w:rPr>
          <w:rFonts w:ascii="Segoe UI" w:hAnsi="Segoe UI" w:cs="Segoe UI"/>
        </w:rPr>
        <w:t>clinical audit and the review of credentialling processes</w:t>
      </w:r>
      <w:r w:rsidR="00D472B0" w:rsidRPr="0087436B">
        <w:rPr>
          <w:rFonts w:ascii="Segoe UI" w:hAnsi="Segoe UI" w:cs="Segoe UI"/>
        </w:rPr>
        <w:t xml:space="preserve"> as per the Health Practitioners Competence Assurance Act 2003</w:t>
      </w:r>
      <w:r w:rsidR="00047AF3" w:rsidRPr="00FF415A">
        <w:rPr>
          <w:rFonts w:ascii="Segoe UI" w:hAnsi="Segoe UI" w:cs="Segoe UI"/>
        </w:rPr>
        <w:t xml:space="preserve"> </w:t>
      </w:r>
    </w:p>
    <w:p w14:paraId="29102421" w14:textId="018B55C1" w:rsidR="006D2CE0" w:rsidRPr="003228F1" w:rsidRDefault="00047AF3" w:rsidP="006D2CE0">
      <w:pPr>
        <w:pStyle w:val="ListParagraph"/>
        <w:numPr>
          <w:ilvl w:val="0"/>
          <w:numId w:val="6"/>
        </w:numPr>
        <w:spacing w:before="120" w:after="0"/>
        <w:rPr>
          <w:rFonts w:ascii="Segoe UI" w:hAnsi="Segoe UI" w:cs="Segoe UI"/>
        </w:rPr>
      </w:pPr>
      <w:r w:rsidRPr="003228F1">
        <w:rPr>
          <w:rFonts w:ascii="Segoe UI" w:hAnsi="Segoe UI" w:cs="Segoe UI"/>
        </w:rPr>
        <w:t xml:space="preserve">participate in a systematic approach to continuous quality improvement across the wider sector, and collecting data to support </w:t>
      </w:r>
      <w:bookmarkStart w:id="14" w:name="_Hlk156470567"/>
      <w:r w:rsidRPr="003228F1">
        <w:rPr>
          <w:rFonts w:ascii="Segoe UI" w:hAnsi="Segoe UI" w:cs="Segoe UI"/>
        </w:rPr>
        <w:t>Health Quality &amp; Safety Commission</w:t>
      </w:r>
      <w:r w:rsidR="00FF5DD9">
        <w:rPr>
          <w:rFonts w:ascii="Segoe UI" w:hAnsi="Segoe UI" w:cs="Segoe UI"/>
        </w:rPr>
        <w:t xml:space="preserve"> </w:t>
      </w:r>
      <w:bookmarkEnd w:id="14"/>
      <w:r w:rsidR="00FF5DD9">
        <w:rPr>
          <w:rFonts w:ascii="Segoe UI" w:hAnsi="Segoe UI" w:cs="Segoe UI"/>
        </w:rPr>
        <w:t xml:space="preserve">| </w:t>
      </w:r>
      <w:r w:rsidR="00FF5DD9" w:rsidRPr="003228F1">
        <w:rPr>
          <w:rFonts w:ascii="Segoe UI" w:hAnsi="Segoe UI" w:cs="Segoe UI"/>
        </w:rPr>
        <w:t>Te Tāhū Hauora</w:t>
      </w:r>
      <w:r w:rsidRPr="003228F1">
        <w:rPr>
          <w:rFonts w:ascii="Segoe UI" w:hAnsi="Segoe UI" w:cs="Segoe UI"/>
        </w:rPr>
        <w:t xml:space="preserve"> (</w:t>
      </w:r>
      <w:r w:rsidR="00FF5DD9">
        <w:rPr>
          <w:rFonts w:ascii="Segoe UI" w:hAnsi="Segoe UI" w:cs="Segoe UI"/>
        </w:rPr>
        <w:t>HQSC</w:t>
      </w:r>
      <w:r w:rsidRPr="003228F1">
        <w:rPr>
          <w:rFonts w:ascii="Segoe UI" w:hAnsi="Segoe UI" w:cs="Segoe UI"/>
        </w:rPr>
        <w:t>) quality and safety markers to monitor progress of its priority programmes</w:t>
      </w:r>
      <w:r w:rsidRPr="003228F1">
        <w:rPr>
          <w:rStyle w:val="FootnoteReference"/>
          <w:rFonts w:ascii="Segoe UI" w:hAnsi="Segoe UI" w:cs="Segoe UI"/>
        </w:rPr>
        <w:footnoteReference w:id="3"/>
      </w:r>
      <w:r w:rsidR="006D2CE0">
        <w:rPr>
          <w:rFonts w:ascii="Segoe UI" w:hAnsi="Segoe UI" w:cs="Segoe UI"/>
        </w:rPr>
        <w:t xml:space="preserve">, including </w:t>
      </w:r>
      <w:r w:rsidR="006D2CE0" w:rsidRPr="003228F1">
        <w:rPr>
          <w:rFonts w:ascii="Segoe UI" w:hAnsi="Segoe UI" w:cs="Segoe UI"/>
        </w:rPr>
        <w:t>ensur</w:t>
      </w:r>
      <w:r w:rsidR="006D2CE0">
        <w:rPr>
          <w:rFonts w:ascii="Segoe UI" w:hAnsi="Segoe UI" w:cs="Segoe UI"/>
        </w:rPr>
        <w:t>ing</w:t>
      </w:r>
      <w:r w:rsidR="006D2CE0" w:rsidRPr="003228F1">
        <w:rPr>
          <w:rFonts w:ascii="Segoe UI" w:hAnsi="Segoe UI" w:cs="Segoe UI"/>
        </w:rPr>
        <w:t xml:space="preserve"> </w:t>
      </w:r>
      <w:r w:rsidR="006D2CE0" w:rsidRPr="003228F1">
        <w:rPr>
          <w:rFonts w:ascii="Segoe UI" w:hAnsi="Segoe UI" w:cs="Segoe UI"/>
        </w:rPr>
        <w:lastRenderedPageBreak/>
        <w:t>providers participate in the quality and safety marker for consumer engagement and upload data and information twice yearly</w:t>
      </w:r>
    </w:p>
    <w:p w14:paraId="57288349" w14:textId="6B46DA21" w:rsidR="00047AF3" w:rsidRPr="003228F1" w:rsidRDefault="00047AF3" w:rsidP="00675C81">
      <w:pPr>
        <w:pStyle w:val="ListParagraph"/>
        <w:spacing w:before="120" w:after="0"/>
        <w:ind w:left="360"/>
        <w:rPr>
          <w:rFonts w:ascii="Segoe UI" w:hAnsi="Segoe UI" w:cs="Segoe UI"/>
        </w:rPr>
      </w:pPr>
    </w:p>
    <w:p w14:paraId="4841663B" w14:textId="464C501E" w:rsidR="00047AF3" w:rsidRPr="003228F1" w:rsidRDefault="00047AF3" w:rsidP="00047AF3">
      <w:pPr>
        <w:pStyle w:val="ListParagraph"/>
        <w:numPr>
          <w:ilvl w:val="0"/>
          <w:numId w:val="6"/>
        </w:numPr>
        <w:rPr>
          <w:rFonts w:ascii="Segoe UI" w:hAnsi="Segoe UI" w:cs="Segoe UI"/>
        </w:rPr>
      </w:pPr>
      <w:r w:rsidRPr="003228F1">
        <w:rPr>
          <w:rFonts w:ascii="Segoe UI" w:hAnsi="Segoe UI" w:cs="Segoe UI"/>
        </w:rPr>
        <w:t xml:space="preserve">support the implementation and compliance with the </w:t>
      </w:r>
      <w:r w:rsidRPr="003228F1">
        <w:rPr>
          <w:rFonts w:ascii="Segoe UI" w:hAnsi="Segoe UI" w:cs="Segoe UI"/>
          <w:i/>
          <w:iCs/>
        </w:rPr>
        <w:t>National Adverse Events Reporting Policy 2017</w:t>
      </w:r>
      <w:r w:rsidRPr="003228F1">
        <w:rPr>
          <w:rStyle w:val="FootnoteReference"/>
          <w:rFonts w:ascii="Segoe UI" w:hAnsi="Segoe UI" w:cs="Segoe UI"/>
          <w:i/>
          <w:iCs/>
        </w:rPr>
        <w:footnoteReference w:id="4"/>
      </w:r>
      <w:r w:rsidRPr="003228F1">
        <w:rPr>
          <w:rFonts w:ascii="Segoe UI" w:hAnsi="Segoe UI" w:cs="Segoe UI"/>
        </w:rPr>
        <w:t xml:space="preserve"> to contribute to the improved quality safety and experience of health and disability services </w:t>
      </w:r>
    </w:p>
    <w:p w14:paraId="0FFBAFB1" w14:textId="25989751" w:rsidR="00047AF3" w:rsidRPr="003228F1" w:rsidRDefault="00047AF3" w:rsidP="00047AF3">
      <w:pPr>
        <w:pStyle w:val="ListParagraph"/>
        <w:numPr>
          <w:ilvl w:val="0"/>
          <w:numId w:val="6"/>
        </w:numPr>
        <w:spacing w:before="120" w:after="0"/>
        <w:rPr>
          <w:rFonts w:ascii="Segoe UI" w:hAnsi="Segoe UI" w:cs="Segoe UI"/>
        </w:rPr>
      </w:pPr>
      <w:r w:rsidRPr="003228F1">
        <w:rPr>
          <w:rFonts w:ascii="Segoe UI" w:hAnsi="Segoe UI" w:cs="Segoe UI"/>
        </w:rPr>
        <w:t>ensure national mortality review committee’s advice, highlighted by</w:t>
      </w:r>
      <w:r w:rsidR="006D2CE0">
        <w:rPr>
          <w:rFonts w:ascii="Segoe UI" w:hAnsi="Segoe UI" w:cs="Segoe UI"/>
        </w:rPr>
        <w:t xml:space="preserve"> HQSC</w:t>
      </w:r>
      <w:r w:rsidR="00416DBA" w:rsidRPr="003228F1">
        <w:rPr>
          <w:rFonts w:ascii="Segoe UI" w:hAnsi="Segoe UI" w:cs="Segoe UI"/>
        </w:rPr>
        <w:t>,</w:t>
      </w:r>
      <w:r w:rsidRPr="003228F1">
        <w:rPr>
          <w:rFonts w:ascii="Segoe UI" w:hAnsi="Segoe UI" w:cs="Segoe UI"/>
        </w:rPr>
        <w:t xml:space="preserve"> is considered and implemented, where possible</w:t>
      </w:r>
    </w:p>
    <w:p w14:paraId="38B85F94" w14:textId="6C253397" w:rsidR="00047AF3" w:rsidRPr="003228F1" w:rsidRDefault="00047AF3" w:rsidP="00047AF3">
      <w:pPr>
        <w:pStyle w:val="ListParagraph"/>
        <w:numPr>
          <w:ilvl w:val="0"/>
          <w:numId w:val="6"/>
        </w:numPr>
        <w:spacing w:before="120" w:after="0"/>
        <w:rPr>
          <w:rFonts w:ascii="Segoe UI" w:hAnsi="Segoe UI" w:cs="Segoe UI"/>
        </w:rPr>
      </w:pPr>
      <w:r w:rsidRPr="003228F1">
        <w:rPr>
          <w:rFonts w:ascii="Segoe UI" w:hAnsi="Segoe UI" w:cs="Segoe UI"/>
        </w:rPr>
        <w:t>ensure providers survey consumer experience of the care the</w:t>
      </w:r>
      <w:r w:rsidR="006D2CE0">
        <w:rPr>
          <w:rFonts w:ascii="Segoe UI" w:hAnsi="Segoe UI" w:cs="Segoe UI"/>
        </w:rPr>
        <w:t>y</w:t>
      </w:r>
      <w:r w:rsidRPr="003228F1">
        <w:rPr>
          <w:rFonts w:ascii="Segoe UI" w:hAnsi="Segoe UI" w:cs="Segoe UI"/>
        </w:rPr>
        <w:t xml:space="preserve"> received using national survey tools, data collection and reporting systems, and to participate in activities to measure consumer experience nationally led by</w:t>
      </w:r>
      <w:r w:rsidR="002B36FE">
        <w:rPr>
          <w:rFonts w:ascii="Segoe UI" w:hAnsi="Segoe UI" w:cs="Segoe UI"/>
        </w:rPr>
        <w:t xml:space="preserve"> </w:t>
      </w:r>
      <w:r w:rsidR="006D2CE0">
        <w:rPr>
          <w:rFonts w:ascii="Segoe UI" w:hAnsi="Segoe UI" w:cs="Segoe UI"/>
        </w:rPr>
        <w:t>HQSC</w:t>
      </w:r>
    </w:p>
    <w:p w14:paraId="0F8DF3B4" w14:textId="45498F0F" w:rsidR="001901E6" w:rsidRPr="006704B0" w:rsidRDefault="00047AF3" w:rsidP="006704B0">
      <w:pPr>
        <w:pStyle w:val="ListParagraph"/>
        <w:numPr>
          <w:ilvl w:val="0"/>
          <w:numId w:val="6"/>
        </w:numPr>
        <w:rPr>
          <w:rFonts w:ascii="Segoe UI" w:hAnsi="Segoe UI" w:cs="Segoe UI"/>
        </w:rPr>
      </w:pPr>
      <w:r w:rsidRPr="003228F1">
        <w:rPr>
          <w:rFonts w:ascii="Segoe UI" w:hAnsi="Segoe UI" w:cs="Segoe UI"/>
        </w:rPr>
        <w:t>ensure implementation and maintenance of governance for the quality and safety systems including clinical governance</w:t>
      </w:r>
      <w:r w:rsidR="001301E3" w:rsidRPr="003228F1">
        <w:rPr>
          <w:rStyle w:val="FootnoteReference"/>
          <w:rFonts w:ascii="Segoe UI" w:hAnsi="Segoe UI" w:cs="Segoe UI"/>
        </w:rPr>
        <w:footnoteReference w:id="5"/>
      </w:r>
      <w:r w:rsidR="005E2530">
        <w:rPr>
          <w:rFonts w:ascii="Segoe UI" w:hAnsi="Segoe UI" w:cs="Segoe UI"/>
        </w:rPr>
        <w:t>.</w:t>
      </w:r>
    </w:p>
    <w:p w14:paraId="740F969E" w14:textId="30B9A931" w:rsidR="001901E6" w:rsidRPr="003228F1" w:rsidRDefault="001901E6" w:rsidP="00EF1C89">
      <w:pPr>
        <w:pStyle w:val="Heading1"/>
      </w:pPr>
      <w:r w:rsidRPr="003228F1">
        <w:t>Workforce</w:t>
      </w:r>
    </w:p>
    <w:p w14:paraId="588A485A" w14:textId="3634EDE9" w:rsidR="001F4BD5" w:rsidRDefault="001F4BD5" w:rsidP="00756812">
      <w:pPr>
        <w:pStyle w:val="ListParagraph"/>
        <w:spacing w:before="120" w:after="0"/>
        <w:ind w:left="360"/>
        <w:rPr>
          <w:rFonts w:ascii="Segoe UI" w:hAnsi="Segoe UI" w:cs="Segoe UI"/>
          <w:i/>
          <w:iCs/>
        </w:rPr>
      </w:pPr>
      <w:r w:rsidRPr="003228F1">
        <w:rPr>
          <w:rFonts w:ascii="Segoe UI" w:hAnsi="Segoe UI" w:cs="Segoe UI"/>
          <w:i/>
          <w:iCs/>
        </w:rPr>
        <w:t xml:space="preserve">This section covers requirements related to </w:t>
      </w:r>
      <w:r w:rsidR="00B61178" w:rsidRPr="003228F1">
        <w:rPr>
          <w:rFonts w:ascii="Segoe UI" w:hAnsi="Segoe UI" w:cs="Segoe UI"/>
          <w:i/>
          <w:iCs/>
        </w:rPr>
        <w:t xml:space="preserve">the </w:t>
      </w:r>
      <w:r w:rsidRPr="003228F1">
        <w:rPr>
          <w:rFonts w:ascii="Segoe UI" w:hAnsi="Segoe UI" w:cs="Segoe UI"/>
          <w:i/>
          <w:iCs/>
        </w:rPr>
        <w:t>workforce,</w:t>
      </w:r>
      <w:r w:rsidR="00647087" w:rsidRPr="003228F1">
        <w:rPr>
          <w:rFonts w:ascii="Segoe UI" w:hAnsi="Segoe UI" w:cs="Segoe UI"/>
          <w:i/>
          <w:iCs/>
        </w:rPr>
        <w:t xml:space="preserve"> including planning, reporting,</w:t>
      </w:r>
      <w:r w:rsidRPr="003228F1">
        <w:rPr>
          <w:rFonts w:ascii="Segoe UI" w:hAnsi="Segoe UI" w:cs="Segoe UI"/>
          <w:i/>
          <w:iCs/>
        </w:rPr>
        <w:t xml:space="preserve"> employment relationships</w:t>
      </w:r>
      <w:r w:rsidR="00B61178" w:rsidRPr="003228F1">
        <w:rPr>
          <w:rFonts w:ascii="Segoe UI" w:hAnsi="Segoe UI" w:cs="Segoe UI"/>
          <w:i/>
          <w:iCs/>
        </w:rPr>
        <w:t xml:space="preserve"> and settlements. </w:t>
      </w:r>
    </w:p>
    <w:p w14:paraId="62063705" w14:textId="77777777" w:rsidR="0054021C" w:rsidRPr="0087436B" w:rsidRDefault="0054021C" w:rsidP="00756812">
      <w:pPr>
        <w:pStyle w:val="ListParagraph"/>
        <w:spacing w:before="120" w:after="0"/>
        <w:ind w:left="360"/>
        <w:rPr>
          <w:rFonts w:ascii="Segoe UI" w:hAnsi="Segoe UI" w:cs="Segoe UI"/>
        </w:rPr>
      </w:pPr>
    </w:p>
    <w:p w14:paraId="45FAEC95" w14:textId="77777777" w:rsidR="00813FBB" w:rsidRDefault="0054021C" w:rsidP="00AC195D">
      <w:pPr>
        <w:pStyle w:val="ListParagraph"/>
        <w:spacing w:before="120" w:after="120"/>
        <w:ind w:left="360"/>
        <w:rPr>
          <w:rFonts w:ascii="Segoe UI" w:hAnsi="Segoe UI" w:cs="Segoe UI"/>
        </w:rPr>
      </w:pPr>
      <w:r w:rsidRPr="0087436B">
        <w:rPr>
          <w:rFonts w:ascii="Segoe UI" w:hAnsi="Segoe UI" w:cs="Segoe UI"/>
        </w:rPr>
        <w:t>Health New Zealand is expected to</w:t>
      </w:r>
      <w:r w:rsidR="00813FBB">
        <w:rPr>
          <w:rFonts w:ascii="Segoe UI" w:hAnsi="Segoe UI" w:cs="Segoe UI"/>
        </w:rPr>
        <w:t>:</w:t>
      </w:r>
    </w:p>
    <w:p w14:paraId="0419F703" w14:textId="1CC17D91" w:rsidR="0054021C" w:rsidRPr="0087436B" w:rsidRDefault="0054021C" w:rsidP="00756812">
      <w:pPr>
        <w:pStyle w:val="ListParagraph"/>
        <w:spacing w:before="120" w:after="0"/>
        <w:ind w:left="360"/>
        <w:rPr>
          <w:rFonts w:ascii="Segoe UI" w:hAnsi="Segoe UI" w:cs="Segoe UI"/>
        </w:rPr>
      </w:pPr>
      <w:r w:rsidRPr="0087436B">
        <w:rPr>
          <w:rFonts w:ascii="Segoe UI" w:hAnsi="Segoe UI" w:cs="Segoe UI"/>
        </w:rPr>
        <w:t xml:space="preserve"> </w:t>
      </w:r>
    </w:p>
    <w:p w14:paraId="35E0F838" w14:textId="3F842749" w:rsidR="00047AF3" w:rsidRPr="005A2851" w:rsidRDefault="00047AF3" w:rsidP="0015275C">
      <w:pPr>
        <w:pStyle w:val="ListParagraph"/>
        <w:numPr>
          <w:ilvl w:val="0"/>
          <w:numId w:val="11"/>
        </w:numPr>
        <w:spacing w:before="120" w:after="0"/>
        <w:rPr>
          <w:rFonts w:ascii="Segoe UI" w:hAnsi="Segoe UI" w:cs="Segoe UI"/>
        </w:rPr>
      </w:pPr>
      <w:r w:rsidRPr="005A2851">
        <w:rPr>
          <w:rFonts w:ascii="Segoe UI" w:hAnsi="Segoe UI" w:cs="Segoe UI"/>
        </w:rPr>
        <w:t xml:space="preserve">comply </w:t>
      </w:r>
      <w:r w:rsidR="0015275C" w:rsidRPr="0087436B">
        <w:rPr>
          <w:rFonts w:ascii="Segoe UI" w:hAnsi="Segoe UI" w:cs="Segoe UI"/>
        </w:rPr>
        <w:t>with requirements for workers’ safety checks and report on a child protection policy as per</w:t>
      </w:r>
      <w:r w:rsidRPr="005A2851">
        <w:rPr>
          <w:rFonts w:ascii="Segoe UI" w:hAnsi="Segoe UI" w:cs="Segoe UI"/>
        </w:rPr>
        <w:t xml:space="preserve"> the Children’s Act 2014 </w:t>
      </w:r>
    </w:p>
    <w:p w14:paraId="129F4973" w14:textId="187686FD" w:rsidR="00047AF3" w:rsidRPr="003228F1" w:rsidRDefault="00047AF3" w:rsidP="00756812">
      <w:pPr>
        <w:pStyle w:val="ListParagraph"/>
        <w:numPr>
          <w:ilvl w:val="0"/>
          <w:numId w:val="11"/>
        </w:numPr>
        <w:spacing w:before="120" w:after="0"/>
        <w:rPr>
          <w:rFonts w:ascii="Segoe UI" w:hAnsi="Segoe UI" w:cs="Segoe UI"/>
        </w:rPr>
      </w:pPr>
      <w:r w:rsidRPr="003228F1">
        <w:rPr>
          <w:rFonts w:ascii="Segoe UI" w:hAnsi="Segoe UI" w:cs="Segoe UI"/>
        </w:rPr>
        <w:t>submit a workforce plan and supporting communications plan for assessment to the Ministry</w:t>
      </w:r>
      <w:r w:rsidR="003B0DFD">
        <w:rPr>
          <w:rFonts w:ascii="Segoe UI" w:hAnsi="Segoe UI" w:cs="Segoe UI"/>
        </w:rPr>
        <w:t xml:space="preserve"> of Health</w:t>
      </w:r>
      <w:r w:rsidRPr="003228F1">
        <w:rPr>
          <w:rFonts w:ascii="Segoe UI" w:hAnsi="Segoe UI" w:cs="Segoe UI"/>
        </w:rPr>
        <w:t xml:space="preserve">, and </w:t>
      </w:r>
      <w:r w:rsidR="0022075E" w:rsidRPr="003228F1">
        <w:rPr>
          <w:rFonts w:ascii="Segoe UI" w:hAnsi="Segoe UI" w:cs="Segoe UI"/>
        </w:rPr>
        <w:t xml:space="preserve">report </w:t>
      </w:r>
      <w:r w:rsidRPr="003228F1">
        <w:rPr>
          <w:rFonts w:ascii="Segoe UI" w:hAnsi="Segoe UI" w:cs="Segoe UI"/>
        </w:rPr>
        <w:t>progress against these plans quarterly to the Ministry</w:t>
      </w:r>
      <w:r w:rsidR="006D6DC2">
        <w:rPr>
          <w:rFonts w:ascii="Segoe UI" w:hAnsi="Segoe UI" w:cs="Segoe UI"/>
        </w:rPr>
        <w:t xml:space="preserve"> of Health</w:t>
      </w:r>
    </w:p>
    <w:p w14:paraId="03D170BC" w14:textId="79E9CEE0" w:rsidR="00047AF3" w:rsidRPr="003228F1" w:rsidRDefault="00047AF3" w:rsidP="00756812">
      <w:pPr>
        <w:pStyle w:val="ListParagraph"/>
        <w:numPr>
          <w:ilvl w:val="0"/>
          <w:numId w:val="11"/>
        </w:numPr>
        <w:spacing w:before="120" w:after="0"/>
        <w:rPr>
          <w:rFonts w:ascii="Segoe UI" w:hAnsi="Segoe UI" w:cs="Segoe UI"/>
        </w:rPr>
      </w:pPr>
      <w:r w:rsidRPr="003228F1">
        <w:rPr>
          <w:rFonts w:ascii="Segoe UI" w:hAnsi="Segoe UI" w:cs="Segoe UI"/>
        </w:rPr>
        <w:t>undertake workforce planning nationwide, for health-related professions</w:t>
      </w:r>
    </w:p>
    <w:p w14:paraId="14DE995E" w14:textId="426CC459" w:rsidR="00047AF3" w:rsidRPr="003228F1" w:rsidRDefault="00047AF3" w:rsidP="00756812">
      <w:pPr>
        <w:pStyle w:val="ListParagraph"/>
        <w:numPr>
          <w:ilvl w:val="0"/>
          <w:numId w:val="11"/>
        </w:numPr>
        <w:spacing w:before="120" w:after="0"/>
        <w:rPr>
          <w:rFonts w:ascii="Segoe UI" w:hAnsi="Segoe UI" w:cs="Segoe UI"/>
        </w:rPr>
      </w:pPr>
      <w:r w:rsidRPr="003228F1">
        <w:rPr>
          <w:rFonts w:ascii="Segoe UI" w:hAnsi="Segoe UI" w:cs="Segoe UI"/>
        </w:rPr>
        <w:t>collect workforce data and intelligence, as agreed with the Ministry</w:t>
      </w:r>
      <w:r w:rsidR="006D6DC2">
        <w:rPr>
          <w:rFonts w:ascii="Segoe UI" w:hAnsi="Segoe UI" w:cs="Segoe UI"/>
        </w:rPr>
        <w:t xml:space="preserve"> of Health</w:t>
      </w:r>
      <w:r w:rsidRPr="003228F1">
        <w:rPr>
          <w:rFonts w:ascii="Segoe UI" w:hAnsi="Segoe UI" w:cs="Segoe UI"/>
        </w:rPr>
        <w:t>, to support workforce planning at a local, regional and national level</w:t>
      </w:r>
      <w:r w:rsidR="006D2CE0">
        <w:rPr>
          <w:rFonts w:ascii="Segoe UI" w:hAnsi="Segoe UI" w:cs="Segoe UI"/>
        </w:rPr>
        <w:t>s</w:t>
      </w:r>
    </w:p>
    <w:p w14:paraId="3AAE600C" w14:textId="0786DC90" w:rsidR="00047AF3" w:rsidRPr="003228F1" w:rsidRDefault="00047AF3" w:rsidP="00756812">
      <w:pPr>
        <w:pStyle w:val="ListParagraph"/>
        <w:numPr>
          <w:ilvl w:val="0"/>
          <w:numId w:val="11"/>
        </w:numPr>
        <w:spacing w:before="120" w:after="0"/>
        <w:rPr>
          <w:rFonts w:ascii="Segoe UI" w:hAnsi="Segoe UI" w:cs="Segoe UI"/>
        </w:rPr>
      </w:pPr>
      <w:r w:rsidRPr="003228F1">
        <w:rPr>
          <w:rFonts w:ascii="Segoe UI" w:hAnsi="Segoe UI" w:cs="Segoe UI"/>
        </w:rPr>
        <w:t>in accordance with the established Employment Relations settings, develop and implement a health workforce employment relations strategy (HWERS) and report progress against the strategy to the Ministry</w:t>
      </w:r>
      <w:r w:rsidR="006D6DC2">
        <w:rPr>
          <w:rFonts w:ascii="Segoe UI" w:hAnsi="Segoe UI" w:cs="Segoe UI"/>
        </w:rPr>
        <w:t xml:space="preserve"> of Health</w:t>
      </w:r>
      <w:r w:rsidRPr="003228F1">
        <w:rPr>
          <w:rFonts w:ascii="Segoe UI" w:hAnsi="Segoe UI" w:cs="Segoe UI"/>
        </w:rPr>
        <w:t>, quarterly</w:t>
      </w:r>
    </w:p>
    <w:p w14:paraId="4EA78F57" w14:textId="77777777" w:rsidR="00047AF3" w:rsidRPr="003228F1" w:rsidRDefault="00047AF3" w:rsidP="00756812">
      <w:pPr>
        <w:pStyle w:val="ListParagraph"/>
        <w:numPr>
          <w:ilvl w:val="0"/>
          <w:numId w:val="11"/>
        </w:numPr>
        <w:spacing w:before="120" w:after="0"/>
        <w:rPr>
          <w:rFonts w:ascii="Segoe UI" w:hAnsi="Segoe UI" w:cs="Segoe UI"/>
        </w:rPr>
      </w:pPr>
      <w:r w:rsidRPr="003228F1">
        <w:rPr>
          <w:rFonts w:ascii="Segoe UI" w:hAnsi="Segoe UI" w:cs="Segoe UI"/>
        </w:rPr>
        <w:t xml:space="preserve">in accordance with the established Employment Relations settings, lead the development and implementation of bargaining strategies for major collective </w:t>
      </w:r>
      <w:r w:rsidRPr="00AE4DD6">
        <w:rPr>
          <w:rFonts w:ascii="Segoe UI" w:hAnsi="Segoe UI" w:cs="Segoe UI"/>
        </w:rPr>
        <w:t>bargaining events and report on the progress of major and other bargaining events to the Minister, on a weekly basis</w:t>
      </w:r>
    </w:p>
    <w:p w14:paraId="52B1EB55" w14:textId="77777777" w:rsidR="00047AF3" w:rsidRPr="003228F1" w:rsidRDefault="00047AF3" w:rsidP="00756812">
      <w:pPr>
        <w:pStyle w:val="ListParagraph"/>
        <w:numPr>
          <w:ilvl w:val="0"/>
          <w:numId w:val="11"/>
        </w:numPr>
        <w:spacing w:before="120" w:after="0"/>
        <w:rPr>
          <w:rFonts w:ascii="Segoe UI" w:hAnsi="Segoe UI" w:cs="Segoe UI"/>
        </w:rPr>
      </w:pPr>
      <w:r w:rsidRPr="003228F1">
        <w:rPr>
          <w:rFonts w:ascii="Segoe UI" w:hAnsi="Segoe UI" w:cs="Segoe UI"/>
        </w:rPr>
        <w:t xml:space="preserve">work with the In between travel (IBT) settlement parties to incorporate IBT and guaranteed hours funding into home care support services contracts </w:t>
      </w:r>
    </w:p>
    <w:p w14:paraId="5827F9DA" w14:textId="587BF5A4" w:rsidR="00047AF3" w:rsidRPr="003228F1" w:rsidRDefault="00047AF3" w:rsidP="00756812">
      <w:pPr>
        <w:pStyle w:val="ListParagraph"/>
        <w:numPr>
          <w:ilvl w:val="0"/>
          <w:numId w:val="11"/>
        </w:numPr>
        <w:spacing w:before="120" w:after="0"/>
        <w:rPr>
          <w:rFonts w:ascii="Segoe UI" w:hAnsi="Segoe UI" w:cs="Segoe UI"/>
        </w:rPr>
      </w:pPr>
      <w:r w:rsidRPr="003228F1">
        <w:rPr>
          <w:rFonts w:ascii="Segoe UI" w:hAnsi="Segoe UI" w:cs="Segoe UI"/>
        </w:rPr>
        <w:t>work with the Holidays Act Remediation Programme (HARP) National Programme Management Office (NPMO) and the Ministry</w:t>
      </w:r>
      <w:r w:rsidR="006D6DC2">
        <w:rPr>
          <w:rFonts w:ascii="Segoe UI" w:hAnsi="Segoe UI" w:cs="Segoe UI"/>
        </w:rPr>
        <w:t xml:space="preserve"> of Health</w:t>
      </w:r>
      <w:r w:rsidRPr="003228F1">
        <w:rPr>
          <w:rFonts w:ascii="Segoe UI" w:hAnsi="Segoe UI" w:cs="Segoe UI"/>
        </w:rPr>
        <w:t xml:space="preserve"> (which provides governance and oversight) to deliver remediation payments and rectification of payroll systems to ensure ongoing compliance with the requirements of the Holidays Act 2003</w:t>
      </w:r>
    </w:p>
    <w:p w14:paraId="10A8F59E" w14:textId="3851554D" w:rsidR="00047AF3" w:rsidRPr="005A2851" w:rsidRDefault="00047AF3" w:rsidP="00756812">
      <w:pPr>
        <w:pStyle w:val="ListParagraph"/>
        <w:numPr>
          <w:ilvl w:val="0"/>
          <w:numId w:val="11"/>
        </w:numPr>
        <w:spacing w:before="120" w:after="0"/>
        <w:rPr>
          <w:rFonts w:ascii="Segoe UI" w:hAnsi="Segoe UI" w:cs="Segoe UI"/>
        </w:rPr>
      </w:pPr>
      <w:r w:rsidRPr="005A2851">
        <w:rPr>
          <w:rFonts w:ascii="Segoe UI" w:hAnsi="Segoe UI" w:cs="Segoe UI"/>
        </w:rPr>
        <w:lastRenderedPageBreak/>
        <w:t>publish internal procedures as required in the Protected Disclosures (Protect</w:t>
      </w:r>
      <w:r w:rsidR="00622BA5" w:rsidRPr="005A2851">
        <w:rPr>
          <w:rFonts w:ascii="Segoe UI" w:hAnsi="Segoe UI" w:cs="Segoe UI"/>
        </w:rPr>
        <w:t>i</w:t>
      </w:r>
      <w:r w:rsidRPr="005A2851">
        <w:rPr>
          <w:rFonts w:ascii="Segoe UI" w:hAnsi="Segoe UI" w:cs="Segoe UI"/>
        </w:rPr>
        <w:t>on of Whistleblowers) Act 2022</w:t>
      </w:r>
    </w:p>
    <w:p w14:paraId="3CE36492" w14:textId="70B6CE1D" w:rsidR="00047AF3" w:rsidRPr="003228F1" w:rsidRDefault="00047AF3" w:rsidP="00756812">
      <w:pPr>
        <w:pStyle w:val="ListParagraph"/>
        <w:numPr>
          <w:ilvl w:val="0"/>
          <w:numId w:val="11"/>
        </w:numPr>
        <w:spacing w:before="120" w:after="0"/>
        <w:rPr>
          <w:rFonts w:ascii="Segoe UI" w:hAnsi="Segoe UI" w:cs="Segoe UI"/>
        </w:rPr>
      </w:pPr>
      <w:r w:rsidRPr="003228F1">
        <w:rPr>
          <w:rFonts w:ascii="Segoe UI" w:hAnsi="Segoe UI" w:cs="Segoe UI"/>
        </w:rPr>
        <w:t xml:space="preserve">implement the care capacity and demand management (CCDM) programme and the eight recommendations outlined within the Safe Staffing Report (2022). </w:t>
      </w:r>
    </w:p>
    <w:p w14:paraId="7A961B63" w14:textId="77777777" w:rsidR="00047AF3" w:rsidRPr="003228F1" w:rsidRDefault="00047AF3" w:rsidP="00EF1C89">
      <w:pPr>
        <w:pStyle w:val="Heading1"/>
      </w:pPr>
      <w:r w:rsidRPr="003228F1">
        <w:t>Digital, data and technology services</w:t>
      </w:r>
    </w:p>
    <w:p w14:paraId="6BA5A9CF" w14:textId="77777777" w:rsidR="00047AF3" w:rsidRPr="003228F1" w:rsidRDefault="00047AF3" w:rsidP="00047AF3">
      <w:pPr>
        <w:spacing w:before="120" w:after="0"/>
        <w:rPr>
          <w:rFonts w:ascii="Segoe UI" w:hAnsi="Segoe UI" w:cs="Segoe UI"/>
          <w:i/>
          <w:iCs/>
        </w:rPr>
      </w:pPr>
      <w:r w:rsidRPr="003228F1">
        <w:rPr>
          <w:rFonts w:ascii="Segoe UI" w:hAnsi="Segoe UI" w:cs="Segoe UI"/>
          <w:i/>
          <w:iCs/>
        </w:rPr>
        <w:t>This section covers general requirements for investment in and use of digital, data and technology services (digital services).</w:t>
      </w:r>
    </w:p>
    <w:p w14:paraId="4D706C59" w14:textId="3E83964A" w:rsidR="00047AF3" w:rsidRPr="003228F1" w:rsidRDefault="00007398" w:rsidP="00047AF3">
      <w:pPr>
        <w:spacing w:before="240" w:after="120"/>
        <w:ind w:left="567" w:hanging="567"/>
        <w:rPr>
          <w:rFonts w:ascii="Segoe UI" w:hAnsi="Segoe UI" w:cs="Segoe UI"/>
        </w:rPr>
      </w:pPr>
      <w:r w:rsidRPr="00007398">
        <w:rPr>
          <w:rFonts w:ascii="Segoe UI" w:hAnsi="Segoe UI" w:cs="Segoe UI"/>
        </w:rPr>
        <w:t xml:space="preserve">Health New Zealand </w:t>
      </w:r>
      <w:r w:rsidR="00E900C9">
        <w:rPr>
          <w:rFonts w:ascii="Segoe UI" w:hAnsi="Segoe UI" w:cs="Segoe UI"/>
        </w:rPr>
        <w:t xml:space="preserve">is expected </w:t>
      </w:r>
      <w:r w:rsidR="0051299A">
        <w:rPr>
          <w:rFonts w:ascii="Segoe UI" w:hAnsi="Segoe UI" w:cs="Segoe UI"/>
        </w:rPr>
        <w:t>to</w:t>
      </w:r>
      <w:r w:rsidR="00047AF3" w:rsidRPr="003228F1">
        <w:rPr>
          <w:rFonts w:ascii="Segoe UI" w:hAnsi="Segoe UI" w:cs="Segoe UI"/>
        </w:rPr>
        <w:t>:</w:t>
      </w:r>
    </w:p>
    <w:p w14:paraId="6CF97FCD" w14:textId="77777777" w:rsidR="00047AF3" w:rsidRPr="003228F1" w:rsidRDefault="00047AF3" w:rsidP="00047AF3">
      <w:pPr>
        <w:pStyle w:val="ListParagraph"/>
        <w:widowControl w:val="0"/>
        <w:numPr>
          <w:ilvl w:val="0"/>
          <w:numId w:val="7"/>
        </w:numPr>
        <w:spacing w:after="0"/>
        <w:ind w:left="357" w:hanging="357"/>
        <w:rPr>
          <w:rFonts w:ascii="Segoe UI" w:hAnsi="Segoe UI" w:cs="Segoe UI"/>
        </w:rPr>
      </w:pPr>
      <w:r w:rsidRPr="003228F1">
        <w:rPr>
          <w:rFonts w:ascii="Segoe UI" w:hAnsi="Segoe UI" w:cs="Segoe UI"/>
        </w:rPr>
        <w:t>ensure services, and the suppliers that provide them, adhere to the digital, data and technology services minimum requirements</w:t>
      </w:r>
      <w:r w:rsidRPr="003228F1">
        <w:rPr>
          <w:rStyle w:val="FootnoteReference"/>
          <w:rFonts w:ascii="Segoe UI" w:hAnsi="Segoe UI" w:cs="Segoe UI"/>
        </w:rPr>
        <w:footnoteReference w:id="6"/>
      </w:r>
    </w:p>
    <w:p w14:paraId="3AA8C3C6" w14:textId="787659CC" w:rsidR="00047AF3" w:rsidRPr="003228F1" w:rsidRDefault="00047AF3" w:rsidP="00047AF3">
      <w:pPr>
        <w:pStyle w:val="ListParagraph"/>
        <w:widowControl w:val="0"/>
        <w:numPr>
          <w:ilvl w:val="0"/>
          <w:numId w:val="7"/>
        </w:numPr>
        <w:spacing w:after="0"/>
        <w:ind w:left="357" w:hanging="357"/>
        <w:rPr>
          <w:rFonts w:ascii="Segoe UI" w:hAnsi="Segoe UI" w:cs="Segoe UI"/>
        </w:rPr>
      </w:pPr>
      <w:r w:rsidRPr="003228F1">
        <w:rPr>
          <w:rFonts w:ascii="Segoe UI" w:hAnsi="Segoe UI" w:cs="Segoe UI"/>
        </w:rPr>
        <w:t>develop and deliver digital services in accordance with the Government Chief Digital Officer (GCDO) mandate, as appropriate, and where requirements are not specifically mandated, to operate in accordance with the principles promulgated by the GCDO</w:t>
      </w:r>
    </w:p>
    <w:p w14:paraId="7154522D" w14:textId="4CB42A12" w:rsidR="00762230" w:rsidRPr="003228F1" w:rsidRDefault="00047AF3">
      <w:pPr>
        <w:pStyle w:val="ListParagraph"/>
        <w:widowControl w:val="0"/>
        <w:numPr>
          <w:ilvl w:val="0"/>
          <w:numId w:val="7"/>
        </w:numPr>
        <w:spacing w:after="0"/>
        <w:ind w:left="357" w:hanging="357"/>
        <w:rPr>
          <w:rFonts w:ascii="Segoe UI" w:hAnsi="Segoe UI" w:cs="Segoe UI"/>
        </w:rPr>
      </w:pPr>
      <w:r w:rsidRPr="003228F1">
        <w:rPr>
          <w:rFonts w:ascii="Segoe UI" w:hAnsi="Segoe UI" w:cs="Segoe UI"/>
        </w:rPr>
        <w:t>must proactively support the development and adoption of Health Information Standards Organisation (HISO) standards</w:t>
      </w:r>
      <w:r w:rsidR="00DD0A43" w:rsidRPr="003228F1">
        <w:rPr>
          <w:rFonts w:ascii="Segoe UI" w:hAnsi="Segoe UI" w:cs="Segoe UI"/>
        </w:rPr>
        <w:t>, including secur</w:t>
      </w:r>
      <w:r w:rsidR="00510817" w:rsidRPr="003228F1">
        <w:rPr>
          <w:rFonts w:ascii="Segoe UI" w:hAnsi="Segoe UI" w:cs="Segoe UI"/>
        </w:rPr>
        <w:t>ity standards</w:t>
      </w:r>
      <w:r w:rsidR="000011B7" w:rsidRPr="003228F1">
        <w:rPr>
          <w:rStyle w:val="FootnoteReference"/>
          <w:rFonts w:ascii="Segoe UI" w:hAnsi="Segoe UI" w:cs="Segoe UI"/>
        </w:rPr>
        <w:footnoteReference w:id="7"/>
      </w:r>
    </w:p>
    <w:p w14:paraId="4937526A" w14:textId="6872E546" w:rsidR="00C10371" w:rsidRPr="00D90D75" w:rsidRDefault="00A4318E" w:rsidP="00206CAF">
      <w:pPr>
        <w:pStyle w:val="ListParagraph"/>
        <w:numPr>
          <w:ilvl w:val="0"/>
          <w:numId w:val="7"/>
        </w:numPr>
        <w:spacing w:before="120" w:after="0"/>
        <w:rPr>
          <w:rFonts w:ascii="Segoe UI" w:hAnsi="Segoe UI" w:cs="Segoe UI"/>
        </w:rPr>
      </w:pPr>
      <w:r w:rsidRPr="00D90D75">
        <w:rPr>
          <w:rFonts w:ascii="Segoe UI" w:hAnsi="Segoe UI" w:cs="Segoe UI"/>
        </w:rPr>
        <w:t>Adhere to the requirements of the Data Tripartite Agreement (</w:t>
      </w:r>
      <w:r w:rsidR="001F1966">
        <w:rPr>
          <w:rFonts w:ascii="Segoe UI" w:hAnsi="Segoe UI" w:cs="Segoe UI"/>
        </w:rPr>
        <w:t>this agr</w:t>
      </w:r>
      <w:r w:rsidR="002B2C7D">
        <w:rPr>
          <w:rFonts w:ascii="Segoe UI" w:hAnsi="Segoe UI" w:cs="Segoe UI"/>
        </w:rPr>
        <w:t xml:space="preserve">eement remains in place </w:t>
      </w:r>
      <w:r w:rsidR="008B66A7">
        <w:rPr>
          <w:rFonts w:ascii="Segoe UI" w:hAnsi="Segoe UI" w:cs="Segoe UI"/>
        </w:rPr>
        <w:t>despite Te Aka Whai Ora having been dissolved)</w:t>
      </w:r>
      <w:r w:rsidRPr="00D90D75">
        <w:rPr>
          <w:rFonts w:ascii="Segoe UI" w:hAnsi="Segoe UI" w:cs="Segoe UI"/>
        </w:rPr>
        <w:t>.</w:t>
      </w:r>
    </w:p>
    <w:p w14:paraId="6BECCD95" w14:textId="77777777" w:rsidR="00047AF3" w:rsidRPr="003228F1" w:rsidRDefault="00047AF3" w:rsidP="00EF1C89">
      <w:pPr>
        <w:pStyle w:val="Heading1"/>
      </w:pPr>
      <w:r w:rsidRPr="003228F1">
        <w:t>Financial and capital operations</w:t>
      </w:r>
    </w:p>
    <w:p w14:paraId="7697BD72" w14:textId="59295CE3" w:rsidR="00047AF3" w:rsidRPr="0051299A" w:rsidRDefault="00047AF3" w:rsidP="00047AF3">
      <w:pPr>
        <w:spacing w:before="120" w:after="0"/>
        <w:rPr>
          <w:rFonts w:ascii="Segoe UI" w:hAnsi="Segoe UI" w:cs="Segoe UI"/>
          <w:i/>
          <w:iCs/>
          <w:lang w:eastAsia="en-GB"/>
        </w:rPr>
      </w:pPr>
      <w:r w:rsidRPr="003228F1">
        <w:rPr>
          <w:rFonts w:ascii="Segoe UI" w:hAnsi="Segoe UI" w:cs="Segoe UI"/>
          <w:i/>
          <w:iCs/>
          <w:lang w:eastAsia="en-GB"/>
        </w:rPr>
        <w:t xml:space="preserve">This summary </w:t>
      </w:r>
      <w:r w:rsidRPr="0051299A">
        <w:rPr>
          <w:rFonts w:ascii="Segoe UI" w:hAnsi="Segoe UI" w:cs="Segoe UI"/>
          <w:i/>
          <w:iCs/>
          <w:lang w:eastAsia="en-GB"/>
        </w:rPr>
        <w:t xml:space="preserve">covers various financial operating rules and requirements, including in relation to fixed assets and capital. </w:t>
      </w:r>
    </w:p>
    <w:p w14:paraId="476083F5" w14:textId="125E3BEE" w:rsidR="00047AF3" w:rsidRPr="003228F1" w:rsidRDefault="4BCD9BA5" w:rsidP="00047AF3">
      <w:pPr>
        <w:spacing w:before="120" w:after="120"/>
        <w:rPr>
          <w:rFonts w:ascii="Segoe UI" w:hAnsi="Segoe UI" w:cs="Segoe UI"/>
          <w:lang w:eastAsia="en-GB"/>
        </w:rPr>
      </w:pPr>
      <w:r w:rsidRPr="3B0D4070">
        <w:rPr>
          <w:rFonts w:ascii="Segoe UI" w:hAnsi="Segoe UI" w:cs="Segoe UI"/>
          <w:lang w:eastAsia="en-GB"/>
        </w:rPr>
        <w:t>HNZ</w:t>
      </w:r>
      <w:r w:rsidR="00047AF3" w:rsidRPr="0051299A">
        <w:rPr>
          <w:rFonts w:ascii="Segoe UI" w:hAnsi="Segoe UI" w:cs="Segoe UI"/>
          <w:lang w:eastAsia="en-GB"/>
        </w:rPr>
        <w:t xml:space="preserve"> and its </w:t>
      </w:r>
      <w:r w:rsidR="1DEC1B33" w:rsidRPr="3B0D4070">
        <w:rPr>
          <w:rFonts w:ascii="Segoe UI" w:hAnsi="Segoe UI" w:cs="Segoe UI"/>
          <w:lang w:eastAsia="en-GB"/>
        </w:rPr>
        <w:t xml:space="preserve">contracted </w:t>
      </w:r>
      <w:r w:rsidR="00047AF3" w:rsidRPr="0051299A">
        <w:rPr>
          <w:rFonts w:ascii="Segoe UI" w:hAnsi="Segoe UI" w:cs="Segoe UI"/>
          <w:lang w:eastAsia="en-GB"/>
        </w:rPr>
        <w:t>providers must:</w:t>
      </w:r>
    </w:p>
    <w:p w14:paraId="5CB3381A" w14:textId="423F21EB" w:rsidR="00047AF3" w:rsidRPr="0015275C" w:rsidRDefault="00047AF3" w:rsidP="00047AF3">
      <w:pPr>
        <w:pStyle w:val="ListParagraph"/>
        <w:widowControl w:val="0"/>
        <w:numPr>
          <w:ilvl w:val="0"/>
          <w:numId w:val="8"/>
        </w:numPr>
        <w:spacing w:before="120" w:after="0"/>
        <w:ind w:left="357" w:hanging="357"/>
        <w:rPr>
          <w:rFonts w:ascii="Segoe UI" w:hAnsi="Segoe UI" w:cs="Segoe UI"/>
          <w:lang w:eastAsia="en-GB"/>
        </w:rPr>
      </w:pPr>
      <w:r w:rsidRPr="0015275C">
        <w:rPr>
          <w:rFonts w:ascii="Segoe UI" w:hAnsi="Segoe UI" w:cs="Segoe UI"/>
          <w:lang w:eastAsia="en-GB"/>
        </w:rPr>
        <w:t>comply with generally accepted accounting practice</w:t>
      </w:r>
      <w:r w:rsidR="0015275C" w:rsidRPr="0087436B">
        <w:rPr>
          <w:rFonts w:ascii="Segoe UI" w:hAnsi="Segoe UI" w:cs="Segoe UI"/>
          <w:lang w:eastAsia="en-GB"/>
        </w:rPr>
        <w:t>,</w:t>
      </w:r>
      <w:r w:rsidR="008E18CB" w:rsidRPr="0087436B">
        <w:rPr>
          <w:rFonts w:ascii="Segoe UI" w:hAnsi="Segoe UI" w:cs="Segoe UI"/>
          <w:lang w:eastAsia="en-GB"/>
        </w:rPr>
        <w:t xml:space="preserve"> </w:t>
      </w:r>
      <w:r w:rsidRPr="0015275C">
        <w:rPr>
          <w:rFonts w:ascii="Segoe UI" w:hAnsi="Segoe UI" w:cs="Segoe UI"/>
          <w:lang w:eastAsia="en-GB"/>
        </w:rPr>
        <w:t>Crown accounting policies</w:t>
      </w:r>
      <w:r w:rsidR="00C04599" w:rsidRPr="0087436B">
        <w:rPr>
          <w:rFonts w:ascii="Segoe UI" w:hAnsi="Segoe UI" w:cs="Segoe UI"/>
          <w:lang w:eastAsia="en-GB"/>
        </w:rPr>
        <w:t>/ Treasury guidance</w:t>
      </w:r>
      <w:r w:rsidRPr="0015275C">
        <w:rPr>
          <w:rFonts w:ascii="Segoe UI" w:hAnsi="Segoe UI" w:cs="Segoe UI"/>
          <w:lang w:eastAsia="en-GB"/>
        </w:rPr>
        <w:t xml:space="preserve"> and Ministry </w:t>
      </w:r>
      <w:r w:rsidR="00795673" w:rsidRPr="0015275C">
        <w:rPr>
          <w:rFonts w:ascii="Segoe UI" w:hAnsi="Segoe UI" w:cs="Segoe UI"/>
          <w:lang w:eastAsia="en-GB"/>
        </w:rPr>
        <w:t xml:space="preserve">of Health </w:t>
      </w:r>
      <w:r w:rsidRPr="0015275C">
        <w:rPr>
          <w:rFonts w:ascii="Segoe UI" w:hAnsi="Segoe UI" w:cs="Segoe UI"/>
          <w:lang w:eastAsia="en-GB"/>
        </w:rPr>
        <w:t xml:space="preserve">accounting policies </w:t>
      </w:r>
    </w:p>
    <w:p w14:paraId="4EC10FBE" w14:textId="66A1887F" w:rsidR="00047AF3" w:rsidRDefault="00047AF3" w:rsidP="00047AF3">
      <w:pPr>
        <w:pStyle w:val="ListParagraph"/>
        <w:widowControl w:val="0"/>
        <w:numPr>
          <w:ilvl w:val="0"/>
          <w:numId w:val="8"/>
        </w:numPr>
        <w:spacing w:before="120" w:after="0"/>
        <w:ind w:left="357" w:hanging="357"/>
        <w:rPr>
          <w:rFonts w:ascii="Segoe UI" w:hAnsi="Segoe UI" w:cs="Segoe UI"/>
          <w:lang w:eastAsia="en-GB"/>
        </w:rPr>
      </w:pPr>
      <w:r w:rsidRPr="003228F1">
        <w:rPr>
          <w:rFonts w:ascii="Segoe UI" w:hAnsi="Segoe UI" w:cs="Segoe UI"/>
          <w:lang w:eastAsia="en-GB"/>
        </w:rPr>
        <w:t>operate in a financially responsible manner</w:t>
      </w:r>
      <w:r w:rsidR="006F7800">
        <w:rPr>
          <w:rFonts w:ascii="Segoe UI" w:hAnsi="Segoe UI" w:cs="Segoe UI"/>
          <w:lang w:eastAsia="en-GB"/>
        </w:rPr>
        <w:t>:</w:t>
      </w:r>
      <w:r w:rsidRPr="003228F1">
        <w:rPr>
          <w:rFonts w:ascii="Segoe UI" w:hAnsi="Segoe UI" w:cs="Segoe UI"/>
          <w:lang w:eastAsia="en-GB"/>
        </w:rPr>
        <w:t xml:space="preserve"> </w:t>
      </w:r>
    </w:p>
    <w:p w14:paraId="62C6A7FC" w14:textId="1E12F371" w:rsidR="00A95BC2" w:rsidRPr="00A95BC2" w:rsidRDefault="00087CF5" w:rsidP="00AF060D">
      <w:pPr>
        <w:pStyle w:val="ListParagraph"/>
        <w:widowControl w:val="0"/>
        <w:numPr>
          <w:ilvl w:val="1"/>
          <w:numId w:val="26"/>
        </w:numPr>
        <w:spacing w:before="120" w:after="0"/>
        <w:rPr>
          <w:rFonts w:ascii="Segoe UI" w:hAnsi="Segoe UI" w:cs="Segoe UI"/>
          <w:lang w:eastAsia="en-GB"/>
        </w:rPr>
      </w:pPr>
      <w:r>
        <w:rPr>
          <w:rFonts w:ascii="Segoe UI" w:hAnsi="Segoe UI" w:cs="Segoe UI"/>
          <w:lang w:eastAsia="en-GB"/>
        </w:rPr>
        <w:t xml:space="preserve">plan financially </w:t>
      </w:r>
      <w:r w:rsidR="00527DB1">
        <w:rPr>
          <w:rFonts w:ascii="Segoe UI" w:hAnsi="Segoe UI" w:cs="Segoe UI"/>
          <w:lang w:eastAsia="en-GB"/>
        </w:rPr>
        <w:t xml:space="preserve">to </w:t>
      </w:r>
      <w:r w:rsidR="00A95BC2" w:rsidRPr="00A95BC2">
        <w:rPr>
          <w:rFonts w:ascii="Segoe UI" w:hAnsi="Segoe UI" w:cs="Segoe UI"/>
          <w:lang w:eastAsia="en-GB"/>
        </w:rPr>
        <w:t>cover annual costs (including cost of capital) from net annual income</w:t>
      </w:r>
    </w:p>
    <w:p w14:paraId="7A275EDC" w14:textId="58120300" w:rsidR="00A95BC2" w:rsidRPr="00A95BC2" w:rsidRDefault="00A95BC2" w:rsidP="00AF060D">
      <w:pPr>
        <w:pStyle w:val="ListParagraph"/>
        <w:widowControl w:val="0"/>
        <w:numPr>
          <w:ilvl w:val="1"/>
          <w:numId w:val="26"/>
        </w:numPr>
        <w:spacing w:before="120" w:after="0"/>
        <w:rPr>
          <w:rFonts w:ascii="Segoe UI" w:hAnsi="Segoe UI" w:cs="Segoe UI"/>
          <w:lang w:eastAsia="en-GB"/>
        </w:rPr>
      </w:pPr>
      <w:r w:rsidRPr="00A95BC2">
        <w:rPr>
          <w:rFonts w:ascii="Segoe UI" w:hAnsi="Segoe UI" w:cs="Segoe UI"/>
          <w:lang w:eastAsia="en-GB"/>
        </w:rPr>
        <w:t xml:space="preserve">prudently manage </w:t>
      </w:r>
      <w:r w:rsidR="00102046">
        <w:rPr>
          <w:rFonts w:ascii="Segoe UI" w:hAnsi="Segoe UI" w:cs="Segoe UI"/>
          <w:lang w:eastAsia="en-GB"/>
        </w:rPr>
        <w:t xml:space="preserve">organisational </w:t>
      </w:r>
      <w:r w:rsidRPr="00A95BC2">
        <w:rPr>
          <w:rFonts w:ascii="Segoe UI" w:hAnsi="Segoe UI" w:cs="Segoe UI"/>
          <w:lang w:eastAsia="en-GB"/>
        </w:rPr>
        <w:t>assets and liabilities</w:t>
      </w:r>
    </w:p>
    <w:p w14:paraId="536F28D7" w14:textId="3C97C82E" w:rsidR="00A95BC2" w:rsidRPr="00A95BC2" w:rsidRDefault="00102046" w:rsidP="00AF060D">
      <w:pPr>
        <w:pStyle w:val="ListParagraph"/>
        <w:widowControl w:val="0"/>
        <w:numPr>
          <w:ilvl w:val="1"/>
          <w:numId w:val="26"/>
        </w:numPr>
        <w:spacing w:before="120" w:after="0"/>
        <w:rPr>
          <w:rFonts w:ascii="Segoe UI" w:hAnsi="Segoe UI" w:cs="Segoe UI"/>
          <w:lang w:eastAsia="en-GB"/>
        </w:rPr>
      </w:pPr>
      <w:r>
        <w:rPr>
          <w:rFonts w:ascii="Segoe UI" w:hAnsi="Segoe UI" w:cs="Segoe UI"/>
          <w:lang w:eastAsia="en-GB"/>
        </w:rPr>
        <w:t xml:space="preserve">plan effectively </w:t>
      </w:r>
      <w:r w:rsidR="00A95BC2" w:rsidRPr="00A95BC2">
        <w:rPr>
          <w:rFonts w:ascii="Segoe UI" w:hAnsi="Segoe UI" w:cs="Segoe UI"/>
          <w:lang w:eastAsia="en-GB"/>
        </w:rPr>
        <w:t xml:space="preserve">to </w:t>
      </w:r>
      <w:r w:rsidR="009E5693">
        <w:rPr>
          <w:rFonts w:ascii="Segoe UI" w:hAnsi="Segoe UI" w:cs="Segoe UI"/>
          <w:lang w:eastAsia="en-GB"/>
        </w:rPr>
        <w:t xml:space="preserve">deliver </w:t>
      </w:r>
      <w:r w:rsidR="00A95BC2" w:rsidRPr="00A95BC2">
        <w:rPr>
          <w:rFonts w:ascii="Segoe UI" w:hAnsi="Segoe UI" w:cs="Segoe UI"/>
          <w:lang w:eastAsia="en-GB"/>
        </w:rPr>
        <w:t>long-term financial viability</w:t>
      </w:r>
    </w:p>
    <w:p w14:paraId="579E74F9" w14:textId="11174636" w:rsidR="00A95BC2" w:rsidRPr="00AF060D" w:rsidRDefault="00A95BC2" w:rsidP="00AF060D">
      <w:pPr>
        <w:pStyle w:val="ListParagraph"/>
        <w:widowControl w:val="0"/>
        <w:numPr>
          <w:ilvl w:val="1"/>
          <w:numId w:val="26"/>
        </w:numPr>
        <w:spacing w:before="120" w:after="0"/>
        <w:rPr>
          <w:rFonts w:ascii="Segoe UI" w:hAnsi="Segoe UI" w:cs="Segoe UI"/>
          <w:lang w:eastAsia="en-GB"/>
        </w:rPr>
      </w:pPr>
      <w:r w:rsidRPr="00A95BC2">
        <w:rPr>
          <w:rFonts w:ascii="Segoe UI" w:hAnsi="Segoe UI" w:cs="Segoe UI"/>
          <w:lang w:eastAsia="en-GB"/>
        </w:rPr>
        <w:t>act as a successful going concern</w:t>
      </w:r>
    </w:p>
    <w:p w14:paraId="5F85BED1" w14:textId="25E75060" w:rsidR="00047AF3" w:rsidRPr="003228F1" w:rsidRDefault="00047AF3" w:rsidP="00047AF3">
      <w:pPr>
        <w:pStyle w:val="ListParagraph"/>
        <w:widowControl w:val="0"/>
        <w:numPr>
          <w:ilvl w:val="0"/>
          <w:numId w:val="8"/>
        </w:numPr>
        <w:spacing w:before="120" w:after="0"/>
        <w:ind w:left="357" w:hanging="357"/>
        <w:rPr>
          <w:rFonts w:ascii="Segoe UI" w:hAnsi="Segoe UI" w:cs="Segoe UI"/>
          <w:lang w:eastAsia="en-GB"/>
        </w:rPr>
      </w:pPr>
      <w:r w:rsidRPr="003228F1">
        <w:rPr>
          <w:rFonts w:ascii="Segoe UI" w:hAnsi="Segoe UI" w:cs="Segoe UI"/>
          <w:lang w:eastAsia="en-GB"/>
        </w:rPr>
        <w:t xml:space="preserve">have robust internal financial controls </w:t>
      </w:r>
      <w:r w:rsidR="000479D9" w:rsidRPr="000479D9">
        <w:rPr>
          <w:rFonts w:ascii="Segoe UI" w:hAnsi="Segoe UI" w:cs="Segoe UI"/>
          <w:lang w:eastAsia="en-GB"/>
        </w:rPr>
        <w:t>including procurement policies and practices (including capital items)</w:t>
      </w:r>
    </w:p>
    <w:p w14:paraId="28F64D1E" w14:textId="3603272D" w:rsidR="00047AF3" w:rsidRPr="003228F1" w:rsidRDefault="00047AF3" w:rsidP="00047AF3">
      <w:pPr>
        <w:pStyle w:val="ListParagraph"/>
        <w:widowControl w:val="0"/>
        <w:numPr>
          <w:ilvl w:val="0"/>
          <w:numId w:val="8"/>
        </w:numPr>
        <w:spacing w:before="120" w:after="0"/>
        <w:ind w:left="357" w:hanging="357"/>
        <w:rPr>
          <w:rFonts w:ascii="Segoe UI" w:hAnsi="Segoe UI" w:cs="Segoe UI"/>
          <w:lang w:eastAsia="en-GB"/>
        </w:rPr>
      </w:pPr>
      <w:r w:rsidRPr="003228F1">
        <w:rPr>
          <w:rFonts w:ascii="Segoe UI" w:hAnsi="Segoe UI" w:cs="Segoe UI"/>
          <w:lang w:eastAsia="en-GB"/>
        </w:rPr>
        <w:t>have a formal written Treasury policy</w:t>
      </w:r>
      <w:r w:rsidR="000479D9">
        <w:rPr>
          <w:rFonts w:ascii="Segoe UI" w:hAnsi="Segoe UI" w:cs="Segoe UI"/>
          <w:lang w:eastAsia="en-GB"/>
        </w:rPr>
        <w:t xml:space="preserve"> approved by its Board</w:t>
      </w:r>
      <w:r w:rsidRPr="003228F1">
        <w:rPr>
          <w:rFonts w:ascii="Segoe UI" w:hAnsi="Segoe UI" w:cs="Segoe UI"/>
          <w:lang w:eastAsia="en-GB"/>
        </w:rPr>
        <w:t xml:space="preserve"> to address key financial risks it faces, </w:t>
      </w:r>
      <w:r w:rsidR="00E75AB0" w:rsidRPr="00E75AB0">
        <w:rPr>
          <w:rFonts w:ascii="Segoe UI" w:hAnsi="Segoe UI" w:cs="Segoe UI"/>
          <w:lang w:eastAsia="en-GB"/>
        </w:rPr>
        <w:t>that include liquidity and funding risk, foreign exchange/currency risks (classified separately by capital and operating), interest rate risk, guarantees and indemnities</w:t>
      </w:r>
    </w:p>
    <w:p w14:paraId="0BF92EAD" w14:textId="77777777" w:rsidR="00047AF3" w:rsidRPr="003228F1" w:rsidRDefault="00047AF3" w:rsidP="00047AF3">
      <w:pPr>
        <w:pStyle w:val="ListParagraph"/>
        <w:widowControl w:val="0"/>
        <w:numPr>
          <w:ilvl w:val="0"/>
          <w:numId w:val="8"/>
        </w:numPr>
        <w:spacing w:before="120" w:after="0"/>
        <w:ind w:left="357" w:hanging="357"/>
        <w:rPr>
          <w:rFonts w:ascii="Segoe UI" w:hAnsi="Segoe UI" w:cs="Segoe UI"/>
          <w:lang w:eastAsia="en-GB"/>
        </w:rPr>
      </w:pPr>
      <w:r w:rsidRPr="003228F1">
        <w:rPr>
          <w:rFonts w:ascii="Segoe UI" w:hAnsi="Segoe UI" w:cs="Segoe UI"/>
          <w:lang w:eastAsia="en-GB"/>
        </w:rPr>
        <w:t xml:space="preserve">ensure it has appropriate insurance to cover risks </w:t>
      </w:r>
    </w:p>
    <w:p w14:paraId="71804DDB" w14:textId="77777777" w:rsidR="00047AF3" w:rsidRPr="003228F1" w:rsidRDefault="00047AF3" w:rsidP="00047AF3">
      <w:pPr>
        <w:pStyle w:val="ListParagraph"/>
        <w:widowControl w:val="0"/>
        <w:numPr>
          <w:ilvl w:val="0"/>
          <w:numId w:val="8"/>
        </w:numPr>
        <w:spacing w:before="120" w:after="0"/>
        <w:ind w:left="357" w:hanging="357"/>
        <w:rPr>
          <w:rFonts w:ascii="Segoe UI" w:hAnsi="Segoe UI" w:cs="Segoe UI"/>
          <w:lang w:eastAsia="en-GB"/>
        </w:rPr>
      </w:pPr>
      <w:r w:rsidRPr="003228F1">
        <w:rPr>
          <w:rFonts w:ascii="Segoe UI" w:hAnsi="Segoe UI" w:cs="Segoe UI"/>
          <w:lang w:eastAsia="en-GB"/>
        </w:rPr>
        <w:lastRenderedPageBreak/>
        <w:t xml:space="preserve">ensure working capital facilities for public owned facilities comply with legislation in terms of maximum limits and counterparty </w:t>
      </w:r>
    </w:p>
    <w:p w14:paraId="6237AE70" w14:textId="132E4EB0" w:rsidR="00047AF3" w:rsidRPr="003228F1" w:rsidRDefault="00047AF3" w:rsidP="00047AF3">
      <w:pPr>
        <w:pStyle w:val="ListParagraph"/>
        <w:widowControl w:val="0"/>
        <w:numPr>
          <w:ilvl w:val="0"/>
          <w:numId w:val="8"/>
        </w:numPr>
        <w:spacing w:before="120" w:after="0"/>
        <w:ind w:left="357" w:hanging="357"/>
        <w:rPr>
          <w:rFonts w:ascii="Segoe UI" w:hAnsi="Segoe UI" w:cs="Segoe UI"/>
          <w:lang w:eastAsia="en-GB"/>
        </w:rPr>
      </w:pPr>
      <w:r w:rsidRPr="003228F1">
        <w:rPr>
          <w:rFonts w:ascii="Segoe UI" w:hAnsi="Segoe UI" w:cs="Segoe UI"/>
          <w:lang w:eastAsia="en-GB"/>
        </w:rPr>
        <w:t xml:space="preserve">when requesting </w:t>
      </w:r>
      <w:r w:rsidR="0087267C">
        <w:rPr>
          <w:rFonts w:ascii="Segoe UI" w:hAnsi="Segoe UI" w:cs="Segoe UI"/>
          <w:lang w:eastAsia="en-GB"/>
        </w:rPr>
        <w:t xml:space="preserve">operating or capital </w:t>
      </w:r>
      <w:r w:rsidRPr="003228F1">
        <w:rPr>
          <w:rFonts w:ascii="Segoe UI" w:hAnsi="Segoe UI" w:cs="Segoe UI"/>
          <w:lang w:eastAsia="en-GB"/>
        </w:rPr>
        <w:t xml:space="preserve">equity support, provide the Ministry </w:t>
      </w:r>
      <w:r w:rsidR="00795673">
        <w:rPr>
          <w:rFonts w:ascii="Segoe UI" w:hAnsi="Segoe UI" w:cs="Segoe UI"/>
          <w:lang w:eastAsia="en-GB"/>
        </w:rPr>
        <w:t xml:space="preserve">of Health </w:t>
      </w:r>
      <w:r w:rsidRPr="003228F1">
        <w:rPr>
          <w:rFonts w:ascii="Segoe UI" w:hAnsi="Segoe UI" w:cs="Segoe UI"/>
          <w:lang w:eastAsia="en-GB"/>
        </w:rPr>
        <w:t xml:space="preserve">with sufficient information to enable a clear identification of its projected financial position and cash flow </w:t>
      </w:r>
    </w:p>
    <w:p w14:paraId="0D2BDD7A" w14:textId="20BF1754" w:rsidR="00047AF3" w:rsidRPr="003228F1" w:rsidRDefault="00047AF3" w:rsidP="00047AF3">
      <w:pPr>
        <w:pStyle w:val="ListParagraph"/>
        <w:widowControl w:val="0"/>
        <w:numPr>
          <w:ilvl w:val="0"/>
          <w:numId w:val="8"/>
        </w:numPr>
        <w:spacing w:before="120" w:after="0"/>
        <w:ind w:left="357" w:hanging="357"/>
        <w:rPr>
          <w:rFonts w:ascii="Segoe UI" w:hAnsi="Segoe UI" w:cs="Segoe UI"/>
          <w:lang w:eastAsia="en-GB"/>
        </w:rPr>
      </w:pPr>
      <w:r w:rsidRPr="003228F1">
        <w:rPr>
          <w:rFonts w:ascii="Segoe UI" w:hAnsi="Segoe UI" w:cs="Segoe UI"/>
          <w:lang w:eastAsia="en-GB"/>
        </w:rPr>
        <w:t xml:space="preserve">be aware the Crown must not incur expenses or capital expenditure, except as expressly authorised by an appropriation, or other authority, by or under </w:t>
      </w:r>
      <w:r w:rsidR="00B00551" w:rsidRPr="00B00551">
        <w:rPr>
          <w:rFonts w:ascii="Segoe UI" w:hAnsi="Segoe UI" w:cs="Segoe UI"/>
          <w:lang w:eastAsia="en-GB"/>
        </w:rPr>
        <w:t>the Public Finance Act (section 41)</w:t>
      </w:r>
    </w:p>
    <w:p w14:paraId="66DC3C2D" w14:textId="0A4EFDD7" w:rsidR="00047AF3" w:rsidRPr="003228F1" w:rsidRDefault="00047AF3" w:rsidP="00047AF3">
      <w:pPr>
        <w:pStyle w:val="ListParagraph"/>
        <w:widowControl w:val="0"/>
        <w:numPr>
          <w:ilvl w:val="0"/>
          <w:numId w:val="8"/>
        </w:numPr>
        <w:spacing w:before="120" w:after="0"/>
        <w:ind w:left="357" w:hanging="357"/>
        <w:rPr>
          <w:rFonts w:ascii="Segoe UI" w:hAnsi="Segoe UI" w:cs="Segoe UI"/>
          <w:lang w:eastAsia="en-GB"/>
        </w:rPr>
      </w:pPr>
      <w:r w:rsidRPr="003228F1">
        <w:rPr>
          <w:rFonts w:ascii="Segoe UI" w:hAnsi="Segoe UI" w:cs="Segoe UI"/>
          <w:lang w:eastAsia="en-GB"/>
        </w:rPr>
        <w:t>follow required processes regarding retention of surpluses</w:t>
      </w:r>
      <w:r w:rsidR="004445B8">
        <w:rPr>
          <w:rFonts w:ascii="Segoe UI" w:hAnsi="Segoe UI" w:cs="Segoe UI"/>
          <w:lang w:eastAsia="en-GB"/>
        </w:rPr>
        <w:t xml:space="preserve"> (</w:t>
      </w:r>
      <w:r w:rsidR="004445B8" w:rsidRPr="004445B8">
        <w:rPr>
          <w:rFonts w:ascii="Segoe UI" w:hAnsi="Segoe UI" w:cs="Segoe UI"/>
          <w:lang w:eastAsia="en-GB"/>
        </w:rPr>
        <w:t>CE Act section 165</w:t>
      </w:r>
      <w:r w:rsidR="004445B8">
        <w:rPr>
          <w:rFonts w:ascii="Segoe UI" w:hAnsi="Segoe UI" w:cs="Segoe UI"/>
          <w:lang w:eastAsia="en-GB"/>
        </w:rPr>
        <w:t>)</w:t>
      </w:r>
    </w:p>
    <w:p w14:paraId="29FD86A8" w14:textId="3059FCAD" w:rsidR="00047AF3" w:rsidRPr="003228F1" w:rsidRDefault="00047AF3" w:rsidP="00047AF3">
      <w:pPr>
        <w:pStyle w:val="ListParagraph"/>
        <w:widowControl w:val="0"/>
        <w:numPr>
          <w:ilvl w:val="0"/>
          <w:numId w:val="8"/>
        </w:numPr>
        <w:spacing w:before="120" w:after="0"/>
        <w:ind w:left="357" w:hanging="357"/>
        <w:rPr>
          <w:rFonts w:ascii="Segoe UI" w:hAnsi="Segoe UI" w:cs="Segoe UI"/>
          <w:lang w:eastAsia="en-GB"/>
        </w:rPr>
      </w:pPr>
      <w:r w:rsidRPr="003228F1">
        <w:rPr>
          <w:rFonts w:ascii="Segoe UI" w:hAnsi="Segoe UI" w:cs="Segoe UI"/>
          <w:lang w:eastAsia="en-GB"/>
        </w:rPr>
        <w:t>pay capital charge instalments into the Ministry</w:t>
      </w:r>
      <w:r w:rsidR="00795673">
        <w:rPr>
          <w:rFonts w:ascii="Segoe UI" w:hAnsi="Segoe UI" w:cs="Segoe UI"/>
          <w:lang w:eastAsia="en-GB"/>
        </w:rPr>
        <w:t xml:space="preserve"> of </w:t>
      </w:r>
      <w:r w:rsidR="00AF0487">
        <w:rPr>
          <w:rFonts w:ascii="Segoe UI" w:hAnsi="Segoe UI" w:cs="Segoe UI"/>
          <w:lang w:eastAsia="en-GB"/>
        </w:rPr>
        <w:t>H</w:t>
      </w:r>
      <w:r w:rsidR="00795673">
        <w:rPr>
          <w:rFonts w:ascii="Segoe UI" w:hAnsi="Segoe UI" w:cs="Segoe UI"/>
          <w:lang w:eastAsia="en-GB"/>
        </w:rPr>
        <w:t>ealth</w:t>
      </w:r>
      <w:r w:rsidRPr="003228F1">
        <w:rPr>
          <w:rFonts w:ascii="Segoe UI" w:hAnsi="Segoe UI" w:cs="Segoe UI"/>
          <w:lang w:eastAsia="en-GB"/>
        </w:rPr>
        <w:t>’s Crown Receipt Account at the notified rate based on six-monthly invoices from the Ministry</w:t>
      </w:r>
      <w:r w:rsidR="00AF0487">
        <w:rPr>
          <w:rFonts w:ascii="Segoe UI" w:hAnsi="Segoe UI" w:cs="Segoe UI"/>
          <w:lang w:eastAsia="en-GB"/>
        </w:rPr>
        <w:t xml:space="preserve"> of Health</w:t>
      </w:r>
      <w:r w:rsidRPr="003228F1">
        <w:rPr>
          <w:rFonts w:ascii="Segoe UI" w:hAnsi="Segoe UI" w:cs="Segoe UI"/>
          <w:lang w:eastAsia="en-GB"/>
        </w:rPr>
        <w:t xml:space="preserve"> </w:t>
      </w:r>
    </w:p>
    <w:p w14:paraId="212B984C" w14:textId="7E59E89D" w:rsidR="00047AF3" w:rsidRPr="003228F1" w:rsidRDefault="00047AF3" w:rsidP="00047AF3">
      <w:pPr>
        <w:pStyle w:val="ListParagraph"/>
        <w:widowControl w:val="0"/>
        <w:numPr>
          <w:ilvl w:val="0"/>
          <w:numId w:val="8"/>
        </w:numPr>
        <w:spacing w:before="120" w:after="0"/>
        <w:ind w:left="357" w:hanging="357"/>
        <w:rPr>
          <w:rFonts w:ascii="Segoe UI" w:hAnsi="Segoe UI" w:cs="Segoe UI"/>
          <w:lang w:eastAsia="en-GB"/>
        </w:rPr>
      </w:pPr>
      <w:r w:rsidRPr="003228F1">
        <w:rPr>
          <w:rFonts w:ascii="Segoe UI" w:hAnsi="Segoe UI" w:cs="Segoe UI"/>
          <w:lang w:eastAsia="en-GB"/>
        </w:rPr>
        <w:t>use the full-time equivalent (FTE) definition</w:t>
      </w:r>
      <w:r w:rsidR="004D534D" w:rsidRPr="003228F1">
        <w:rPr>
          <w:rStyle w:val="FootnoteReference"/>
          <w:rFonts w:ascii="Segoe UI" w:hAnsi="Segoe UI" w:cs="Segoe UI"/>
          <w:lang w:eastAsia="en-GB"/>
        </w:rPr>
        <w:footnoteReference w:id="8"/>
      </w:r>
      <w:r w:rsidRPr="003228F1">
        <w:rPr>
          <w:rFonts w:ascii="Segoe UI" w:hAnsi="Segoe UI" w:cs="Segoe UI"/>
          <w:lang w:eastAsia="en-GB"/>
        </w:rPr>
        <w:t xml:space="preserve"> for all financial planning and reporting </w:t>
      </w:r>
    </w:p>
    <w:p w14:paraId="207E6830" w14:textId="77777777" w:rsidR="00047AF3" w:rsidRPr="003228F1" w:rsidRDefault="00047AF3" w:rsidP="00047AF3">
      <w:pPr>
        <w:pStyle w:val="ListParagraph"/>
        <w:widowControl w:val="0"/>
        <w:numPr>
          <w:ilvl w:val="0"/>
          <w:numId w:val="8"/>
        </w:numPr>
        <w:spacing w:before="120" w:after="0"/>
        <w:ind w:left="357" w:hanging="357"/>
        <w:rPr>
          <w:rFonts w:ascii="Segoe UI" w:hAnsi="Segoe UI" w:cs="Segoe UI"/>
          <w:lang w:eastAsia="en-GB"/>
        </w:rPr>
      </w:pPr>
      <w:r w:rsidRPr="003228F1">
        <w:rPr>
          <w:rFonts w:ascii="Segoe UI" w:hAnsi="Segoe UI" w:cs="Segoe UI"/>
          <w:lang w:eastAsia="en-GB"/>
        </w:rPr>
        <w:t>revalue property, plant and equipment in accordance with Public Sector Public Benefit Entity Accounting Standards (PBE Standards) (PBE International Public Sector Accounting Standards (IPSAS) 17 Property, Plant and Equipment, as interpreted in the Crown accounting policies</w:t>
      </w:r>
    </w:p>
    <w:p w14:paraId="56F27485" w14:textId="50F446BB" w:rsidR="00047AF3" w:rsidRPr="003228F1" w:rsidRDefault="00047AF3" w:rsidP="00047AF3">
      <w:pPr>
        <w:pStyle w:val="ListParagraph"/>
        <w:widowControl w:val="0"/>
        <w:numPr>
          <w:ilvl w:val="0"/>
          <w:numId w:val="8"/>
        </w:numPr>
        <w:spacing w:before="120" w:after="0"/>
        <w:ind w:left="357" w:hanging="357"/>
        <w:rPr>
          <w:rFonts w:ascii="Segoe UI" w:hAnsi="Segoe UI" w:cs="Segoe UI"/>
          <w:lang w:eastAsia="en-GB"/>
        </w:rPr>
      </w:pPr>
      <w:r w:rsidRPr="1627DD1A">
        <w:rPr>
          <w:rFonts w:ascii="Segoe UI" w:hAnsi="Segoe UI" w:cs="Segoe UI"/>
          <w:lang w:eastAsia="en-GB"/>
        </w:rPr>
        <w:t>have in place, current formal asset management plans to inform strategic, tactical and operational choices</w:t>
      </w:r>
      <w:r w:rsidR="77D1C8F0" w:rsidRPr="1627DD1A">
        <w:rPr>
          <w:rFonts w:ascii="Segoe UI" w:hAnsi="Segoe UI" w:cs="Segoe UI"/>
          <w:lang w:eastAsia="en-GB"/>
        </w:rPr>
        <w:t xml:space="preserve"> </w:t>
      </w:r>
      <w:r w:rsidR="00ED6FE0">
        <w:rPr>
          <w:rFonts w:ascii="Segoe UI" w:hAnsi="Segoe UI" w:cs="Segoe UI"/>
          <w:lang w:eastAsia="en-GB"/>
        </w:rPr>
        <w:t>c</w:t>
      </w:r>
      <w:r w:rsidRPr="1627DD1A">
        <w:rPr>
          <w:rFonts w:ascii="Segoe UI" w:hAnsi="Segoe UI" w:cs="Segoe UI"/>
          <w:lang w:eastAsia="en-GB"/>
        </w:rPr>
        <w:t xml:space="preserve">omply with The Treasury’s Better Business Cases process </w:t>
      </w:r>
    </w:p>
    <w:p w14:paraId="2E6CEAF5" w14:textId="464A5B56" w:rsidR="00047AF3" w:rsidRPr="00E921BD" w:rsidRDefault="00047AF3" w:rsidP="00047AF3">
      <w:pPr>
        <w:pStyle w:val="ListParagraph"/>
        <w:widowControl w:val="0"/>
        <w:numPr>
          <w:ilvl w:val="0"/>
          <w:numId w:val="8"/>
        </w:numPr>
        <w:spacing w:before="120" w:after="0"/>
        <w:ind w:left="357" w:hanging="357"/>
        <w:rPr>
          <w:rFonts w:ascii="Segoe UI" w:hAnsi="Segoe UI" w:cs="Segoe UI"/>
          <w:lang w:eastAsia="en-GB"/>
        </w:rPr>
      </w:pPr>
      <w:r w:rsidRPr="1627DD1A">
        <w:rPr>
          <w:rFonts w:ascii="Segoe UI" w:hAnsi="Segoe UI" w:cs="Segoe UI"/>
          <w:lang w:eastAsia="en-GB"/>
        </w:rPr>
        <w:t>comply with section 99 of the Pae Ora (Healthy Futures) Act 2022 under which health entities must not sell, exchange, mortgage or charge land, or grant a lease or licence for a term of more than five years, without the prior written approval of the Minister</w:t>
      </w:r>
    </w:p>
    <w:p w14:paraId="237E8E46" w14:textId="77777777" w:rsidR="00047AF3" w:rsidRPr="00E921BD" w:rsidRDefault="00047AF3" w:rsidP="00047AF3">
      <w:pPr>
        <w:pStyle w:val="ListParagraph"/>
        <w:widowControl w:val="0"/>
        <w:numPr>
          <w:ilvl w:val="0"/>
          <w:numId w:val="8"/>
        </w:numPr>
        <w:spacing w:before="120" w:after="0"/>
        <w:ind w:left="357" w:hanging="357"/>
        <w:rPr>
          <w:rFonts w:ascii="Segoe UI" w:hAnsi="Segoe UI" w:cs="Segoe UI"/>
          <w:lang w:eastAsia="en-GB"/>
        </w:rPr>
      </w:pPr>
      <w:r w:rsidRPr="1627DD1A">
        <w:rPr>
          <w:rFonts w:ascii="Segoe UI" w:hAnsi="Segoe UI" w:cs="Segoe UI"/>
          <w:lang w:eastAsia="en-GB"/>
        </w:rPr>
        <w:t>where applicable, comply with section 40-42 of the Public Works Act 1981 when disposing of land</w:t>
      </w:r>
    </w:p>
    <w:p w14:paraId="4924E207" w14:textId="098A8090" w:rsidR="00047AF3" w:rsidRPr="003228F1" w:rsidRDefault="00047AF3" w:rsidP="00331ABB">
      <w:pPr>
        <w:pStyle w:val="ListParagraph"/>
        <w:widowControl w:val="0"/>
        <w:numPr>
          <w:ilvl w:val="0"/>
          <w:numId w:val="8"/>
        </w:numPr>
        <w:spacing w:before="120" w:after="0"/>
        <w:ind w:left="357" w:hanging="357"/>
        <w:rPr>
          <w:rFonts w:ascii="Segoe UI" w:hAnsi="Segoe UI" w:cs="Segoe UI"/>
          <w:lang w:eastAsia="en-GB"/>
        </w:rPr>
      </w:pPr>
      <w:r w:rsidRPr="1627DD1A">
        <w:rPr>
          <w:rFonts w:ascii="Segoe UI" w:hAnsi="Segoe UI" w:cs="Segoe UI"/>
          <w:lang w:eastAsia="en-GB"/>
        </w:rPr>
        <w:t xml:space="preserve">meet the expenditure and reporting expectations set by the Ministry </w:t>
      </w:r>
      <w:r w:rsidR="00AF0487" w:rsidRPr="1627DD1A">
        <w:rPr>
          <w:rFonts w:ascii="Segoe UI" w:hAnsi="Segoe UI" w:cs="Segoe UI"/>
          <w:lang w:eastAsia="en-GB"/>
        </w:rPr>
        <w:t xml:space="preserve">of Health </w:t>
      </w:r>
      <w:r w:rsidRPr="1627DD1A">
        <w:rPr>
          <w:rFonts w:ascii="Segoe UI" w:hAnsi="Segoe UI" w:cs="Segoe UI"/>
          <w:lang w:eastAsia="en-GB"/>
        </w:rPr>
        <w:t xml:space="preserve">through the mental health and addiction ringfence. </w:t>
      </w:r>
    </w:p>
    <w:p w14:paraId="27001524" w14:textId="3AC40B6D" w:rsidR="00047AF3" w:rsidRPr="003228F1" w:rsidRDefault="00047AF3" w:rsidP="00EF1C89">
      <w:pPr>
        <w:pStyle w:val="Heading1"/>
      </w:pPr>
      <w:bookmarkStart w:id="15" w:name="_Hlk99380730"/>
      <w:r w:rsidRPr="003228F1">
        <w:t>Monitoring</w:t>
      </w:r>
      <w:r w:rsidR="00D2052A">
        <w:t xml:space="preserve">, </w:t>
      </w:r>
      <w:r w:rsidRPr="003228F1">
        <w:t>reporting and providing information to National Collections</w:t>
      </w:r>
    </w:p>
    <w:bookmarkEnd w:id="15"/>
    <w:p w14:paraId="4937BD73" w14:textId="77777777" w:rsidR="00047AF3" w:rsidRPr="003228F1" w:rsidRDefault="00047AF3" w:rsidP="00047AF3">
      <w:pPr>
        <w:spacing w:before="120" w:after="0"/>
        <w:rPr>
          <w:rFonts w:ascii="Segoe UI" w:hAnsi="Segoe UI" w:cs="Segoe UI"/>
          <w:i/>
          <w:iCs/>
        </w:rPr>
      </w:pPr>
      <w:r w:rsidRPr="003228F1">
        <w:rPr>
          <w:rFonts w:ascii="Segoe UI" w:hAnsi="Segoe UI" w:cs="Segoe UI"/>
          <w:i/>
          <w:iCs/>
        </w:rPr>
        <w:t xml:space="preserve">This section covers monitoring and reporting requirements, encompassing reporting to the Minister and the Director-General, national health information management and reporting requirements, national collections requirements, and requirements relating to ACC. </w:t>
      </w:r>
    </w:p>
    <w:p w14:paraId="7A6BC788" w14:textId="7A6CFD44" w:rsidR="00047AF3" w:rsidRPr="003228F1" w:rsidRDefault="00007398" w:rsidP="00047AF3">
      <w:pPr>
        <w:spacing w:before="240" w:after="0"/>
        <w:rPr>
          <w:rFonts w:ascii="Segoe UI" w:hAnsi="Segoe UI" w:cs="Segoe UI"/>
        </w:rPr>
      </w:pPr>
      <w:bookmarkStart w:id="16" w:name="_Hlk106888316"/>
      <w:r w:rsidRPr="00007398">
        <w:rPr>
          <w:rFonts w:ascii="Segoe UI" w:hAnsi="Segoe UI" w:cs="Segoe UI"/>
        </w:rPr>
        <w:t xml:space="preserve">Health New Zealand </w:t>
      </w:r>
      <w:bookmarkEnd w:id="16"/>
      <w:r w:rsidR="001D2682">
        <w:rPr>
          <w:rFonts w:ascii="Segoe UI" w:hAnsi="Segoe UI" w:cs="Segoe UI"/>
        </w:rPr>
        <w:t>is expected to</w:t>
      </w:r>
      <w:r w:rsidR="00047AF3" w:rsidRPr="003228F1">
        <w:rPr>
          <w:rFonts w:ascii="Segoe UI" w:hAnsi="Segoe UI" w:cs="Segoe UI"/>
        </w:rPr>
        <w:t>:</w:t>
      </w:r>
    </w:p>
    <w:p w14:paraId="10C515FF" w14:textId="77777777" w:rsidR="00047AF3" w:rsidRPr="003228F1" w:rsidRDefault="00047AF3" w:rsidP="00047AF3">
      <w:pPr>
        <w:pStyle w:val="ListParagraph"/>
        <w:numPr>
          <w:ilvl w:val="0"/>
          <w:numId w:val="10"/>
        </w:numPr>
        <w:spacing w:before="120" w:after="0"/>
        <w:rPr>
          <w:rFonts w:ascii="Segoe UI" w:hAnsi="Segoe UI" w:cs="Segoe UI"/>
        </w:rPr>
      </w:pPr>
      <w:r w:rsidRPr="003228F1">
        <w:rPr>
          <w:rFonts w:ascii="Segoe UI" w:hAnsi="Segoe UI" w:cs="Segoe UI"/>
        </w:rPr>
        <w:t xml:space="preserve">have a risk management and reporting system to manage risks and report them to its Board </w:t>
      </w:r>
    </w:p>
    <w:p w14:paraId="73E98CAF" w14:textId="77777777" w:rsidR="00047AF3" w:rsidRPr="003228F1" w:rsidRDefault="00047AF3" w:rsidP="00047AF3">
      <w:pPr>
        <w:pStyle w:val="ListParagraph"/>
        <w:numPr>
          <w:ilvl w:val="0"/>
          <w:numId w:val="10"/>
        </w:numPr>
        <w:spacing w:before="120" w:after="0"/>
        <w:rPr>
          <w:rFonts w:ascii="Segoe UI" w:hAnsi="Segoe UI" w:cs="Segoe UI"/>
        </w:rPr>
      </w:pPr>
      <w:r w:rsidRPr="003228F1">
        <w:rPr>
          <w:rFonts w:ascii="Segoe UI" w:hAnsi="Segoe UI" w:cs="Segoe UI"/>
        </w:rPr>
        <w:t xml:space="preserve">follow the </w:t>
      </w:r>
      <w:bookmarkStart w:id="17" w:name="_Hlk99433825"/>
      <w:r w:rsidRPr="003228F1">
        <w:rPr>
          <w:rFonts w:ascii="Segoe UI" w:hAnsi="Segoe UI" w:cs="Segoe UI"/>
        </w:rPr>
        <w:t>Health Information Privacy Code 2020</w:t>
      </w:r>
      <w:bookmarkEnd w:id="17"/>
      <w:r w:rsidRPr="003228F1">
        <w:rPr>
          <w:rStyle w:val="FootnoteReference"/>
          <w:rFonts w:ascii="Segoe UI" w:hAnsi="Segoe UI" w:cs="Segoe UI"/>
        </w:rPr>
        <w:footnoteReference w:id="9"/>
      </w:r>
      <w:r w:rsidRPr="003228F1">
        <w:rPr>
          <w:rFonts w:ascii="Segoe UI" w:hAnsi="Segoe UI" w:cs="Segoe UI"/>
        </w:rPr>
        <w:t xml:space="preserve"> and security rules</w:t>
      </w:r>
    </w:p>
    <w:p w14:paraId="61C7067D" w14:textId="77777777" w:rsidR="00047AF3" w:rsidRPr="003228F1" w:rsidRDefault="00047AF3" w:rsidP="00047AF3">
      <w:pPr>
        <w:pStyle w:val="ListParagraph"/>
        <w:numPr>
          <w:ilvl w:val="0"/>
          <w:numId w:val="10"/>
        </w:numPr>
        <w:spacing w:before="120" w:after="0"/>
        <w:rPr>
          <w:rFonts w:ascii="Segoe UI" w:hAnsi="Segoe UI" w:cs="Segoe UI"/>
        </w:rPr>
      </w:pPr>
      <w:r w:rsidRPr="003228F1">
        <w:rPr>
          <w:rFonts w:ascii="Segoe UI" w:hAnsi="Segoe UI" w:cs="Segoe UI"/>
        </w:rPr>
        <w:t>make documentation available on request for audits of data collection and reporting processes</w:t>
      </w:r>
    </w:p>
    <w:p w14:paraId="2B50DF6C" w14:textId="57FF9084" w:rsidR="00047AF3" w:rsidRPr="003228F1" w:rsidRDefault="00047AF3" w:rsidP="00047AF3">
      <w:pPr>
        <w:pStyle w:val="ListParagraph"/>
        <w:numPr>
          <w:ilvl w:val="0"/>
          <w:numId w:val="10"/>
        </w:numPr>
        <w:rPr>
          <w:rFonts w:ascii="Segoe UI" w:hAnsi="Segoe UI" w:cs="Segoe UI"/>
        </w:rPr>
      </w:pPr>
      <w:r w:rsidRPr="003228F1">
        <w:rPr>
          <w:rFonts w:ascii="Segoe UI" w:hAnsi="Segoe UI" w:cs="Segoe UI"/>
        </w:rPr>
        <w:t>use standard procedures in the HISO 10001:2007 Ethnicity data protocols</w:t>
      </w:r>
      <w:r w:rsidRPr="003228F1">
        <w:rPr>
          <w:rStyle w:val="FootnoteReference"/>
          <w:rFonts w:ascii="Segoe UI" w:hAnsi="Segoe UI" w:cs="Segoe UI"/>
        </w:rPr>
        <w:footnoteReference w:id="10"/>
      </w:r>
      <w:r w:rsidRPr="003228F1">
        <w:rPr>
          <w:rFonts w:ascii="Segoe UI" w:hAnsi="Segoe UI" w:cs="Segoe UI"/>
        </w:rPr>
        <w:t xml:space="preserve"> for the health and disability sector to collect, report, store and output accurate and complete ethnicity data</w:t>
      </w:r>
    </w:p>
    <w:p w14:paraId="58980F4B" w14:textId="77777777" w:rsidR="00047AF3" w:rsidRPr="003228F1" w:rsidRDefault="00047AF3" w:rsidP="00047AF3">
      <w:pPr>
        <w:pStyle w:val="ListParagraph"/>
        <w:numPr>
          <w:ilvl w:val="0"/>
          <w:numId w:val="10"/>
        </w:numPr>
        <w:rPr>
          <w:rFonts w:ascii="Segoe UI" w:hAnsi="Segoe UI" w:cs="Segoe UI"/>
        </w:rPr>
      </w:pPr>
      <w:r w:rsidRPr="003228F1">
        <w:rPr>
          <w:rFonts w:ascii="Segoe UI" w:hAnsi="Segoe UI" w:cs="Segoe UI"/>
        </w:rPr>
        <w:lastRenderedPageBreak/>
        <w:t>maintain processes to assign the correct National Health Index (NHI) number to all transactions relating to services provided for an individual patient</w:t>
      </w:r>
    </w:p>
    <w:p w14:paraId="5C8FA103" w14:textId="77777777" w:rsidR="00047AF3" w:rsidRPr="003228F1" w:rsidRDefault="00047AF3" w:rsidP="00047AF3">
      <w:pPr>
        <w:pStyle w:val="ListParagraph"/>
        <w:numPr>
          <w:ilvl w:val="0"/>
          <w:numId w:val="10"/>
        </w:numPr>
        <w:rPr>
          <w:rFonts w:ascii="Segoe UI" w:hAnsi="Segoe UI" w:cs="Segoe UI"/>
        </w:rPr>
      </w:pPr>
      <w:r w:rsidRPr="003228F1">
        <w:rPr>
          <w:rFonts w:ascii="Segoe UI" w:hAnsi="Segoe UI" w:cs="Segoe UI"/>
        </w:rPr>
        <w:t>adhere to the Medical Warnings System, that is aligned with the NHI</w:t>
      </w:r>
    </w:p>
    <w:p w14:paraId="7F4D784C" w14:textId="61F2DC3A" w:rsidR="009A3840" w:rsidRPr="003228F1" w:rsidRDefault="003C55CD" w:rsidP="00047AF3">
      <w:pPr>
        <w:pStyle w:val="ListParagraph"/>
        <w:numPr>
          <w:ilvl w:val="0"/>
          <w:numId w:val="10"/>
        </w:numPr>
        <w:rPr>
          <w:rFonts w:ascii="Segoe UI" w:hAnsi="Segoe UI" w:cs="Segoe UI"/>
        </w:rPr>
      </w:pPr>
      <w:r w:rsidRPr="003228F1">
        <w:rPr>
          <w:rFonts w:ascii="Segoe UI" w:hAnsi="Segoe UI" w:cs="Segoe UI"/>
        </w:rPr>
        <w:t>ensure information</w:t>
      </w:r>
      <w:r w:rsidR="00B56C90" w:rsidRPr="003228F1">
        <w:rPr>
          <w:rFonts w:ascii="Segoe UI" w:hAnsi="Segoe UI" w:cs="Segoe UI"/>
        </w:rPr>
        <w:t xml:space="preserve"> provided</w:t>
      </w:r>
      <w:r w:rsidRPr="003228F1">
        <w:rPr>
          <w:rFonts w:ascii="Segoe UI" w:hAnsi="Segoe UI" w:cs="Segoe UI"/>
        </w:rPr>
        <w:t xml:space="preserve"> is of the highest possible quality </w:t>
      </w:r>
      <w:r w:rsidR="0068484F" w:rsidRPr="003228F1">
        <w:rPr>
          <w:rFonts w:ascii="Segoe UI" w:hAnsi="Segoe UI" w:cs="Segoe UI"/>
        </w:rPr>
        <w:t xml:space="preserve">and </w:t>
      </w:r>
      <w:r w:rsidR="00F201A0" w:rsidRPr="003228F1">
        <w:rPr>
          <w:rFonts w:ascii="Segoe UI" w:hAnsi="Segoe UI" w:cs="Segoe UI"/>
        </w:rPr>
        <w:t xml:space="preserve">data quality improvement </w:t>
      </w:r>
      <w:r w:rsidR="00037806" w:rsidRPr="003228F1">
        <w:rPr>
          <w:rFonts w:ascii="Segoe UI" w:hAnsi="Segoe UI" w:cs="Segoe UI"/>
        </w:rPr>
        <w:t>processes</w:t>
      </w:r>
      <w:r w:rsidR="00E20129" w:rsidRPr="003228F1">
        <w:rPr>
          <w:rFonts w:ascii="Segoe UI" w:hAnsi="Segoe UI" w:cs="Segoe UI"/>
        </w:rPr>
        <w:t xml:space="preserve"> </w:t>
      </w:r>
      <w:r w:rsidR="006524F9" w:rsidRPr="003228F1">
        <w:rPr>
          <w:rFonts w:ascii="Segoe UI" w:hAnsi="Segoe UI" w:cs="Segoe UI"/>
        </w:rPr>
        <w:t>are</w:t>
      </w:r>
      <w:r w:rsidR="00B77691" w:rsidRPr="003228F1">
        <w:rPr>
          <w:rFonts w:ascii="Segoe UI" w:hAnsi="Segoe UI" w:cs="Segoe UI"/>
        </w:rPr>
        <w:t xml:space="preserve"> </w:t>
      </w:r>
      <w:r w:rsidR="009C052A" w:rsidRPr="003228F1">
        <w:rPr>
          <w:rFonts w:ascii="Segoe UI" w:hAnsi="Segoe UI" w:cs="Segoe UI"/>
        </w:rPr>
        <w:t>in place</w:t>
      </w:r>
      <w:r w:rsidR="00F201A0" w:rsidRPr="003228F1">
        <w:rPr>
          <w:rFonts w:ascii="Segoe UI" w:hAnsi="Segoe UI" w:cs="Segoe UI"/>
        </w:rPr>
        <w:t xml:space="preserve"> </w:t>
      </w:r>
    </w:p>
    <w:p w14:paraId="0D20D818" w14:textId="33A3C9B3" w:rsidR="00047AF3" w:rsidRPr="003228F1" w:rsidRDefault="00047AF3" w:rsidP="00047AF3">
      <w:pPr>
        <w:pStyle w:val="ListParagraph"/>
        <w:numPr>
          <w:ilvl w:val="0"/>
          <w:numId w:val="10"/>
        </w:numPr>
        <w:spacing w:before="120" w:after="0"/>
        <w:rPr>
          <w:rFonts w:ascii="Segoe UI" w:hAnsi="Segoe UI" w:cs="Segoe UI"/>
        </w:rPr>
      </w:pPr>
      <w:r w:rsidRPr="003228F1">
        <w:rPr>
          <w:rFonts w:ascii="Segoe UI" w:hAnsi="Segoe UI" w:cs="Segoe UI"/>
        </w:rPr>
        <w:t xml:space="preserve">ensure all of its providers of publicly funded health services submit correct and complete data to national collections and national systems </w:t>
      </w:r>
      <w:r w:rsidR="00E66F27" w:rsidRPr="003228F1">
        <w:rPr>
          <w:rFonts w:ascii="Segoe UI" w:hAnsi="Segoe UI" w:cs="Segoe UI"/>
        </w:rPr>
        <w:t xml:space="preserve">in the specified time frames </w:t>
      </w:r>
      <w:r w:rsidRPr="003228F1">
        <w:rPr>
          <w:rFonts w:ascii="Segoe UI" w:hAnsi="Segoe UI" w:cs="Segoe UI"/>
        </w:rPr>
        <w:t>as follows:</w:t>
      </w:r>
    </w:p>
    <w:p w14:paraId="400EC8B1" w14:textId="77777777" w:rsidR="00047AF3" w:rsidRPr="003228F1" w:rsidRDefault="00047AF3" w:rsidP="00047AF3">
      <w:pPr>
        <w:pStyle w:val="ListParagraph"/>
        <w:numPr>
          <w:ilvl w:val="2"/>
          <w:numId w:val="10"/>
        </w:numPr>
        <w:spacing w:before="120" w:after="0"/>
        <w:ind w:left="1134" w:hanging="567"/>
        <w:rPr>
          <w:rFonts w:ascii="Segoe UI" w:hAnsi="Segoe UI" w:cs="Segoe UI"/>
        </w:rPr>
      </w:pPr>
      <w:r w:rsidRPr="003228F1">
        <w:rPr>
          <w:rFonts w:ascii="Segoe UI" w:hAnsi="Segoe UI" w:cs="Segoe UI"/>
        </w:rPr>
        <w:t>the health provider index</w:t>
      </w:r>
      <w:r w:rsidRPr="003228F1">
        <w:rPr>
          <w:rStyle w:val="FootnoteReference"/>
          <w:rFonts w:ascii="Segoe UI" w:hAnsi="Segoe UI" w:cs="Segoe UI"/>
        </w:rPr>
        <w:footnoteReference w:id="11"/>
      </w:r>
      <w:r w:rsidRPr="003228F1">
        <w:rPr>
          <w:rFonts w:ascii="Segoe UI" w:hAnsi="Segoe UI" w:cs="Segoe UI"/>
        </w:rPr>
        <w:t xml:space="preserve"> (HPI) identifies health practitioners, health provider organisations and facilities, the physical address where the health care takes place, in three separate indexes</w:t>
      </w:r>
    </w:p>
    <w:p w14:paraId="49CD2E24" w14:textId="1AB6F463" w:rsidR="00814AF8" w:rsidRPr="003228F1" w:rsidRDefault="00047AF3" w:rsidP="00756812">
      <w:pPr>
        <w:pStyle w:val="ListParagraph"/>
        <w:numPr>
          <w:ilvl w:val="2"/>
          <w:numId w:val="10"/>
        </w:numPr>
        <w:ind w:left="1134" w:hanging="567"/>
        <w:rPr>
          <w:rFonts w:ascii="Segoe UI" w:hAnsi="Segoe UI" w:cs="Segoe UI"/>
        </w:rPr>
      </w:pPr>
      <w:r w:rsidRPr="003228F1">
        <w:rPr>
          <w:rFonts w:ascii="Segoe UI" w:hAnsi="Segoe UI" w:cs="Segoe UI"/>
        </w:rPr>
        <w:t>for all hospital inpatient and day patient services data</w:t>
      </w:r>
      <w:r w:rsidR="00E62983" w:rsidRPr="003228F1">
        <w:rPr>
          <w:rFonts w:ascii="Segoe UI" w:hAnsi="Segoe UI" w:cs="Segoe UI"/>
        </w:rPr>
        <w:t xml:space="preserve"> </w:t>
      </w:r>
      <w:r w:rsidR="003A4D5A" w:rsidRPr="003228F1">
        <w:rPr>
          <w:rFonts w:ascii="Segoe UI" w:hAnsi="Segoe UI" w:cs="Segoe UI"/>
        </w:rPr>
        <w:t>must be submitted to the national minimum data set (NMDS)</w:t>
      </w:r>
      <w:r w:rsidR="000B60B5" w:rsidRPr="003228F1">
        <w:rPr>
          <w:rFonts w:ascii="Segoe UI" w:hAnsi="Segoe UI" w:cs="Segoe UI"/>
        </w:rPr>
        <w:t xml:space="preserve"> </w:t>
      </w:r>
      <w:r w:rsidR="006A3580" w:rsidRPr="003228F1">
        <w:rPr>
          <w:rFonts w:ascii="Segoe UI" w:hAnsi="Segoe UI" w:cs="Segoe UI"/>
        </w:rPr>
        <w:t xml:space="preserve">at </w:t>
      </w:r>
      <w:r w:rsidR="00AC081C" w:rsidRPr="003228F1">
        <w:rPr>
          <w:rFonts w:ascii="Segoe UI" w:hAnsi="Segoe UI" w:cs="Segoe UI"/>
        </w:rPr>
        <w:t xml:space="preserve">least monthly and </w:t>
      </w:r>
      <w:r w:rsidR="000A3779" w:rsidRPr="003228F1">
        <w:rPr>
          <w:rFonts w:ascii="Segoe UI" w:hAnsi="Segoe UI" w:cs="Segoe UI"/>
        </w:rPr>
        <w:t>successfully loaded into NMDS within 21 days</w:t>
      </w:r>
      <w:r w:rsidR="00814AF8" w:rsidRPr="003228F1">
        <w:rPr>
          <w:rFonts w:ascii="Segoe UI" w:hAnsi="Segoe UI" w:cs="Segoe UI"/>
        </w:rPr>
        <w:t xml:space="preserve"> from the end of the month of the patient’s discharge from, or attendance at, hospital, or the cessation of the provision of health care to that patient</w:t>
      </w:r>
    </w:p>
    <w:p w14:paraId="3C145392" w14:textId="3ADA7C9B" w:rsidR="00047AF3" w:rsidRPr="003228F1" w:rsidRDefault="00047AF3">
      <w:pPr>
        <w:pStyle w:val="ListParagraph"/>
        <w:numPr>
          <w:ilvl w:val="2"/>
          <w:numId w:val="10"/>
        </w:numPr>
        <w:spacing w:before="120" w:after="0"/>
        <w:ind w:left="1134" w:hanging="567"/>
        <w:rPr>
          <w:rFonts w:ascii="Segoe UI" w:hAnsi="Segoe UI" w:cs="Segoe UI"/>
        </w:rPr>
      </w:pPr>
      <w:r w:rsidRPr="003228F1">
        <w:rPr>
          <w:rFonts w:ascii="Segoe UI" w:hAnsi="Segoe UI" w:cs="Segoe UI"/>
        </w:rPr>
        <w:t>adhere to the rules relating to the national booking reporting system</w:t>
      </w:r>
      <w:r w:rsidRPr="003228F1">
        <w:rPr>
          <w:rStyle w:val="FootnoteReference"/>
          <w:rFonts w:ascii="Segoe UI" w:hAnsi="Segoe UI" w:cs="Segoe UI"/>
        </w:rPr>
        <w:footnoteReference w:id="12"/>
      </w:r>
      <w:r w:rsidRPr="003228F1">
        <w:rPr>
          <w:rFonts w:ascii="Segoe UI" w:hAnsi="Segoe UI" w:cs="Segoe UI"/>
        </w:rPr>
        <w:t xml:space="preserve"> (NBRS)</w:t>
      </w:r>
      <w:r w:rsidR="009700C2" w:rsidRPr="003228F1">
        <w:rPr>
          <w:rFonts w:ascii="Segoe UI" w:hAnsi="Segoe UI" w:cs="Segoe UI"/>
        </w:rPr>
        <w:t xml:space="preserve">, including </w:t>
      </w:r>
      <w:r w:rsidR="00822EEF" w:rsidRPr="003228F1">
        <w:rPr>
          <w:rFonts w:ascii="Segoe UI" w:hAnsi="Segoe UI" w:cs="Segoe UI"/>
        </w:rPr>
        <w:t>submitting records to NBRS at least monthly</w:t>
      </w:r>
    </w:p>
    <w:p w14:paraId="72D6ECBD" w14:textId="77777777" w:rsidR="00047AF3" w:rsidRPr="003228F1" w:rsidRDefault="00047AF3" w:rsidP="00047AF3">
      <w:pPr>
        <w:pStyle w:val="ListParagraph"/>
        <w:numPr>
          <w:ilvl w:val="2"/>
          <w:numId w:val="10"/>
        </w:numPr>
        <w:spacing w:before="120" w:after="0"/>
        <w:ind w:left="1134" w:hanging="567"/>
        <w:rPr>
          <w:rFonts w:ascii="Segoe UI" w:hAnsi="Segoe UI" w:cs="Segoe UI"/>
        </w:rPr>
      </w:pPr>
      <w:r w:rsidRPr="003228F1">
        <w:rPr>
          <w:rFonts w:ascii="Segoe UI" w:hAnsi="Segoe UI" w:cs="Segoe UI"/>
        </w:rPr>
        <w:t>national patient flow for specific publicly funded referred services</w:t>
      </w:r>
    </w:p>
    <w:p w14:paraId="3A4513A9" w14:textId="3F1B785E" w:rsidR="00047AF3" w:rsidRPr="003228F1" w:rsidRDefault="00C31DC9" w:rsidP="00047AF3">
      <w:pPr>
        <w:pStyle w:val="ListParagraph"/>
        <w:numPr>
          <w:ilvl w:val="2"/>
          <w:numId w:val="10"/>
        </w:numPr>
        <w:spacing w:before="120" w:after="0"/>
        <w:ind w:left="1134" w:hanging="567"/>
        <w:rPr>
          <w:rFonts w:ascii="Segoe UI" w:hAnsi="Segoe UI" w:cs="Segoe UI"/>
        </w:rPr>
      </w:pPr>
      <w:r w:rsidRPr="003228F1">
        <w:rPr>
          <w:rFonts w:ascii="Segoe UI" w:hAnsi="Segoe UI" w:cs="Segoe UI"/>
        </w:rPr>
        <w:t xml:space="preserve">submit data to </w:t>
      </w:r>
      <w:r w:rsidR="00047AF3" w:rsidRPr="003228F1">
        <w:rPr>
          <w:rFonts w:ascii="Segoe UI" w:hAnsi="Segoe UI" w:cs="Segoe UI"/>
        </w:rPr>
        <w:t xml:space="preserve">the programme for the integration of mental health data (PRIMHD), within 20 days from the end of each calendar month, and </w:t>
      </w:r>
      <w:r w:rsidR="00795BFC" w:rsidRPr="003228F1">
        <w:rPr>
          <w:rFonts w:ascii="Segoe UI" w:hAnsi="Segoe UI" w:cs="Segoe UI"/>
        </w:rPr>
        <w:t xml:space="preserve">to </w:t>
      </w:r>
      <w:r w:rsidR="00047AF3" w:rsidRPr="003228F1">
        <w:rPr>
          <w:rFonts w:ascii="Segoe UI" w:hAnsi="Segoe UI" w:cs="Segoe UI"/>
        </w:rPr>
        <w:t>any other mental health and addiction national data collection</w:t>
      </w:r>
    </w:p>
    <w:p w14:paraId="070FFDC2" w14:textId="77777777" w:rsidR="00047AF3" w:rsidRPr="003228F1" w:rsidRDefault="00047AF3" w:rsidP="00047AF3">
      <w:pPr>
        <w:pStyle w:val="ListParagraph"/>
        <w:numPr>
          <w:ilvl w:val="2"/>
          <w:numId w:val="10"/>
        </w:numPr>
        <w:spacing w:before="120" w:after="0"/>
        <w:ind w:left="1134" w:hanging="567"/>
        <w:rPr>
          <w:rFonts w:ascii="Segoe UI" w:hAnsi="Segoe UI" w:cs="Segoe UI"/>
        </w:rPr>
      </w:pPr>
      <w:r w:rsidRPr="003228F1">
        <w:rPr>
          <w:rFonts w:ascii="Segoe UI" w:hAnsi="Segoe UI" w:cs="Segoe UI"/>
        </w:rPr>
        <w:t>the national immunisation register (NIR)</w:t>
      </w:r>
    </w:p>
    <w:p w14:paraId="0B86BA45" w14:textId="77777777" w:rsidR="00047AF3" w:rsidRPr="003228F1" w:rsidRDefault="00047AF3" w:rsidP="00047AF3">
      <w:pPr>
        <w:pStyle w:val="ListParagraph"/>
        <w:numPr>
          <w:ilvl w:val="2"/>
          <w:numId w:val="10"/>
        </w:numPr>
        <w:spacing w:before="120" w:after="0"/>
        <w:ind w:left="1134" w:hanging="567"/>
        <w:rPr>
          <w:rFonts w:ascii="Segoe UI" w:hAnsi="Segoe UI" w:cs="Segoe UI"/>
        </w:rPr>
      </w:pPr>
      <w:r w:rsidRPr="003228F1">
        <w:rPr>
          <w:rFonts w:ascii="Segoe UI" w:hAnsi="Segoe UI" w:cs="Segoe UI"/>
        </w:rPr>
        <w:t>ad hoc requirements for a pandemic response</w:t>
      </w:r>
    </w:p>
    <w:p w14:paraId="39C69E3E" w14:textId="57736904" w:rsidR="00066384" w:rsidRPr="003228F1" w:rsidRDefault="00D87347" w:rsidP="00047AF3">
      <w:pPr>
        <w:pStyle w:val="ListParagraph"/>
        <w:numPr>
          <w:ilvl w:val="2"/>
          <w:numId w:val="10"/>
        </w:numPr>
        <w:spacing w:before="120" w:after="0"/>
        <w:ind w:left="1134" w:hanging="567"/>
        <w:rPr>
          <w:rFonts w:ascii="Segoe UI" w:hAnsi="Segoe UI" w:cs="Segoe UI"/>
        </w:rPr>
      </w:pPr>
      <w:r w:rsidRPr="003228F1">
        <w:rPr>
          <w:rFonts w:ascii="Segoe UI" w:hAnsi="Segoe UI" w:cs="Segoe UI"/>
        </w:rPr>
        <w:t xml:space="preserve">enter and store </w:t>
      </w:r>
      <w:r w:rsidR="005E7E73" w:rsidRPr="003228F1">
        <w:rPr>
          <w:rFonts w:ascii="Segoe UI" w:hAnsi="Segoe UI" w:cs="Segoe UI"/>
        </w:rPr>
        <w:t xml:space="preserve">at least the minimum dataset for Before School Checks (B4SC) </w:t>
      </w:r>
      <w:r w:rsidR="00B16C85" w:rsidRPr="003228F1">
        <w:rPr>
          <w:rFonts w:ascii="Segoe UI" w:hAnsi="Segoe UI" w:cs="Segoe UI"/>
        </w:rPr>
        <w:t xml:space="preserve">into to the B4SC information system and </w:t>
      </w:r>
      <w:r w:rsidR="00E2177D" w:rsidRPr="003228F1">
        <w:rPr>
          <w:rFonts w:ascii="Segoe UI" w:hAnsi="Segoe UI" w:cs="Segoe UI"/>
        </w:rPr>
        <w:t>enter an</w:t>
      </w:r>
      <w:r w:rsidR="00B14AE1" w:rsidRPr="003228F1">
        <w:rPr>
          <w:rFonts w:ascii="Segoe UI" w:hAnsi="Segoe UI" w:cs="Segoe UI"/>
        </w:rPr>
        <w:t xml:space="preserve">d complete all </w:t>
      </w:r>
      <w:r w:rsidR="00047AF3" w:rsidRPr="003228F1">
        <w:rPr>
          <w:rFonts w:ascii="Segoe UI" w:hAnsi="Segoe UI" w:cs="Segoe UI"/>
        </w:rPr>
        <w:t>B4SC</w:t>
      </w:r>
      <w:r w:rsidR="00FC0229" w:rsidRPr="003228F1">
        <w:rPr>
          <w:rFonts w:ascii="Segoe UI" w:hAnsi="Segoe UI" w:cs="Segoe UI"/>
        </w:rPr>
        <w:t xml:space="preserve"> into the B</w:t>
      </w:r>
      <w:r w:rsidR="00B16C85" w:rsidRPr="003228F1">
        <w:rPr>
          <w:rFonts w:ascii="Segoe UI" w:hAnsi="Segoe UI" w:cs="Segoe UI"/>
        </w:rPr>
        <w:t>4</w:t>
      </w:r>
      <w:r w:rsidR="00FC0229" w:rsidRPr="003228F1">
        <w:rPr>
          <w:rFonts w:ascii="Segoe UI" w:hAnsi="Segoe UI" w:cs="Segoe UI"/>
        </w:rPr>
        <w:t>SC</w:t>
      </w:r>
      <w:r w:rsidR="00047AF3" w:rsidRPr="003228F1">
        <w:rPr>
          <w:rFonts w:ascii="Segoe UI" w:hAnsi="Segoe UI" w:cs="Segoe UI"/>
        </w:rPr>
        <w:t xml:space="preserve"> information system</w:t>
      </w:r>
      <w:r w:rsidR="00FC0229" w:rsidRPr="003228F1">
        <w:rPr>
          <w:rFonts w:ascii="Segoe UI" w:hAnsi="Segoe UI" w:cs="Segoe UI"/>
        </w:rPr>
        <w:t xml:space="preserve"> </w:t>
      </w:r>
      <w:r w:rsidR="002D025F" w:rsidRPr="003228F1">
        <w:rPr>
          <w:rFonts w:ascii="Segoe UI" w:hAnsi="Segoe UI" w:cs="Segoe UI"/>
        </w:rPr>
        <w:t>no later than seven days after the child’s fifth birthday</w:t>
      </w:r>
    </w:p>
    <w:p w14:paraId="52168E9D" w14:textId="5D241123" w:rsidR="004A3F2F" w:rsidRPr="003228F1" w:rsidRDefault="00066384" w:rsidP="004A3F2F">
      <w:pPr>
        <w:pStyle w:val="ListParagraph"/>
        <w:numPr>
          <w:ilvl w:val="2"/>
          <w:numId w:val="10"/>
        </w:numPr>
        <w:spacing w:before="120" w:after="0"/>
        <w:ind w:left="1134" w:hanging="567"/>
        <w:rPr>
          <w:rFonts w:ascii="Segoe UI" w:hAnsi="Segoe UI" w:cs="Segoe UI"/>
        </w:rPr>
      </w:pPr>
      <w:r w:rsidRPr="003228F1">
        <w:rPr>
          <w:rFonts w:ascii="Segoe UI" w:hAnsi="Segoe UI" w:cs="Segoe UI"/>
        </w:rPr>
        <w:t xml:space="preserve">provide data </w:t>
      </w:r>
      <w:r w:rsidR="00396E06" w:rsidRPr="003228F1">
        <w:rPr>
          <w:rFonts w:ascii="Segoe UI" w:hAnsi="Segoe UI" w:cs="Segoe UI"/>
        </w:rPr>
        <w:t>to the national non-admitted patient collection (NNPAC)</w:t>
      </w:r>
      <w:r w:rsidR="0000400A" w:rsidRPr="003228F1">
        <w:rPr>
          <w:rFonts w:ascii="Segoe UI" w:hAnsi="Segoe UI" w:cs="Segoe UI"/>
        </w:rPr>
        <w:t>,</w:t>
      </w:r>
      <w:r w:rsidR="00396E06" w:rsidRPr="003228F1">
        <w:rPr>
          <w:rFonts w:ascii="Segoe UI" w:hAnsi="Segoe UI" w:cs="Segoe UI"/>
        </w:rPr>
        <w:t xml:space="preserve"> </w:t>
      </w:r>
      <w:r w:rsidRPr="003228F1">
        <w:rPr>
          <w:rFonts w:ascii="Segoe UI" w:hAnsi="Segoe UI" w:cs="Segoe UI"/>
        </w:rPr>
        <w:t>within 20 days of the end of the month in which the service delivery occurred</w:t>
      </w:r>
      <w:r w:rsidR="0000400A" w:rsidRPr="003228F1">
        <w:rPr>
          <w:rFonts w:ascii="Segoe UI" w:hAnsi="Segoe UI" w:cs="Segoe UI"/>
        </w:rPr>
        <w:t xml:space="preserve">, </w:t>
      </w:r>
      <w:r w:rsidR="00047AF3" w:rsidRPr="003228F1">
        <w:rPr>
          <w:rFonts w:ascii="Segoe UI" w:hAnsi="Segoe UI" w:cs="Segoe UI"/>
        </w:rPr>
        <w:t>for all mandatory reporting purchase unit codes to NNPAC</w:t>
      </w:r>
    </w:p>
    <w:p w14:paraId="579F4FD1" w14:textId="762D574E" w:rsidR="004A3F2F" w:rsidRPr="003228F1" w:rsidRDefault="004A3F2F" w:rsidP="00B8059F">
      <w:pPr>
        <w:pStyle w:val="ListParagraph"/>
        <w:numPr>
          <w:ilvl w:val="2"/>
          <w:numId w:val="10"/>
        </w:numPr>
        <w:spacing w:before="120" w:after="0"/>
        <w:ind w:left="1134" w:hanging="567"/>
        <w:rPr>
          <w:rFonts w:ascii="Segoe UI" w:hAnsi="Segoe UI" w:cs="Segoe UI"/>
        </w:rPr>
      </w:pPr>
      <w:r w:rsidRPr="003228F1">
        <w:rPr>
          <w:rFonts w:ascii="Segoe UI" w:hAnsi="Segoe UI" w:cs="Segoe UI"/>
        </w:rPr>
        <w:t xml:space="preserve">the event identifiers included in NNPAC </w:t>
      </w:r>
      <w:r w:rsidR="00A467F8" w:rsidRPr="003228F1">
        <w:rPr>
          <w:rFonts w:ascii="Segoe UI" w:hAnsi="Segoe UI" w:cs="Segoe UI"/>
        </w:rPr>
        <w:t>must</w:t>
      </w:r>
      <w:r w:rsidRPr="003228F1">
        <w:rPr>
          <w:rFonts w:ascii="Segoe UI" w:hAnsi="Segoe UI" w:cs="Segoe UI"/>
        </w:rPr>
        <w:t xml:space="preserve"> also </w:t>
      </w:r>
      <w:r w:rsidR="00A467F8" w:rsidRPr="003228F1">
        <w:rPr>
          <w:rFonts w:ascii="Segoe UI" w:hAnsi="Segoe UI" w:cs="Segoe UI"/>
        </w:rPr>
        <w:t xml:space="preserve">be </w:t>
      </w:r>
      <w:r w:rsidRPr="003228F1">
        <w:rPr>
          <w:rFonts w:ascii="Segoe UI" w:hAnsi="Segoe UI" w:cs="Segoe UI"/>
        </w:rPr>
        <w:t>reported in NPF and NBRS (that is, to ensure the specific outpatient event can be identified for a given referral)</w:t>
      </w:r>
    </w:p>
    <w:p w14:paraId="5B0C589E" w14:textId="282FDA70" w:rsidR="00047AF3" w:rsidRPr="003228F1" w:rsidRDefault="00047AF3">
      <w:pPr>
        <w:pStyle w:val="ListParagraph"/>
        <w:numPr>
          <w:ilvl w:val="2"/>
          <w:numId w:val="10"/>
        </w:numPr>
        <w:spacing w:before="120" w:after="0"/>
        <w:ind w:left="1134" w:hanging="567"/>
        <w:rPr>
          <w:rFonts w:ascii="Segoe UI" w:hAnsi="Segoe UI" w:cs="Segoe UI"/>
        </w:rPr>
      </w:pPr>
      <w:r w:rsidRPr="003228F1">
        <w:rPr>
          <w:rFonts w:ascii="Segoe UI" w:hAnsi="Segoe UI" w:cs="Segoe UI"/>
        </w:rPr>
        <w:t>primary maternity services that are not provided under a Pae Ora Act primary maternity notice will report to the Maternity Data Collection</w:t>
      </w:r>
      <w:r w:rsidR="0078076F" w:rsidRPr="003228F1">
        <w:rPr>
          <w:rFonts w:ascii="Segoe UI" w:hAnsi="Segoe UI" w:cs="Segoe UI"/>
        </w:rPr>
        <w:t>.</w:t>
      </w:r>
    </w:p>
    <w:p w14:paraId="03B093C6" w14:textId="3C193A2B" w:rsidR="00B013A0" w:rsidRDefault="00007398" w:rsidP="00E9285C">
      <w:pPr>
        <w:pStyle w:val="ListParagraph"/>
        <w:numPr>
          <w:ilvl w:val="0"/>
          <w:numId w:val="10"/>
        </w:numPr>
        <w:spacing w:before="120" w:after="0"/>
        <w:rPr>
          <w:rFonts w:ascii="Segoe UI" w:hAnsi="Segoe UI" w:cs="Segoe UI"/>
        </w:rPr>
      </w:pPr>
      <w:r w:rsidRPr="00007398">
        <w:rPr>
          <w:rFonts w:ascii="Segoe UI" w:hAnsi="Segoe UI" w:cs="Segoe UI"/>
        </w:rPr>
        <w:t>Health New Zealand</w:t>
      </w:r>
      <w:r>
        <w:rPr>
          <w:rFonts w:ascii="Segoe UI" w:hAnsi="Segoe UI" w:cs="Segoe UI"/>
        </w:rPr>
        <w:t xml:space="preserve"> </w:t>
      </w:r>
      <w:r w:rsidR="00047AF3" w:rsidRPr="003228F1">
        <w:rPr>
          <w:rFonts w:ascii="Segoe UI" w:hAnsi="Segoe UI" w:cs="Segoe UI"/>
        </w:rPr>
        <w:t>will supply information as is reasonably necessary to enable ACC to monitor, audit or otherwise verify or report on delivery of the services set out in the annual service agreement for the purchase of public health acute services, pharmaceuticals, therap</w:t>
      </w:r>
      <w:r w:rsidR="00C53D76" w:rsidRPr="003228F1">
        <w:rPr>
          <w:rFonts w:ascii="Segoe UI" w:hAnsi="Segoe UI" w:cs="Segoe UI"/>
        </w:rPr>
        <w:t>e</w:t>
      </w:r>
      <w:r w:rsidR="00047AF3" w:rsidRPr="003228F1">
        <w:rPr>
          <w:rFonts w:ascii="Segoe UI" w:hAnsi="Segoe UI" w:cs="Segoe UI"/>
        </w:rPr>
        <w:t xml:space="preserve">utic devices, laboratory tests and renal dialysis services agreed between the Minister for Accident Compensation Corporation and the Minister of Health. </w:t>
      </w:r>
    </w:p>
    <w:p w14:paraId="3038D2D0" w14:textId="77777777" w:rsidR="00047AF3" w:rsidRDefault="00047AF3" w:rsidP="00EF1C89">
      <w:pPr>
        <w:pStyle w:val="Heading1"/>
      </w:pPr>
      <w:r w:rsidRPr="003228F1">
        <w:t>Abbreviations used</w:t>
      </w:r>
    </w:p>
    <w:p w14:paraId="75142BA2" w14:textId="77777777" w:rsidR="00E40882" w:rsidRPr="00E40882" w:rsidRDefault="00E40882" w:rsidP="00E40882"/>
    <w:p w14:paraId="2C078E63" w14:textId="2F7E7BBF" w:rsidR="00B067D5" w:rsidRPr="003228F1" w:rsidRDefault="00047AF3" w:rsidP="00047AF3">
      <w:pPr>
        <w:spacing w:before="120" w:after="0"/>
        <w:rPr>
          <w:rFonts w:ascii="Segoe UI" w:hAnsi="Segoe UI" w:cs="Segoe UI"/>
          <w:lang w:eastAsia="en-GB"/>
        </w:rPr>
      </w:pPr>
      <w:r w:rsidRPr="003228F1">
        <w:rPr>
          <w:rFonts w:ascii="Segoe UI" w:hAnsi="Segoe UI" w:cs="Segoe UI"/>
          <w:lang w:eastAsia="en-GB"/>
        </w:rPr>
        <w:lastRenderedPageBreak/>
        <w:t>Unless otherwise stated, all terms used in this document use the definitions and meanings set out in the Pae Ora (Healthy Futures) Act 2022.</w:t>
      </w:r>
    </w:p>
    <w:p w14:paraId="528F25B1" w14:textId="77777777" w:rsidR="00D45583" w:rsidRPr="003228F1" w:rsidRDefault="00D45583" w:rsidP="00047AF3">
      <w:pPr>
        <w:spacing w:before="120" w:after="0"/>
        <w:rPr>
          <w:rFonts w:ascii="Segoe UI" w:hAnsi="Segoe UI" w:cs="Segoe UI"/>
          <w:lang w:eastAsia="en-GB"/>
        </w:rPr>
      </w:pPr>
    </w:p>
    <w:p w14:paraId="6EB223B1" w14:textId="77777777" w:rsidR="00AC363A" w:rsidRPr="003228F1" w:rsidRDefault="00AC363A" w:rsidP="00047AF3">
      <w:pPr>
        <w:spacing w:before="120" w:after="0"/>
        <w:rPr>
          <w:rFonts w:ascii="Segoe UI" w:hAnsi="Segoe UI" w:cs="Segoe UI"/>
          <w:lang w:eastAsia="en-GB"/>
        </w:rPr>
      </w:pPr>
    </w:p>
    <w:p w14:paraId="541EC877" w14:textId="77777777" w:rsidR="00BD3EE7" w:rsidRPr="003228F1" w:rsidRDefault="00BD3EE7" w:rsidP="00047AF3">
      <w:pPr>
        <w:spacing w:before="120" w:after="0"/>
        <w:rPr>
          <w:rFonts w:ascii="Segoe UI" w:hAnsi="Segoe UI" w:cs="Segoe UI"/>
          <w:lang w:eastAsia="en-GB"/>
        </w:rPr>
        <w:sectPr w:rsidR="00BD3EE7" w:rsidRPr="003228F1" w:rsidSect="003807A6">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pPr>
    </w:p>
    <w:p w14:paraId="15613EDC" w14:textId="77777777" w:rsidR="00895695" w:rsidRPr="00D87FAF" w:rsidRDefault="00895695" w:rsidP="00895695">
      <w:pPr>
        <w:keepNext/>
        <w:keepLines/>
        <w:spacing w:before="40" w:after="0" w:line="240" w:lineRule="auto"/>
        <w:outlineLvl w:val="1"/>
        <w:rPr>
          <w:rFonts w:ascii="Segoe UI" w:eastAsiaTheme="majorEastAsia" w:hAnsi="Segoe UI" w:cs="Segoe UI"/>
          <w:b/>
          <w:bCs/>
          <w:color w:val="4472C4" w:themeColor="accent1"/>
          <w:sz w:val="36"/>
          <w:szCs w:val="36"/>
          <w:lang w:eastAsia="en-GB"/>
        </w:rPr>
      </w:pPr>
      <w:bookmarkStart w:id="19" w:name="_Ref34843416"/>
      <w:bookmarkStart w:id="20" w:name="_Ref34843537"/>
      <w:bookmarkStart w:id="21" w:name="_Toc32398018"/>
      <w:bookmarkStart w:id="22" w:name="_Ref34884935"/>
      <w:bookmarkStart w:id="23" w:name="_Toc40708512"/>
      <w:bookmarkStart w:id="24" w:name="_Toc64269142"/>
      <w:bookmarkStart w:id="25" w:name="_Hlk144735166"/>
      <w:r w:rsidRPr="00D87FAF">
        <w:rPr>
          <w:rFonts w:ascii="Segoe UI" w:eastAsiaTheme="majorEastAsia" w:hAnsi="Segoe UI" w:cs="Segoe UI"/>
          <w:b/>
          <w:bCs/>
          <w:color w:val="4472C4" w:themeColor="accent1"/>
          <w:sz w:val="36"/>
          <w:szCs w:val="36"/>
          <w:lang w:eastAsia="en-GB"/>
        </w:rPr>
        <w:lastRenderedPageBreak/>
        <w:t>Appendix one: Provider selection and private involvement protocols</w:t>
      </w:r>
      <w:bookmarkEnd w:id="19"/>
      <w:bookmarkEnd w:id="20"/>
    </w:p>
    <w:p w14:paraId="4EB53D03" w14:textId="77777777" w:rsidR="00895695" w:rsidRPr="00D87FAF" w:rsidRDefault="00895695" w:rsidP="00895695">
      <w:pPr>
        <w:spacing w:after="0" w:line="240" w:lineRule="auto"/>
        <w:rPr>
          <w:rFonts w:ascii="Segoe UI" w:eastAsia="Times New Roman" w:hAnsi="Segoe UI" w:cs="Segoe UI"/>
          <w:sz w:val="21"/>
          <w:szCs w:val="20"/>
          <w:lang w:eastAsia="en-GB"/>
        </w:rPr>
      </w:pPr>
      <w:r w:rsidRPr="00D87FAF">
        <w:rPr>
          <w:rFonts w:ascii="Segoe UI" w:eastAsia="Times New Roman" w:hAnsi="Segoe UI" w:cs="Segoe UI"/>
          <w:sz w:val="21"/>
          <w:szCs w:val="20"/>
          <w:lang w:eastAsia="en-GB"/>
        </w:rPr>
        <w:t>(See CAB (00) M32/2A (2), CAB (01) 12/12 and Statement of Government Intentions: Community Government Relationships, CAB Min (02) 31/13, POL Min (03) 27/3, CAB Min (04) 42/5A and SOC Min (09) 13/1.)</w:t>
      </w:r>
    </w:p>
    <w:p w14:paraId="19F273AF" w14:textId="77777777" w:rsidR="00895695" w:rsidRPr="00D87FAF" w:rsidRDefault="00895695" w:rsidP="00895695">
      <w:pPr>
        <w:spacing w:after="0" w:line="240" w:lineRule="auto"/>
        <w:rPr>
          <w:rFonts w:ascii="Segoe UI" w:eastAsia="Times New Roman" w:hAnsi="Segoe UI" w:cs="Segoe UI"/>
          <w:sz w:val="21"/>
          <w:szCs w:val="20"/>
          <w:lang w:eastAsia="en-GB"/>
        </w:rPr>
      </w:pPr>
    </w:p>
    <w:p w14:paraId="054CC104" w14:textId="77777777" w:rsidR="00895695" w:rsidRPr="00D87FAF" w:rsidRDefault="00895695" w:rsidP="00895695">
      <w:pPr>
        <w:spacing w:after="0" w:line="240" w:lineRule="auto"/>
        <w:rPr>
          <w:rFonts w:ascii="Segoe UI" w:eastAsia="Times New Roman" w:hAnsi="Segoe UI" w:cs="Segoe UI"/>
          <w:sz w:val="21"/>
          <w:szCs w:val="20"/>
          <w:lang w:eastAsia="en-GB"/>
        </w:rPr>
      </w:pPr>
      <w:r w:rsidRPr="00D87FAF">
        <w:rPr>
          <w:rFonts w:ascii="Segoe UI" w:eastAsia="Times New Roman" w:hAnsi="Segoe UI" w:cs="Segoe UI"/>
          <w:sz w:val="21"/>
          <w:szCs w:val="20"/>
          <w:lang w:eastAsia="en-GB"/>
        </w:rPr>
        <w:t>Background</w:t>
      </w:r>
    </w:p>
    <w:p w14:paraId="6C957205" w14:textId="77777777" w:rsidR="00895695" w:rsidRPr="00D87FAF" w:rsidRDefault="00895695" w:rsidP="00895695">
      <w:pPr>
        <w:spacing w:before="180" w:after="0" w:line="240" w:lineRule="auto"/>
        <w:rPr>
          <w:rFonts w:ascii="Segoe UI" w:eastAsia="Times New Roman" w:hAnsi="Segoe UI" w:cs="Segoe UI"/>
          <w:sz w:val="21"/>
          <w:szCs w:val="24"/>
          <w:lang w:eastAsia="en-GB"/>
        </w:rPr>
      </w:pPr>
      <w:r w:rsidRPr="00D87FAF">
        <w:rPr>
          <w:rFonts w:ascii="Segoe UI" w:eastAsia="Times New Roman" w:hAnsi="Segoe UI" w:cs="Segoe UI"/>
          <w:sz w:val="21"/>
          <w:szCs w:val="24"/>
          <w:lang w:eastAsia="en-GB"/>
        </w:rPr>
        <w:t>In 2000 Cabinet agreed protocols to assist DHBs making decisions about the delivery of publicly funded health and disability support services. The protocols were amended by the Minister in 2005, and further amended by Cabinet in 2009. The context for these protocols is the relationship between the public and private sectors (including for-profit and not-for-profit sectors). The private sector can assist the public sector to deliver care in many circumstances, and it can provide products and services that complement the public health and disability sector. In certain instances, DHBs will be heavily dependent on private providers to deliver some publicly funded services.</w:t>
      </w:r>
    </w:p>
    <w:p w14:paraId="3C44132B" w14:textId="77777777" w:rsidR="00895695" w:rsidRPr="003228F1" w:rsidRDefault="00895695" w:rsidP="00895695">
      <w:pPr>
        <w:pStyle w:val="ListParagraph"/>
        <w:numPr>
          <w:ilvl w:val="0"/>
          <w:numId w:val="16"/>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4"/>
          <w:lang w:eastAsia="en-GB"/>
        </w:rPr>
        <w:t>Provider selection protocols</w:t>
      </w:r>
    </w:p>
    <w:p w14:paraId="1AA01B16" w14:textId="77777777" w:rsidR="00895695" w:rsidRPr="003228F1" w:rsidRDefault="00895695" w:rsidP="00895695">
      <w:pPr>
        <w:pStyle w:val="ListParagraph"/>
        <w:numPr>
          <w:ilvl w:val="1"/>
          <w:numId w:val="16"/>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4"/>
          <w:lang w:eastAsia="en-GB"/>
        </w:rPr>
        <w:t>The protocols below help to determine which services Health New Zealand purchases from private providers and how to manage the associated risks. The protocols indicate where it is appropriate for Health New Zealand to inform the Ministry</w:t>
      </w:r>
      <w:r>
        <w:rPr>
          <w:rFonts w:ascii="Segoe UI" w:eastAsia="Times New Roman" w:hAnsi="Segoe UI" w:cs="Segoe UI"/>
          <w:sz w:val="21"/>
          <w:szCs w:val="24"/>
          <w:lang w:eastAsia="en-GB"/>
        </w:rPr>
        <w:t xml:space="preserve"> of Health</w:t>
      </w:r>
      <w:r w:rsidRPr="003228F1">
        <w:rPr>
          <w:rFonts w:ascii="Segoe UI" w:eastAsia="Times New Roman" w:hAnsi="Segoe UI" w:cs="Segoe UI"/>
          <w:sz w:val="21"/>
          <w:szCs w:val="24"/>
          <w:lang w:eastAsia="en-GB"/>
        </w:rPr>
        <w:t>, or to seek approval of the Minister.</w:t>
      </w:r>
    </w:p>
    <w:p w14:paraId="0B3BD2E4" w14:textId="77777777" w:rsidR="00895695" w:rsidRPr="003228F1" w:rsidRDefault="00895695" w:rsidP="00895695">
      <w:pPr>
        <w:pStyle w:val="ListParagraph"/>
        <w:spacing w:before="180" w:after="0" w:line="240" w:lineRule="auto"/>
        <w:ind w:left="792"/>
        <w:rPr>
          <w:rFonts w:ascii="Segoe UI" w:eastAsia="Times New Roman" w:hAnsi="Segoe UI" w:cs="Segoe UI"/>
          <w:sz w:val="21"/>
          <w:szCs w:val="24"/>
          <w:lang w:eastAsia="en-GB"/>
        </w:rPr>
      </w:pPr>
    </w:p>
    <w:p w14:paraId="11163BA3" w14:textId="77777777" w:rsidR="00895695" w:rsidRPr="003228F1" w:rsidRDefault="00895695" w:rsidP="00895695">
      <w:pPr>
        <w:pStyle w:val="ListParagraph"/>
        <w:numPr>
          <w:ilvl w:val="1"/>
          <w:numId w:val="16"/>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4"/>
          <w:lang w:eastAsia="en-GB"/>
        </w:rPr>
        <w:t>The provider selection protocols set out the following requirements for the process of choosing a provider.</w:t>
      </w:r>
    </w:p>
    <w:p w14:paraId="1CFAA8A5" w14:textId="77777777" w:rsidR="00895695" w:rsidRPr="00D87FAF" w:rsidRDefault="00895695" w:rsidP="00895695">
      <w:pPr>
        <w:numPr>
          <w:ilvl w:val="3"/>
          <w:numId w:val="12"/>
        </w:numPr>
        <w:spacing w:before="90" w:after="0" w:line="240" w:lineRule="auto"/>
        <w:rPr>
          <w:rFonts w:ascii="Segoe UI" w:eastAsia="Times New Roman" w:hAnsi="Segoe UI" w:cs="Segoe UI"/>
          <w:sz w:val="21"/>
          <w:szCs w:val="20"/>
          <w:lang w:eastAsia="en-GB"/>
        </w:rPr>
      </w:pPr>
      <w:r w:rsidRPr="1627DD1A">
        <w:rPr>
          <w:rFonts w:ascii="Segoe UI" w:eastAsia="Times New Roman" w:hAnsi="Segoe UI" w:cs="Segoe UI"/>
          <w:sz w:val="21"/>
          <w:szCs w:val="21"/>
          <w:lang w:eastAsia="en-GB"/>
        </w:rPr>
        <w:t>The providers and facilities chosen for publicly funded services should, first and foremost, be the most effective option to achieve gains in health and independence for New Zealanders and meet Government objectives within available funding.</w:t>
      </w:r>
    </w:p>
    <w:p w14:paraId="57247FE8" w14:textId="77777777" w:rsidR="00895695" w:rsidRPr="00D87FAF" w:rsidRDefault="00895695" w:rsidP="00895695">
      <w:pPr>
        <w:numPr>
          <w:ilvl w:val="3"/>
          <w:numId w:val="12"/>
        </w:numPr>
        <w:spacing w:before="90" w:after="0" w:line="240" w:lineRule="auto"/>
        <w:rPr>
          <w:rFonts w:ascii="Segoe UI" w:eastAsia="Times New Roman" w:hAnsi="Segoe UI" w:cs="Segoe UI"/>
          <w:sz w:val="21"/>
          <w:szCs w:val="20"/>
          <w:lang w:eastAsia="en-GB"/>
        </w:rPr>
      </w:pPr>
      <w:r w:rsidRPr="1627DD1A">
        <w:rPr>
          <w:rFonts w:ascii="Segoe UI" w:eastAsia="Times New Roman" w:hAnsi="Segoe UI" w:cs="Segoe UI"/>
          <w:sz w:val="21"/>
          <w:szCs w:val="21"/>
          <w:lang w:eastAsia="en-GB"/>
        </w:rPr>
        <w:t xml:space="preserve">In respect of services for Māori, the choice should be one that continues to build Māori capacity for providing for Māori needs. In respect of services for Pacific peoples, it should continue to build Pacific people’s capacity for providing for Pacific people’s needs. </w:t>
      </w:r>
    </w:p>
    <w:p w14:paraId="2E4BC970" w14:textId="77777777" w:rsidR="00895695" w:rsidRPr="00D87FAF" w:rsidRDefault="00895695" w:rsidP="00895695">
      <w:pPr>
        <w:numPr>
          <w:ilvl w:val="3"/>
          <w:numId w:val="12"/>
        </w:numPr>
        <w:spacing w:before="90" w:after="0" w:line="240" w:lineRule="auto"/>
        <w:rPr>
          <w:rFonts w:ascii="Segoe UI" w:eastAsia="Times New Roman" w:hAnsi="Segoe UI" w:cs="Segoe UI"/>
          <w:sz w:val="21"/>
          <w:szCs w:val="20"/>
          <w:lang w:eastAsia="en-GB"/>
        </w:rPr>
      </w:pPr>
      <w:r w:rsidRPr="1627DD1A">
        <w:rPr>
          <w:rFonts w:ascii="Segoe UI" w:eastAsia="Times New Roman" w:hAnsi="Segoe UI" w:cs="Segoe UI"/>
          <w:sz w:val="21"/>
          <w:szCs w:val="21"/>
          <w:lang w:eastAsia="en-GB"/>
        </w:rPr>
        <w:t>Health New Zealand should purchase services to best meet population needs. Health New Zealand is free to use the private sector to complement their own service delivery but must ensure the long-term viability of their own resources and delivery is not undermined.</w:t>
      </w:r>
    </w:p>
    <w:p w14:paraId="2C7BA594" w14:textId="77777777" w:rsidR="00895695" w:rsidRPr="00D87FAF" w:rsidRDefault="00895695" w:rsidP="00895695">
      <w:pPr>
        <w:numPr>
          <w:ilvl w:val="3"/>
          <w:numId w:val="12"/>
        </w:numPr>
        <w:spacing w:before="90" w:after="0" w:line="240" w:lineRule="auto"/>
        <w:rPr>
          <w:rFonts w:ascii="Segoe UI" w:eastAsia="Times New Roman" w:hAnsi="Segoe UI" w:cs="Segoe UI"/>
          <w:sz w:val="21"/>
          <w:szCs w:val="20"/>
          <w:lang w:eastAsia="en-GB"/>
        </w:rPr>
      </w:pPr>
      <w:r w:rsidRPr="1627DD1A">
        <w:rPr>
          <w:rFonts w:ascii="Segoe UI" w:eastAsia="Times New Roman" w:hAnsi="Segoe UI" w:cs="Segoe UI"/>
          <w:sz w:val="21"/>
          <w:szCs w:val="21"/>
          <w:lang w:eastAsia="en-GB"/>
        </w:rPr>
        <w:t>The choice must be consistent with any specific requirements set out in other Government policies (such as those for primary health organisations (PHOs)).</w:t>
      </w:r>
    </w:p>
    <w:p w14:paraId="1E8BFB14" w14:textId="77777777" w:rsidR="00895695" w:rsidRPr="00D87FAF" w:rsidRDefault="00895695" w:rsidP="00895695">
      <w:pPr>
        <w:numPr>
          <w:ilvl w:val="3"/>
          <w:numId w:val="12"/>
        </w:numPr>
        <w:spacing w:before="90" w:after="0" w:line="240" w:lineRule="auto"/>
        <w:rPr>
          <w:rFonts w:ascii="Segoe UI" w:eastAsia="Times New Roman" w:hAnsi="Segoe UI" w:cs="Segoe UI"/>
          <w:sz w:val="21"/>
          <w:szCs w:val="20"/>
          <w:lang w:eastAsia="en-GB"/>
        </w:rPr>
      </w:pPr>
      <w:r w:rsidRPr="00D87FAF">
        <w:rPr>
          <w:rFonts w:ascii="Segoe UI" w:eastAsia="Times New Roman" w:hAnsi="Segoe UI" w:cs="Segoe UI"/>
          <w:sz w:val="21"/>
          <w:szCs w:val="21"/>
          <w:lang w:eastAsia="en-GB"/>
        </w:rPr>
        <w:t>Where Health New Zealand has a significant</w:t>
      </w:r>
      <w:r w:rsidRPr="00D87FAF">
        <w:rPr>
          <w:rFonts w:ascii="Segoe UI" w:eastAsia="Times New Roman" w:hAnsi="Segoe UI" w:cs="Segoe UI"/>
          <w:sz w:val="21"/>
          <w:szCs w:val="21"/>
          <w:vertAlign w:val="superscript"/>
          <w:lang w:eastAsia="en-GB"/>
        </w:rPr>
        <w:footnoteReference w:id="13"/>
      </w:r>
      <w:r w:rsidRPr="00D87FAF">
        <w:rPr>
          <w:rFonts w:ascii="Segoe UI" w:eastAsia="Times New Roman" w:hAnsi="Segoe UI" w:cs="Segoe UI"/>
          <w:sz w:val="21"/>
          <w:szCs w:val="21"/>
          <w:lang w:eastAsia="en-GB"/>
        </w:rPr>
        <w:t xml:space="preserve"> proposal to shift services from a public provider to an NGO provider, the shift must result in demonstrable benefits to patients that outweigh any costs (in terms of any flow-on effects such as deterioration in financial performance, reduced viability of existing Health New Zealand services or facilities, or reduced certainty of service provision in the long term). For the purposes of clarity, the Ministry </w:t>
      </w:r>
      <w:r>
        <w:rPr>
          <w:rFonts w:ascii="Segoe UI" w:eastAsia="Times New Roman" w:hAnsi="Segoe UI" w:cs="Segoe UI"/>
          <w:sz w:val="21"/>
          <w:szCs w:val="21"/>
          <w:lang w:eastAsia="en-GB"/>
        </w:rPr>
        <w:t xml:space="preserve">of Health </w:t>
      </w:r>
      <w:r w:rsidRPr="00D87FAF">
        <w:rPr>
          <w:rFonts w:ascii="Segoe UI" w:eastAsia="Times New Roman" w:hAnsi="Segoe UI" w:cs="Segoe UI"/>
          <w:sz w:val="21"/>
          <w:szCs w:val="21"/>
          <w:lang w:eastAsia="en-GB"/>
        </w:rPr>
        <w:t>expects this clause to be also applied vice versa.</w:t>
      </w:r>
    </w:p>
    <w:p w14:paraId="7B2BFFB6" w14:textId="77777777" w:rsidR="00895695" w:rsidRPr="00D87FAF" w:rsidRDefault="00895695" w:rsidP="00895695">
      <w:pPr>
        <w:numPr>
          <w:ilvl w:val="3"/>
          <w:numId w:val="12"/>
        </w:numPr>
        <w:spacing w:before="90" w:after="0" w:line="240" w:lineRule="auto"/>
        <w:rPr>
          <w:rFonts w:ascii="Segoe UI" w:eastAsia="Times New Roman" w:hAnsi="Segoe UI" w:cs="Segoe UI"/>
          <w:sz w:val="21"/>
          <w:szCs w:val="20"/>
          <w:lang w:eastAsia="en-GB"/>
        </w:rPr>
      </w:pPr>
      <w:r w:rsidRPr="1627DD1A">
        <w:rPr>
          <w:rFonts w:ascii="Segoe UI" w:eastAsia="Times New Roman" w:hAnsi="Segoe UI" w:cs="Segoe UI"/>
          <w:sz w:val="21"/>
          <w:szCs w:val="21"/>
          <w:lang w:eastAsia="en-GB"/>
        </w:rPr>
        <w:t>Where Health New Zealand has a significant proposal to shift services from public provision to private provision or to start providing services previously provided by an NGO provider, this change is subject to approval by the Minister.</w:t>
      </w:r>
    </w:p>
    <w:p w14:paraId="61FDD3F7" w14:textId="77777777" w:rsidR="00895695" w:rsidRPr="00D87FAF" w:rsidRDefault="00895695" w:rsidP="00895695">
      <w:pPr>
        <w:numPr>
          <w:ilvl w:val="3"/>
          <w:numId w:val="12"/>
        </w:numPr>
        <w:spacing w:before="90" w:after="0" w:line="240" w:lineRule="auto"/>
        <w:rPr>
          <w:rFonts w:ascii="Segoe UI" w:eastAsia="Times New Roman" w:hAnsi="Segoe UI" w:cs="Segoe UI"/>
          <w:sz w:val="21"/>
          <w:szCs w:val="20"/>
          <w:lang w:eastAsia="en-GB"/>
        </w:rPr>
      </w:pPr>
      <w:r w:rsidRPr="1627DD1A">
        <w:rPr>
          <w:rFonts w:ascii="Segoe UI" w:eastAsia="Times New Roman" w:hAnsi="Segoe UI" w:cs="Segoe UI"/>
          <w:sz w:val="21"/>
          <w:szCs w:val="21"/>
          <w:lang w:eastAsia="en-GB"/>
        </w:rPr>
        <w:lastRenderedPageBreak/>
        <w:t>The chosen provider is required to provide the same set of information to Health New Zealand (such as numbers of patients seen, details of services provided) regardless of whether the provider is publicly owned or not.</w:t>
      </w:r>
    </w:p>
    <w:p w14:paraId="61B98578" w14:textId="77777777" w:rsidR="00895695" w:rsidRPr="003228F1" w:rsidRDefault="00895695" w:rsidP="00895695">
      <w:pPr>
        <w:pStyle w:val="ListParagraph"/>
        <w:numPr>
          <w:ilvl w:val="1"/>
          <w:numId w:val="16"/>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4"/>
          <w:lang w:eastAsia="en-GB"/>
        </w:rPr>
        <w:t>Where a Health New Zealand employee or contractor has a financial interest in an NGO provider (such as an owner, director, or employee) and has influence over a decision to enter a service agreement with that provider, the Board must:</w:t>
      </w:r>
    </w:p>
    <w:p w14:paraId="25422529" w14:textId="77777777" w:rsidR="00895695" w:rsidRPr="00D87FAF" w:rsidRDefault="00895695" w:rsidP="00895695">
      <w:pPr>
        <w:numPr>
          <w:ilvl w:val="3"/>
          <w:numId w:val="12"/>
        </w:numPr>
        <w:spacing w:before="90" w:after="0" w:line="240" w:lineRule="auto"/>
        <w:rPr>
          <w:rFonts w:ascii="Segoe UI" w:eastAsia="Times New Roman" w:hAnsi="Segoe UI" w:cs="Segoe UI"/>
          <w:sz w:val="21"/>
          <w:szCs w:val="20"/>
          <w:lang w:eastAsia="en-GB"/>
        </w:rPr>
      </w:pPr>
      <w:r w:rsidRPr="1627DD1A">
        <w:rPr>
          <w:rFonts w:ascii="Segoe UI" w:eastAsia="Times New Roman" w:hAnsi="Segoe UI" w:cs="Segoe UI"/>
          <w:sz w:val="21"/>
          <w:szCs w:val="21"/>
          <w:lang w:eastAsia="en-GB"/>
        </w:rPr>
        <w:t>be advised of the potential conflict</w:t>
      </w:r>
    </w:p>
    <w:p w14:paraId="75986431" w14:textId="77777777" w:rsidR="00895695" w:rsidRPr="00D87FAF" w:rsidRDefault="00895695" w:rsidP="00895695">
      <w:pPr>
        <w:numPr>
          <w:ilvl w:val="3"/>
          <w:numId w:val="12"/>
        </w:numPr>
        <w:spacing w:before="90" w:after="0" w:line="240" w:lineRule="auto"/>
        <w:rPr>
          <w:rFonts w:ascii="Segoe UI" w:eastAsia="Times New Roman" w:hAnsi="Segoe UI" w:cs="Segoe UI"/>
          <w:sz w:val="21"/>
          <w:szCs w:val="20"/>
          <w:lang w:eastAsia="en-GB"/>
        </w:rPr>
      </w:pPr>
      <w:r w:rsidRPr="1627DD1A">
        <w:rPr>
          <w:rFonts w:ascii="Segoe UI" w:eastAsia="Times New Roman" w:hAnsi="Segoe UI" w:cs="Segoe UI"/>
          <w:sz w:val="21"/>
          <w:szCs w:val="21"/>
          <w:lang w:eastAsia="en-GB"/>
        </w:rPr>
        <w:t>explicitly approve the arrangement, together with any measures required to manage the conflict (with this approval coming specifically from the Board, not from a committee or individual/group acting under delegation from the Board).</w:t>
      </w:r>
    </w:p>
    <w:p w14:paraId="7248A4E2" w14:textId="77777777" w:rsidR="00895695" w:rsidRDefault="00895695" w:rsidP="00895695">
      <w:pPr>
        <w:pStyle w:val="ListParagraph"/>
        <w:numPr>
          <w:ilvl w:val="1"/>
          <w:numId w:val="16"/>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4"/>
          <w:lang w:eastAsia="en-GB"/>
        </w:rPr>
        <w:t>If the arrangement is approved by the Board, Health New Zealand must disclose details of this arrangement in its annual report.</w:t>
      </w:r>
    </w:p>
    <w:p w14:paraId="67EA6052" w14:textId="77777777" w:rsidR="00895695" w:rsidRPr="003228F1" w:rsidRDefault="00895695" w:rsidP="00895695">
      <w:pPr>
        <w:pStyle w:val="ListParagraph"/>
        <w:spacing w:before="180" w:after="0" w:line="240" w:lineRule="auto"/>
        <w:ind w:left="792"/>
        <w:rPr>
          <w:rFonts w:ascii="Segoe UI" w:eastAsia="Times New Roman" w:hAnsi="Segoe UI" w:cs="Segoe UI"/>
          <w:sz w:val="21"/>
          <w:szCs w:val="24"/>
          <w:lang w:eastAsia="en-GB"/>
        </w:rPr>
      </w:pPr>
    </w:p>
    <w:p w14:paraId="257E0B1F" w14:textId="77777777" w:rsidR="00895695" w:rsidRPr="003228F1" w:rsidRDefault="00895695" w:rsidP="00895695">
      <w:pPr>
        <w:pStyle w:val="ListParagraph"/>
        <w:numPr>
          <w:ilvl w:val="1"/>
          <w:numId w:val="16"/>
        </w:numPr>
        <w:spacing w:before="180" w:after="0" w:line="240" w:lineRule="auto"/>
        <w:rPr>
          <w:rFonts w:ascii="Segoe UI" w:eastAsia="Times New Roman" w:hAnsi="Segoe UI" w:cs="Segoe UI"/>
          <w:sz w:val="21"/>
          <w:szCs w:val="24"/>
          <w:lang w:eastAsia="en-GB"/>
        </w:rPr>
      </w:pPr>
      <w:r w:rsidRPr="1627DD1A">
        <w:rPr>
          <w:rFonts w:ascii="Segoe UI" w:eastAsia="Times New Roman" w:hAnsi="Segoe UI" w:cs="Segoe UI"/>
          <w:sz w:val="21"/>
          <w:szCs w:val="21"/>
          <w:lang w:eastAsia="en-GB"/>
        </w:rPr>
        <w:t>There should be no cross-subsidy of NGO/independent providers by the public sector.</w:t>
      </w:r>
    </w:p>
    <w:p w14:paraId="6F7D7C3A" w14:textId="77777777" w:rsidR="00895695" w:rsidRPr="003228F1" w:rsidRDefault="00895695" w:rsidP="00895695">
      <w:pPr>
        <w:pStyle w:val="ListParagraph"/>
        <w:spacing w:before="180" w:after="0" w:line="240" w:lineRule="auto"/>
        <w:ind w:left="792"/>
        <w:rPr>
          <w:rFonts w:ascii="Segoe UI" w:eastAsia="Times New Roman" w:hAnsi="Segoe UI" w:cs="Segoe UI"/>
          <w:b/>
          <w:sz w:val="21"/>
          <w:szCs w:val="20"/>
          <w:lang w:eastAsia="en-GB"/>
        </w:rPr>
      </w:pPr>
    </w:p>
    <w:p w14:paraId="3C13A05A" w14:textId="77777777" w:rsidR="00895695" w:rsidRPr="003228F1" w:rsidRDefault="00895695" w:rsidP="00895695">
      <w:pPr>
        <w:pStyle w:val="ListParagraph"/>
        <w:spacing w:before="180" w:after="0" w:line="240" w:lineRule="auto"/>
        <w:ind w:left="792"/>
        <w:rPr>
          <w:rFonts w:ascii="Segoe UI" w:eastAsia="Times New Roman" w:hAnsi="Segoe UI" w:cs="Segoe UI"/>
          <w:sz w:val="21"/>
          <w:szCs w:val="24"/>
          <w:lang w:eastAsia="en-GB"/>
        </w:rPr>
      </w:pPr>
      <w:r w:rsidRPr="003228F1">
        <w:rPr>
          <w:rFonts w:ascii="Segoe UI" w:eastAsia="Times New Roman" w:hAnsi="Segoe UI" w:cs="Segoe UI"/>
          <w:b/>
          <w:sz w:val="21"/>
          <w:szCs w:val="20"/>
          <w:lang w:eastAsia="en-GB"/>
        </w:rPr>
        <w:t>Note:</w:t>
      </w:r>
      <w:r w:rsidRPr="003228F1">
        <w:rPr>
          <w:rFonts w:ascii="Segoe UI" w:eastAsia="Times New Roman" w:hAnsi="Segoe UI" w:cs="Segoe UI"/>
          <w:sz w:val="21"/>
          <w:szCs w:val="20"/>
          <w:lang w:eastAsia="en-GB"/>
        </w:rPr>
        <w:t xml:space="preserve"> Where Health New Zealand Health contracts a private provider to deliver publicly funded services the provider must act consistently with all pharmaceutical schedule rules including those relating to the provisions of hospital pharmaceuticals as set out in section H of the pharmaceutical schedule</w:t>
      </w:r>
      <w:r w:rsidRPr="003228F1">
        <w:rPr>
          <w:rFonts w:ascii="Segoe UI" w:hAnsi="Segoe UI" w:cs="Segoe UI"/>
          <w:vertAlign w:val="superscript"/>
          <w:lang w:eastAsia="en-GB"/>
        </w:rPr>
        <w:footnoteReference w:id="14"/>
      </w:r>
      <w:r w:rsidRPr="003228F1">
        <w:rPr>
          <w:rFonts w:ascii="Segoe UI" w:eastAsia="Times New Roman" w:hAnsi="Segoe UI" w:cs="Segoe UI"/>
          <w:sz w:val="21"/>
          <w:szCs w:val="20"/>
          <w:lang w:eastAsia="en-GB"/>
        </w:rPr>
        <w:t xml:space="preserve"> (Hospital Medicines Schedule (HML)).</w:t>
      </w:r>
    </w:p>
    <w:p w14:paraId="57FB6A18" w14:textId="77777777" w:rsidR="00895695" w:rsidRPr="003228F1" w:rsidRDefault="00895695" w:rsidP="00895695">
      <w:pPr>
        <w:pStyle w:val="ListParagraph"/>
        <w:spacing w:before="180" w:after="0" w:line="240" w:lineRule="auto"/>
        <w:ind w:left="792"/>
        <w:rPr>
          <w:rFonts w:ascii="Segoe UI" w:eastAsia="Times New Roman" w:hAnsi="Segoe UI" w:cs="Segoe UI"/>
          <w:sz w:val="21"/>
          <w:szCs w:val="24"/>
          <w:lang w:eastAsia="en-GB"/>
        </w:rPr>
      </w:pPr>
    </w:p>
    <w:p w14:paraId="63220CE8" w14:textId="77777777" w:rsidR="00895695" w:rsidRPr="003228F1" w:rsidRDefault="00895695" w:rsidP="00895695">
      <w:pPr>
        <w:pStyle w:val="ListParagraph"/>
        <w:numPr>
          <w:ilvl w:val="1"/>
          <w:numId w:val="16"/>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1"/>
          <w:lang w:eastAsia="en-GB"/>
        </w:rPr>
        <w:t xml:space="preserve">For further information, refer to the </w:t>
      </w:r>
      <w:hyperlink r:id="rId18" w:history="1">
        <w:r w:rsidRPr="003228F1">
          <w:rPr>
            <w:rFonts w:ascii="Segoe UI" w:eastAsia="Times New Roman" w:hAnsi="Segoe UI" w:cs="Segoe UI"/>
            <w:color w:val="0563C1" w:themeColor="hyperlink"/>
            <w:sz w:val="21"/>
            <w:szCs w:val="21"/>
            <w:u w:val="single"/>
            <w:lang w:eastAsia="en-GB"/>
          </w:rPr>
          <w:t>Protocol on the Public Interface with Private Radiation Oncology Services</w:t>
        </w:r>
      </w:hyperlink>
      <w:r w:rsidRPr="003228F1">
        <w:rPr>
          <w:rFonts w:ascii="Segoe UI" w:eastAsia="Times New Roman" w:hAnsi="Segoe UI" w:cs="Segoe UI"/>
          <w:sz w:val="21"/>
          <w:szCs w:val="21"/>
          <w:lang w:eastAsia="en-GB"/>
        </w:rPr>
        <w:t xml:space="preserve"> and </w:t>
      </w:r>
      <w:hyperlink r:id="rId19" w:anchor="oncology-services" w:history="1">
        <w:r w:rsidRPr="003228F1">
          <w:rPr>
            <w:rFonts w:ascii="Segoe UI" w:eastAsia="Times New Roman" w:hAnsi="Segoe UI" w:cs="Segoe UI"/>
            <w:color w:val="0563C1" w:themeColor="hyperlink"/>
            <w:sz w:val="21"/>
            <w:szCs w:val="21"/>
            <w:u w:val="single"/>
            <w:lang w:eastAsia="en-GB"/>
          </w:rPr>
          <w:t>Protocol for Sharing of Public Radiation Oncology Capacity Between Cancer Centres</w:t>
        </w:r>
      </w:hyperlink>
      <w:r w:rsidRPr="003228F1">
        <w:rPr>
          <w:rFonts w:ascii="Segoe UI" w:hAnsi="Segoe UI" w:cs="Segoe UI"/>
          <w:color w:val="0563C1" w:themeColor="hyperlink"/>
          <w:u w:val="single"/>
          <w:vertAlign w:val="superscript"/>
          <w:lang w:eastAsia="en-GB"/>
        </w:rPr>
        <w:footnoteReference w:id="15"/>
      </w:r>
      <w:r w:rsidRPr="003228F1">
        <w:rPr>
          <w:rFonts w:ascii="Segoe UI" w:eastAsia="Times New Roman" w:hAnsi="Segoe UI" w:cs="Segoe UI"/>
          <w:color w:val="0563C1" w:themeColor="hyperlink"/>
          <w:sz w:val="21"/>
          <w:szCs w:val="21"/>
          <w:u w:val="single"/>
          <w:lang w:eastAsia="en-GB"/>
        </w:rPr>
        <w:t>.</w:t>
      </w:r>
    </w:p>
    <w:p w14:paraId="2C561997" w14:textId="77777777" w:rsidR="00895695" w:rsidRPr="003228F1" w:rsidRDefault="00895695" w:rsidP="00895695">
      <w:pPr>
        <w:pStyle w:val="ListParagraph"/>
        <w:spacing w:before="180" w:after="0" w:line="240" w:lineRule="auto"/>
        <w:ind w:left="792"/>
        <w:rPr>
          <w:rFonts w:ascii="Segoe UI" w:eastAsia="Times New Roman" w:hAnsi="Segoe UI" w:cs="Segoe UI"/>
          <w:sz w:val="21"/>
          <w:szCs w:val="24"/>
          <w:lang w:eastAsia="en-GB"/>
        </w:rPr>
      </w:pPr>
    </w:p>
    <w:p w14:paraId="7E20929D" w14:textId="77777777" w:rsidR="00895695" w:rsidRPr="003228F1" w:rsidRDefault="00895695" w:rsidP="00895695">
      <w:pPr>
        <w:pStyle w:val="ListParagraph"/>
        <w:numPr>
          <w:ilvl w:val="1"/>
          <w:numId w:val="16"/>
        </w:numPr>
        <w:spacing w:before="180" w:after="0" w:line="240" w:lineRule="auto"/>
        <w:rPr>
          <w:rFonts w:ascii="Segoe UI" w:eastAsia="Times New Roman" w:hAnsi="Segoe UI" w:cs="Segoe UI"/>
          <w:sz w:val="21"/>
          <w:szCs w:val="24"/>
          <w:lang w:eastAsia="en-GB"/>
        </w:rPr>
      </w:pPr>
      <w:r w:rsidRPr="1627DD1A">
        <w:rPr>
          <w:rFonts w:ascii="Segoe UI" w:eastAsia="Times New Roman" w:hAnsi="Segoe UI" w:cs="Segoe UI"/>
          <w:sz w:val="21"/>
          <w:szCs w:val="21"/>
          <w:lang w:eastAsia="en-GB"/>
        </w:rPr>
        <w:t xml:space="preserve">The paramount consideration for Health New Zealand to determine the use of private providers is that the option selected must be the one that most effectively achieves the goals of the public health and disability sector. Health New Zealand must exercise best judgement whether to escalate the decision-making process, by either informing their Board or seeking ministerial approval. </w:t>
      </w:r>
      <w:bookmarkStart w:id="26" w:name="_Ref34884916"/>
    </w:p>
    <w:p w14:paraId="42A58C4B" w14:textId="77777777" w:rsidR="00895695" w:rsidRPr="003228F1" w:rsidRDefault="00895695" w:rsidP="00895695">
      <w:pPr>
        <w:pStyle w:val="ListParagraph"/>
        <w:rPr>
          <w:rFonts w:ascii="Segoe UI" w:eastAsiaTheme="majorEastAsia" w:hAnsi="Segoe UI" w:cs="Segoe UI"/>
          <w:color w:val="2F5496" w:themeColor="accent1" w:themeShade="BF"/>
          <w:sz w:val="26"/>
          <w:szCs w:val="26"/>
          <w:lang w:eastAsia="en-GB"/>
        </w:rPr>
      </w:pPr>
    </w:p>
    <w:p w14:paraId="6403EB71" w14:textId="77777777" w:rsidR="00895695" w:rsidRPr="003228F1" w:rsidRDefault="00895695" w:rsidP="00895695">
      <w:pPr>
        <w:pStyle w:val="ListParagraph"/>
        <w:numPr>
          <w:ilvl w:val="0"/>
          <w:numId w:val="16"/>
        </w:numPr>
        <w:spacing w:before="180" w:after="0" w:line="240" w:lineRule="auto"/>
        <w:rPr>
          <w:rFonts w:ascii="Segoe UI" w:eastAsia="Times New Roman" w:hAnsi="Segoe UI" w:cs="Segoe UI"/>
          <w:sz w:val="21"/>
          <w:szCs w:val="24"/>
          <w:lang w:eastAsia="en-GB"/>
        </w:rPr>
      </w:pPr>
      <w:r w:rsidRPr="003228F1">
        <w:rPr>
          <w:rFonts w:ascii="Segoe UI" w:eastAsiaTheme="majorEastAsia" w:hAnsi="Segoe UI" w:cs="Segoe UI"/>
          <w:color w:val="2F5496" w:themeColor="accent1" w:themeShade="BF"/>
          <w:sz w:val="26"/>
          <w:szCs w:val="26"/>
          <w:lang w:eastAsia="en-GB"/>
        </w:rPr>
        <w:t>Private involvement protocols for funded service provision</w:t>
      </w:r>
      <w:bookmarkEnd w:id="26"/>
    </w:p>
    <w:p w14:paraId="056C31DC" w14:textId="77777777" w:rsidR="00895695" w:rsidRPr="003228F1" w:rsidRDefault="00895695" w:rsidP="00895695">
      <w:pPr>
        <w:pStyle w:val="ListParagraph"/>
        <w:numPr>
          <w:ilvl w:val="1"/>
          <w:numId w:val="16"/>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4"/>
          <w:lang w:eastAsia="en-GB"/>
        </w:rPr>
        <w:t>There may be instances where it is appropriate for Health New Zealand to become involved in the provision of privately funded services. This could mean allowing a private provider to run services from their spare facilities or treating patients privately.</w:t>
      </w:r>
    </w:p>
    <w:p w14:paraId="22C1764D" w14:textId="77777777" w:rsidR="00895695" w:rsidRPr="003228F1" w:rsidRDefault="00895695" w:rsidP="00895695">
      <w:pPr>
        <w:pStyle w:val="ListParagraph"/>
        <w:numPr>
          <w:ilvl w:val="1"/>
          <w:numId w:val="16"/>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4"/>
          <w:lang w:eastAsia="en-GB"/>
        </w:rPr>
        <w:t xml:space="preserve">For Health New Zealand to be involved in the provision of privately funded services, Cabinet has agreed a set of protocols focused on benefit to public patients, transparency and managing conflicts of interest. </w:t>
      </w:r>
    </w:p>
    <w:p w14:paraId="72E43658" w14:textId="77777777" w:rsidR="00895695" w:rsidRPr="003228F1" w:rsidRDefault="00895695" w:rsidP="00895695">
      <w:pPr>
        <w:pStyle w:val="ListParagraph"/>
        <w:numPr>
          <w:ilvl w:val="1"/>
          <w:numId w:val="16"/>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4"/>
          <w:lang w:eastAsia="en-GB"/>
        </w:rPr>
        <w:t xml:space="preserve">Health New Zealand must notify the Ministry </w:t>
      </w:r>
      <w:r>
        <w:rPr>
          <w:rFonts w:ascii="Segoe UI" w:eastAsia="Times New Roman" w:hAnsi="Segoe UI" w:cs="Segoe UI"/>
          <w:sz w:val="21"/>
          <w:szCs w:val="24"/>
          <w:lang w:eastAsia="en-GB"/>
        </w:rPr>
        <w:t xml:space="preserve">of Health </w:t>
      </w:r>
      <w:r w:rsidRPr="003228F1">
        <w:rPr>
          <w:rFonts w:ascii="Segoe UI" w:eastAsia="Times New Roman" w:hAnsi="Segoe UI" w:cs="Segoe UI"/>
          <w:sz w:val="21"/>
          <w:szCs w:val="24"/>
          <w:lang w:eastAsia="en-GB"/>
        </w:rPr>
        <w:t>of any intended proposals for involvement in privately funded service provision</w:t>
      </w:r>
      <w:r w:rsidRPr="003228F1" w:rsidDel="00AE737E">
        <w:rPr>
          <w:rFonts w:ascii="Segoe UI" w:eastAsia="Times New Roman" w:hAnsi="Segoe UI" w:cs="Segoe UI"/>
          <w:sz w:val="21"/>
          <w:szCs w:val="24"/>
          <w:lang w:eastAsia="en-GB"/>
        </w:rPr>
        <w:t>.</w:t>
      </w:r>
      <w:r w:rsidRPr="003228F1">
        <w:rPr>
          <w:rFonts w:ascii="Segoe UI" w:eastAsia="Times New Roman" w:hAnsi="Segoe UI" w:cs="Segoe UI"/>
          <w:sz w:val="21"/>
          <w:szCs w:val="24"/>
          <w:lang w:eastAsia="en-GB"/>
        </w:rPr>
        <w:t xml:space="preserve"> Use of a public provider or public facility for privately funded services is only likely to be acceptable if all the following conditions are met.</w:t>
      </w:r>
    </w:p>
    <w:p w14:paraId="3805CE06" w14:textId="77777777" w:rsidR="00895695" w:rsidRPr="003228F1" w:rsidRDefault="00895695" w:rsidP="00895695">
      <w:pPr>
        <w:pStyle w:val="Footer"/>
        <w:numPr>
          <w:ilvl w:val="3"/>
          <w:numId w:val="16"/>
        </w:numPr>
        <w:spacing w:before="90"/>
        <w:rPr>
          <w:rFonts w:ascii="Segoe UI" w:eastAsia="Times New Roman" w:hAnsi="Segoe UI" w:cs="Segoe UI"/>
          <w:sz w:val="21"/>
          <w:szCs w:val="20"/>
          <w:lang w:eastAsia="en-GB"/>
        </w:rPr>
      </w:pPr>
      <w:r w:rsidRPr="003228F1">
        <w:rPr>
          <w:rFonts w:ascii="Segoe UI" w:eastAsia="Times New Roman" w:hAnsi="Segoe UI" w:cs="Segoe UI"/>
          <w:sz w:val="21"/>
          <w:szCs w:val="20"/>
          <w:lang w:eastAsia="en-GB"/>
        </w:rPr>
        <w:t>There is no reduction in service quality to publicly funded patients or disabled people.</w:t>
      </w:r>
    </w:p>
    <w:p w14:paraId="51BD7FFD" w14:textId="77777777" w:rsidR="00895695" w:rsidRPr="003228F1" w:rsidRDefault="00895695" w:rsidP="00895695">
      <w:pPr>
        <w:pStyle w:val="Footer"/>
        <w:numPr>
          <w:ilvl w:val="3"/>
          <w:numId w:val="16"/>
        </w:numPr>
        <w:spacing w:before="90"/>
        <w:rPr>
          <w:rFonts w:ascii="Segoe UI" w:eastAsia="Times New Roman" w:hAnsi="Segoe UI" w:cs="Segoe UI"/>
          <w:sz w:val="21"/>
          <w:szCs w:val="20"/>
          <w:lang w:eastAsia="en-GB"/>
        </w:rPr>
      </w:pPr>
      <w:r w:rsidRPr="003228F1">
        <w:rPr>
          <w:rFonts w:ascii="Segoe UI" w:hAnsi="Segoe UI" w:cs="Segoe UI"/>
          <w:lang w:eastAsia="en-GB"/>
        </w:rPr>
        <w:t>There must be spare capacity beyond that required for services to public patients, that is:</w:t>
      </w:r>
    </w:p>
    <w:p w14:paraId="6DE3F582" w14:textId="77777777" w:rsidR="00895695" w:rsidRPr="00D87FAF" w:rsidRDefault="00895695" w:rsidP="00895695">
      <w:pPr>
        <w:numPr>
          <w:ilvl w:val="4"/>
          <w:numId w:val="12"/>
        </w:numPr>
        <w:spacing w:before="90" w:after="0" w:line="240" w:lineRule="auto"/>
        <w:ind w:hanging="283"/>
        <w:rPr>
          <w:rFonts w:ascii="Segoe UI" w:eastAsia="Arial Unicode MS" w:hAnsi="Segoe UI" w:cs="Segoe UI"/>
          <w:sz w:val="21"/>
          <w:szCs w:val="20"/>
          <w:lang w:eastAsia="en-GB"/>
        </w:rPr>
      </w:pPr>
      <w:r w:rsidRPr="00D87FAF">
        <w:rPr>
          <w:rFonts w:ascii="Segoe UI" w:eastAsia="Arial Unicode MS" w:hAnsi="Segoe UI" w:cs="Segoe UI"/>
          <w:sz w:val="21"/>
          <w:szCs w:val="20"/>
          <w:lang w:eastAsia="en-GB"/>
        </w:rPr>
        <w:lastRenderedPageBreak/>
        <w:t>the level of publicly funded service already meets or exceeds any minimum service coverage expectations set out in the Output Agreement with the Minister.</w:t>
      </w:r>
    </w:p>
    <w:p w14:paraId="5D4E6BF1" w14:textId="77777777" w:rsidR="00895695" w:rsidRPr="00D87FAF" w:rsidRDefault="00895695" w:rsidP="00895695">
      <w:pPr>
        <w:numPr>
          <w:ilvl w:val="4"/>
          <w:numId w:val="12"/>
        </w:numPr>
        <w:spacing w:before="90" w:after="0" w:line="240" w:lineRule="auto"/>
        <w:ind w:hanging="283"/>
        <w:rPr>
          <w:rFonts w:ascii="Segoe UI" w:eastAsia="Arial Unicode MS" w:hAnsi="Segoe UI" w:cs="Segoe UI"/>
          <w:sz w:val="21"/>
          <w:szCs w:val="20"/>
          <w:lang w:eastAsia="en-GB"/>
        </w:rPr>
      </w:pPr>
      <w:r w:rsidRPr="00D87FAF">
        <w:rPr>
          <w:rFonts w:ascii="Segoe UI" w:eastAsia="Arial Unicode MS" w:hAnsi="Segoe UI" w:cs="Segoe UI"/>
          <w:sz w:val="21"/>
          <w:szCs w:val="20"/>
          <w:lang w:eastAsia="en-GB"/>
        </w:rPr>
        <w:t>the private involvement must not interfere with the service provision to publicly funded patients and must not compromise the drive to reduce waiting times for planned care services.</w:t>
      </w:r>
    </w:p>
    <w:p w14:paraId="248FF629" w14:textId="77777777" w:rsidR="00895695" w:rsidRPr="003228F1" w:rsidRDefault="00895695" w:rsidP="00895695">
      <w:pPr>
        <w:pStyle w:val="ListParagraph"/>
        <w:numPr>
          <w:ilvl w:val="3"/>
          <w:numId w:val="16"/>
        </w:numPr>
        <w:spacing w:before="90" w:after="0" w:line="240" w:lineRule="auto"/>
        <w:rPr>
          <w:rFonts w:ascii="Segoe UI" w:eastAsia="Times New Roman" w:hAnsi="Segoe UI" w:cs="Segoe UI"/>
          <w:sz w:val="21"/>
          <w:szCs w:val="20"/>
          <w:lang w:eastAsia="en-GB"/>
        </w:rPr>
      </w:pPr>
      <w:r w:rsidRPr="003228F1">
        <w:rPr>
          <w:rFonts w:ascii="Segoe UI" w:eastAsia="Times New Roman" w:hAnsi="Segoe UI" w:cs="Segoe UI"/>
          <w:sz w:val="21"/>
          <w:szCs w:val="20"/>
          <w:lang w:eastAsia="en-GB"/>
        </w:rPr>
        <w:t>Patients must be advised of publicly funded options before choosing to pay for treatment in public facilities and be offered the opportunity of independent vetting of any referral by Health New Zealand specialist to themselves in a private capacity.</w:t>
      </w:r>
    </w:p>
    <w:p w14:paraId="41E3552A" w14:textId="77777777" w:rsidR="00895695" w:rsidRPr="003228F1" w:rsidRDefault="00895695" w:rsidP="00895695">
      <w:pPr>
        <w:pStyle w:val="ListParagraph"/>
        <w:spacing w:before="180" w:after="0" w:line="240" w:lineRule="auto"/>
        <w:ind w:left="1224"/>
        <w:rPr>
          <w:rFonts w:ascii="Segoe UI" w:eastAsia="Times New Roman" w:hAnsi="Segoe UI" w:cs="Segoe UI"/>
          <w:sz w:val="21"/>
          <w:szCs w:val="24"/>
          <w:lang w:eastAsia="en-GB"/>
        </w:rPr>
      </w:pPr>
    </w:p>
    <w:p w14:paraId="49471708" w14:textId="77777777" w:rsidR="00895695" w:rsidRPr="003228F1" w:rsidRDefault="00895695" w:rsidP="00895695">
      <w:pPr>
        <w:pStyle w:val="ListParagraph"/>
        <w:numPr>
          <w:ilvl w:val="1"/>
          <w:numId w:val="16"/>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4"/>
          <w:lang w:eastAsia="en-GB"/>
        </w:rPr>
        <w:t>If Health New Zealand staff will be directly involved in the delivery of privately funded services (as opposed to the Health New Zealand simply making spare facilities or land available), the services must be part of the range and standard of services (clinical and non-clinical) that are publicly funded.</w:t>
      </w:r>
    </w:p>
    <w:p w14:paraId="474B6187" w14:textId="77777777" w:rsidR="00895695" w:rsidRPr="00D87FAF" w:rsidRDefault="00895695" w:rsidP="00895695">
      <w:pPr>
        <w:spacing w:before="120" w:after="0" w:line="240" w:lineRule="auto"/>
        <w:ind w:left="709"/>
        <w:rPr>
          <w:rFonts w:ascii="Segoe UI" w:eastAsia="Times New Roman" w:hAnsi="Segoe UI" w:cs="Segoe UI"/>
          <w:sz w:val="21"/>
          <w:szCs w:val="20"/>
          <w:lang w:eastAsia="en-GB"/>
        </w:rPr>
      </w:pPr>
      <w:r w:rsidRPr="00D87FAF" w:rsidDel="001D1968">
        <w:rPr>
          <w:rFonts w:ascii="Segoe UI" w:eastAsia="Times New Roman" w:hAnsi="Segoe UI" w:cs="Segoe UI"/>
          <w:b/>
          <w:sz w:val="21"/>
          <w:szCs w:val="20"/>
          <w:lang w:eastAsia="en-GB"/>
        </w:rPr>
        <w:t>Note:</w:t>
      </w:r>
      <w:r w:rsidRPr="00D87FAF" w:rsidDel="001D1968">
        <w:rPr>
          <w:rFonts w:ascii="Segoe UI" w:eastAsia="Times New Roman" w:hAnsi="Segoe UI" w:cs="Segoe UI"/>
          <w:sz w:val="21"/>
          <w:szCs w:val="20"/>
          <w:lang w:eastAsia="en-GB"/>
        </w:rPr>
        <w:t xml:space="preserve"> I Health New Zealand staff will be directly involved in the delivery of privately funded services, they must act consistently with the pharmaceutical schedule (as outlined in section </w:t>
      </w:r>
      <w:r w:rsidRPr="00D87FAF">
        <w:rPr>
          <w:rFonts w:ascii="Segoe UI" w:eastAsia="Times New Roman" w:hAnsi="Segoe UI" w:cs="Segoe UI"/>
          <w:b/>
          <w:bCs/>
          <w:color w:val="595959" w:themeColor="text1" w:themeTint="A6"/>
          <w:sz w:val="21"/>
          <w:szCs w:val="20"/>
          <w:lang w:eastAsia="en-GB"/>
        </w:rPr>
        <w:t>1.1.6</w:t>
      </w:r>
      <w:r w:rsidRPr="00D87FAF">
        <w:rPr>
          <w:rFonts w:ascii="Segoe UI" w:eastAsia="Times New Roman" w:hAnsi="Segoe UI" w:cs="Segoe UI"/>
          <w:sz w:val="21"/>
          <w:szCs w:val="20"/>
          <w:lang w:eastAsia="en-GB"/>
        </w:rPr>
        <w:t>).</w:t>
      </w:r>
      <w:r w:rsidRPr="00D87FAF" w:rsidDel="001D1968">
        <w:rPr>
          <w:rFonts w:ascii="Segoe UI" w:eastAsia="Times New Roman" w:hAnsi="Segoe UI" w:cs="Segoe UI"/>
          <w:sz w:val="21"/>
          <w:szCs w:val="20"/>
          <w:lang w:eastAsia="en-GB"/>
        </w:rPr>
        <w:t xml:space="preserve"> For the avoidance of doubt, Health New Zealand must not use these private involvement protocols to enable privately funded pharmaceuticals to be given in their facilities.</w:t>
      </w:r>
    </w:p>
    <w:p w14:paraId="31E946CB" w14:textId="77777777" w:rsidR="00895695" w:rsidRPr="003228F1" w:rsidRDefault="00895695" w:rsidP="00895695">
      <w:pPr>
        <w:pStyle w:val="ListParagraph"/>
        <w:numPr>
          <w:ilvl w:val="1"/>
          <w:numId w:val="16"/>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4"/>
          <w:lang w:eastAsia="en-GB"/>
        </w:rPr>
        <w:t>There is public disclosure of the arrangement in the Health New Zealand annual report.</w:t>
      </w:r>
      <w:bookmarkStart w:id="27" w:name="_Ref34881035"/>
    </w:p>
    <w:p w14:paraId="5D4DAFEA" w14:textId="77777777" w:rsidR="00895695" w:rsidRPr="003228F1" w:rsidRDefault="00895695" w:rsidP="00895695">
      <w:pPr>
        <w:pStyle w:val="ListParagraph"/>
        <w:spacing w:before="180" w:after="0" w:line="240" w:lineRule="auto"/>
        <w:ind w:left="792"/>
        <w:rPr>
          <w:rFonts w:ascii="Segoe UI" w:eastAsia="Times New Roman" w:hAnsi="Segoe UI" w:cs="Segoe UI"/>
          <w:sz w:val="21"/>
          <w:szCs w:val="24"/>
          <w:lang w:eastAsia="en-GB"/>
        </w:rPr>
      </w:pPr>
    </w:p>
    <w:p w14:paraId="08627981" w14:textId="77777777" w:rsidR="00895695" w:rsidRPr="003228F1" w:rsidRDefault="00895695" w:rsidP="00895695">
      <w:pPr>
        <w:pStyle w:val="ListParagraph"/>
        <w:numPr>
          <w:ilvl w:val="1"/>
          <w:numId w:val="16"/>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4"/>
          <w:lang w:eastAsia="en-GB"/>
        </w:rPr>
        <w:t xml:space="preserve">Where Health New Zealand employee or contractor has influence over a decision for Health New Zealand to be involved in privately funded care, and has a financial interest in the arrangement (including through the potential for patients to be referred to the privately funded service from Health New </w:t>
      </w:r>
      <w:r w:rsidRPr="003228F1" w:rsidDel="001D1968">
        <w:rPr>
          <w:rFonts w:ascii="Segoe UI" w:eastAsia="Times New Roman" w:hAnsi="Segoe UI" w:cs="Segoe UI"/>
          <w:sz w:val="21"/>
          <w:szCs w:val="24"/>
          <w:lang w:eastAsia="en-GB"/>
        </w:rPr>
        <w:t>Zealand</w:t>
      </w:r>
      <w:r w:rsidRPr="003228F1">
        <w:rPr>
          <w:rFonts w:ascii="Segoe UI" w:eastAsia="Times New Roman" w:hAnsi="Segoe UI" w:cs="Segoe UI"/>
          <w:sz w:val="21"/>
          <w:szCs w:val="24"/>
          <w:lang w:eastAsia="en-GB"/>
        </w:rPr>
        <w:t xml:space="preserve"> publicly funded service):</w:t>
      </w:r>
      <w:bookmarkEnd w:id="27"/>
    </w:p>
    <w:p w14:paraId="44DC0701" w14:textId="77777777" w:rsidR="00895695" w:rsidRPr="003228F1" w:rsidRDefault="00895695" w:rsidP="00895695">
      <w:pPr>
        <w:pStyle w:val="ListParagraph"/>
        <w:spacing w:before="180" w:after="0" w:line="240" w:lineRule="auto"/>
        <w:ind w:left="792"/>
        <w:rPr>
          <w:rFonts w:ascii="Segoe UI" w:eastAsia="Times New Roman" w:hAnsi="Segoe UI" w:cs="Segoe UI"/>
          <w:sz w:val="21"/>
          <w:szCs w:val="24"/>
          <w:lang w:eastAsia="en-GB"/>
        </w:rPr>
      </w:pPr>
    </w:p>
    <w:p w14:paraId="48059398" w14:textId="77777777" w:rsidR="00895695" w:rsidRPr="00CD2BA3" w:rsidRDefault="00895695" w:rsidP="00895695">
      <w:pPr>
        <w:pStyle w:val="ListParagraph"/>
        <w:numPr>
          <w:ilvl w:val="1"/>
          <w:numId w:val="16"/>
        </w:numPr>
        <w:spacing w:before="180" w:after="0" w:line="240" w:lineRule="auto"/>
        <w:rPr>
          <w:rFonts w:ascii="Segoe UI" w:eastAsia="Times New Roman" w:hAnsi="Segoe UI" w:cs="Segoe UI"/>
          <w:sz w:val="21"/>
          <w:szCs w:val="24"/>
          <w:lang w:eastAsia="en-GB"/>
        </w:rPr>
      </w:pPr>
      <w:r w:rsidRPr="00CD2BA3">
        <w:rPr>
          <w:rFonts w:ascii="Segoe UI" w:eastAsia="Times New Roman" w:hAnsi="Segoe UI" w:cs="Segoe UI"/>
          <w:sz w:val="21"/>
          <w:szCs w:val="24"/>
          <w:lang w:eastAsia="en-GB"/>
        </w:rPr>
        <w:t xml:space="preserve">the Board must be advised of the potential </w:t>
      </w:r>
      <w:r w:rsidRPr="00CD2BA3" w:rsidDel="001D1968">
        <w:rPr>
          <w:rFonts w:ascii="Segoe UI" w:eastAsia="Times New Roman" w:hAnsi="Segoe UI" w:cs="Segoe UI"/>
          <w:sz w:val="21"/>
          <w:szCs w:val="24"/>
          <w:lang w:eastAsia="en-GB"/>
        </w:rPr>
        <w:t>conflict</w:t>
      </w:r>
    </w:p>
    <w:p w14:paraId="18FC0D15" w14:textId="77777777" w:rsidR="00895695" w:rsidRPr="00D87FAF" w:rsidRDefault="00895695" w:rsidP="00895695">
      <w:pPr>
        <w:numPr>
          <w:ilvl w:val="3"/>
          <w:numId w:val="16"/>
        </w:numPr>
        <w:spacing w:before="90" w:after="0" w:line="240" w:lineRule="auto"/>
        <w:ind w:left="1418" w:hanging="567"/>
        <w:rPr>
          <w:rFonts w:ascii="Segoe UI" w:eastAsia="Times New Roman" w:hAnsi="Segoe UI" w:cs="Segoe UI"/>
          <w:sz w:val="21"/>
          <w:szCs w:val="20"/>
          <w:lang w:eastAsia="en-GB"/>
        </w:rPr>
      </w:pPr>
      <w:r w:rsidRPr="00D87FAF">
        <w:rPr>
          <w:rFonts w:ascii="Segoe UI" w:eastAsia="Times New Roman" w:hAnsi="Segoe UI" w:cs="Segoe UI"/>
          <w:sz w:val="21"/>
          <w:szCs w:val="20"/>
          <w:lang w:eastAsia="en-GB"/>
        </w:rPr>
        <w:t>the Board (rather than a committee or individual/group acting under delegation from the Board) must explicitly approve the arrangement, together with any measures that may be required to manage the conflict</w:t>
      </w:r>
    </w:p>
    <w:p w14:paraId="188E9075" w14:textId="77777777" w:rsidR="00895695" w:rsidRPr="00D87FAF" w:rsidRDefault="00895695" w:rsidP="00895695">
      <w:pPr>
        <w:numPr>
          <w:ilvl w:val="3"/>
          <w:numId w:val="16"/>
        </w:numPr>
        <w:spacing w:before="90" w:after="0" w:line="240" w:lineRule="auto"/>
        <w:ind w:left="1418" w:hanging="567"/>
        <w:rPr>
          <w:rFonts w:ascii="Segoe UI" w:eastAsia="Times New Roman" w:hAnsi="Segoe UI" w:cs="Segoe UI"/>
          <w:sz w:val="21"/>
          <w:szCs w:val="20"/>
          <w:lang w:eastAsia="en-GB"/>
        </w:rPr>
      </w:pPr>
      <w:r w:rsidRPr="00D87FAF">
        <w:rPr>
          <w:rFonts w:ascii="Segoe UI" w:eastAsia="Times New Roman" w:hAnsi="Segoe UI" w:cs="Segoe UI"/>
          <w:sz w:val="21"/>
          <w:szCs w:val="20"/>
          <w:lang w:eastAsia="en-GB"/>
        </w:rPr>
        <w:t>if the arrangement is approved by the Board, details must be disclosed in the HNZ annual report</w:t>
      </w:r>
    </w:p>
    <w:p w14:paraId="3048AA54" w14:textId="77777777" w:rsidR="00895695" w:rsidRPr="00D87FAF" w:rsidRDefault="00895695" w:rsidP="00895695">
      <w:pPr>
        <w:numPr>
          <w:ilvl w:val="3"/>
          <w:numId w:val="16"/>
        </w:numPr>
        <w:spacing w:before="90" w:after="0" w:line="240" w:lineRule="auto"/>
        <w:ind w:left="1418" w:hanging="567"/>
        <w:rPr>
          <w:rFonts w:ascii="Segoe UI" w:eastAsia="Times New Roman" w:hAnsi="Segoe UI" w:cs="Segoe UI"/>
          <w:sz w:val="21"/>
          <w:szCs w:val="20"/>
          <w:lang w:eastAsia="en-GB"/>
        </w:rPr>
      </w:pPr>
      <w:r>
        <w:rPr>
          <w:rFonts w:ascii="Segoe UI" w:eastAsia="Times New Roman" w:hAnsi="Segoe UI" w:cs="Segoe UI"/>
          <w:sz w:val="21"/>
          <w:szCs w:val="20"/>
          <w:lang w:eastAsia="en-GB"/>
        </w:rPr>
        <w:t>t</w:t>
      </w:r>
      <w:r w:rsidRPr="00D87FAF">
        <w:rPr>
          <w:rFonts w:ascii="Segoe UI" w:eastAsia="Times New Roman" w:hAnsi="Segoe UI" w:cs="Segoe UI"/>
          <w:sz w:val="21"/>
          <w:szCs w:val="20"/>
          <w:lang w:eastAsia="en-GB"/>
        </w:rPr>
        <w:t>here is no cross-subsidy of NGO/independent providers by the public sector</w:t>
      </w:r>
      <w:r>
        <w:rPr>
          <w:rFonts w:ascii="Segoe UI" w:eastAsia="Times New Roman" w:hAnsi="Segoe UI" w:cs="Segoe UI"/>
          <w:sz w:val="21"/>
          <w:szCs w:val="20"/>
          <w:lang w:eastAsia="en-GB"/>
        </w:rPr>
        <w:t>.</w:t>
      </w:r>
    </w:p>
    <w:p w14:paraId="6EBB197A" w14:textId="77777777" w:rsidR="00895695" w:rsidRPr="003228F1" w:rsidDel="00CF06FB" w:rsidRDefault="00895695" w:rsidP="00895695">
      <w:pPr>
        <w:pStyle w:val="ListParagraph"/>
        <w:numPr>
          <w:ilvl w:val="1"/>
          <w:numId w:val="16"/>
        </w:numPr>
        <w:spacing w:before="180" w:after="0" w:line="240" w:lineRule="auto"/>
        <w:rPr>
          <w:rFonts w:ascii="Segoe UI" w:eastAsia="Times New Roman" w:hAnsi="Segoe UI" w:cs="Segoe UI"/>
          <w:sz w:val="21"/>
          <w:szCs w:val="24"/>
          <w:lang w:eastAsia="en-GB"/>
        </w:rPr>
      </w:pPr>
      <w:r>
        <w:rPr>
          <w:rFonts w:ascii="Segoe UI" w:eastAsia="Times New Roman" w:hAnsi="Segoe UI" w:cs="Segoe UI"/>
          <w:sz w:val="21"/>
          <w:szCs w:val="24"/>
          <w:lang w:eastAsia="en-GB"/>
        </w:rPr>
        <w:t>a</w:t>
      </w:r>
      <w:r w:rsidRPr="003228F1" w:rsidDel="00CF06FB">
        <w:rPr>
          <w:rFonts w:ascii="Segoe UI" w:eastAsia="Times New Roman" w:hAnsi="Segoe UI" w:cs="Segoe UI"/>
          <w:sz w:val="21"/>
          <w:szCs w:val="24"/>
          <w:lang w:eastAsia="en-GB"/>
        </w:rPr>
        <w:t xml:space="preserve">s clarification of protocol (d) in paragraph </w:t>
      </w:r>
      <w:r w:rsidRPr="003228F1">
        <w:rPr>
          <w:rFonts w:ascii="Segoe UI" w:eastAsia="Times New Roman" w:hAnsi="Segoe UI" w:cs="Segoe UI"/>
          <w:b/>
          <w:bCs/>
          <w:color w:val="595959" w:themeColor="text1" w:themeTint="A6"/>
          <w:sz w:val="21"/>
          <w:szCs w:val="24"/>
          <w:lang w:eastAsia="en-GB"/>
        </w:rPr>
        <w:t>2.1.6</w:t>
      </w:r>
      <w:r w:rsidRPr="003228F1" w:rsidDel="00CF06FB">
        <w:rPr>
          <w:rFonts w:ascii="Segoe UI" w:eastAsia="Times New Roman" w:hAnsi="Segoe UI" w:cs="Segoe UI"/>
          <w:sz w:val="21"/>
          <w:szCs w:val="24"/>
          <w:lang w:eastAsia="en-GB"/>
        </w:rPr>
        <w:t xml:space="preserve"> above, </w:t>
      </w:r>
      <w:r w:rsidRPr="003228F1">
        <w:rPr>
          <w:rFonts w:ascii="Segoe UI" w:eastAsia="Times New Roman" w:hAnsi="Segoe UI" w:cs="Segoe UI"/>
          <w:sz w:val="21"/>
          <w:szCs w:val="24"/>
          <w:lang w:eastAsia="en-GB"/>
        </w:rPr>
        <w:t>Health New Zealand</w:t>
      </w:r>
      <w:r w:rsidRPr="003228F1" w:rsidDel="00CF06FB">
        <w:rPr>
          <w:rFonts w:ascii="Segoe UI" w:eastAsia="Times New Roman" w:hAnsi="Segoe UI" w:cs="Segoe UI"/>
          <w:sz w:val="21"/>
          <w:szCs w:val="24"/>
          <w:lang w:eastAsia="en-GB"/>
        </w:rPr>
        <w:t xml:space="preserve"> cannot branch into new service lines on a purely private basis.</w:t>
      </w:r>
    </w:p>
    <w:p w14:paraId="1ACD49AB" w14:textId="77777777" w:rsidR="00895695" w:rsidRPr="00D87FAF" w:rsidRDefault="00895695" w:rsidP="00895695">
      <w:pPr>
        <w:spacing w:before="120" w:after="0" w:line="240" w:lineRule="auto"/>
        <w:ind w:left="709" w:firstLine="142"/>
        <w:rPr>
          <w:rFonts w:ascii="Segoe UI" w:eastAsia="Times New Roman" w:hAnsi="Segoe UI" w:cs="Segoe UI"/>
          <w:sz w:val="21"/>
          <w:szCs w:val="20"/>
          <w:lang w:eastAsia="en-GB"/>
        </w:rPr>
      </w:pPr>
      <w:r w:rsidRPr="00D87FAF">
        <w:rPr>
          <w:rFonts w:ascii="Segoe UI" w:eastAsia="Times New Roman" w:hAnsi="Segoe UI" w:cs="Segoe UI"/>
          <w:b/>
          <w:sz w:val="21"/>
          <w:szCs w:val="20"/>
          <w:lang w:eastAsia="en-GB"/>
        </w:rPr>
        <w:t>Note:</w:t>
      </w:r>
      <w:r w:rsidRPr="00D87FAF">
        <w:rPr>
          <w:rFonts w:ascii="Segoe UI" w:eastAsia="Times New Roman" w:hAnsi="Segoe UI" w:cs="Segoe UI"/>
          <w:sz w:val="21"/>
          <w:szCs w:val="20"/>
          <w:lang w:eastAsia="en-GB"/>
        </w:rPr>
        <w:t xml:space="preserve"> As established in CAB (00) M32/2A (2), these protocols do not apply to:</w:t>
      </w:r>
    </w:p>
    <w:p w14:paraId="508FF1C6" w14:textId="77777777" w:rsidR="00895695" w:rsidRPr="003228F1" w:rsidRDefault="00895695" w:rsidP="00895695">
      <w:pPr>
        <w:pStyle w:val="ListParagraph"/>
        <w:numPr>
          <w:ilvl w:val="0"/>
          <w:numId w:val="14"/>
        </w:numPr>
        <w:spacing w:before="90" w:after="0" w:line="240" w:lineRule="auto"/>
        <w:ind w:left="1418" w:hanging="425"/>
        <w:rPr>
          <w:rFonts w:ascii="Segoe UI" w:eastAsia="Times New Roman" w:hAnsi="Segoe UI" w:cs="Segoe UI"/>
          <w:sz w:val="21"/>
          <w:szCs w:val="20"/>
          <w:lang w:eastAsia="en-GB"/>
        </w:rPr>
      </w:pPr>
      <w:r w:rsidRPr="003228F1">
        <w:rPr>
          <w:rFonts w:ascii="Segoe UI" w:eastAsia="Times New Roman" w:hAnsi="Segoe UI" w:cs="Segoe UI"/>
          <w:sz w:val="21"/>
          <w:szCs w:val="20"/>
          <w:lang w:eastAsia="en-GB"/>
        </w:rPr>
        <w:t>services funded by ACC and other accident insurers</w:t>
      </w:r>
    </w:p>
    <w:p w14:paraId="3D3B0BCD" w14:textId="77777777" w:rsidR="00895695" w:rsidRPr="003228F1" w:rsidRDefault="00895695" w:rsidP="00895695">
      <w:pPr>
        <w:pStyle w:val="ListParagraph"/>
        <w:numPr>
          <w:ilvl w:val="0"/>
          <w:numId w:val="14"/>
        </w:numPr>
        <w:spacing w:before="90" w:after="0" w:line="240" w:lineRule="auto"/>
        <w:ind w:left="1418" w:hanging="425"/>
        <w:rPr>
          <w:rFonts w:ascii="Segoe UI" w:eastAsia="Times New Roman" w:hAnsi="Segoe UI" w:cs="Segoe UI"/>
          <w:sz w:val="21"/>
          <w:szCs w:val="20"/>
          <w:lang w:eastAsia="en-GB"/>
        </w:rPr>
      </w:pPr>
      <w:r w:rsidRPr="003228F1">
        <w:rPr>
          <w:rFonts w:ascii="Segoe UI" w:eastAsia="Times New Roman" w:hAnsi="Segoe UI" w:cs="Segoe UI"/>
          <w:sz w:val="21"/>
          <w:szCs w:val="20"/>
          <w:lang w:eastAsia="en-GB"/>
        </w:rPr>
        <w:t>the treatment of ineligible patients from overseas who require urgent care but have not come to New Zealand seeking that care.</w:t>
      </w:r>
    </w:p>
    <w:p w14:paraId="1D408D45" w14:textId="77777777" w:rsidR="00895695" w:rsidRPr="00D87FAF" w:rsidRDefault="00895695" w:rsidP="00895695">
      <w:pPr>
        <w:spacing w:after="0" w:line="240" w:lineRule="auto"/>
        <w:rPr>
          <w:rFonts w:ascii="Segoe UI" w:eastAsia="Times New Roman" w:hAnsi="Segoe UI" w:cs="Segoe UI"/>
          <w:sz w:val="21"/>
          <w:szCs w:val="20"/>
          <w:lang w:eastAsia="en-GB"/>
        </w:rPr>
      </w:pPr>
    </w:p>
    <w:p w14:paraId="0C800DD9" w14:textId="77777777" w:rsidR="00953006" w:rsidRPr="003228F1" w:rsidRDefault="00D87FAF" w:rsidP="00953006">
      <w:pPr>
        <w:keepNext/>
        <w:keepLines/>
        <w:numPr>
          <w:ilvl w:val="0"/>
          <w:numId w:val="16"/>
        </w:numPr>
        <w:spacing w:before="40" w:after="0" w:line="240" w:lineRule="auto"/>
        <w:ind w:left="0" w:firstLine="0"/>
        <w:outlineLvl w:val="1"/>
        <w:rPr>
          <w:rFonts w:ascii="Segoe UI" w:eastAsiaTheme="majorEastAsia" w:hAnsi="Segoe UI" w:cs="Segoe UI"/>
          <w:color w:val="2F5496" w:themeColor="accent1" w:themeShade="BF"/>
          <w:sz w:val="26"/>
          <w:szCs w:val="26"/>
          <w:lang w:eastAsia="en-GB"/>
        </w:rPr>
      </w:pPr>
      <w:r w:rsidRPr="00D87FAF">
        <w:rPr>
          <w:rFonts w:ascii="Segoe UI" w:eastAsiaTheme="majorEastAsia" w:hAnsi="Segoe UI" w:cs="Segoe UI"/>
          <w:color w:val="2F5496" w:themeColor="accent1" w:themeShade="BF"/>
          <w:sz w:val="26"/>
          <w:szCs w:val="26"/>
          <w:lang w:eastAsia="en-GB"/>
        </w:rPr>
        <w:t>Sponsorship arrangement principles</w:t>
      </w:r>
      <w:bookmarkEnd w:id="21"/>
      <w:bookmarkEnd w:id="22"/>
      <w:bookmarkEnd w:id="23"/>
      <w:bookmarkEnd w:id="24"/>
    </w:p>
    <w:p w14:paraId="2DBC60DE" w14:textId="6EAA0B4A" w:rsidR="00D87FAF" w:rsidRPr="00180025" w:rsidRDefault="00D87FAF" w:rsidP="00180025">
      <w:pPr>
        <w:numPr>
          <w:ilvl w:val="1"/>
          <w:numId w:val="16"/>
        </w:numPr>
        <w:spacing w:before="90" w:after="0" w:line="240" w:lineRule="auto"/>
        <w:rPr>
          <w:rFonts w:ascii="Segoe UI" w:eastAsia="Times New Roman" w:hAnsi="Segoe UI" w:cs="Segoe UI"/>
          <w:sz w:val="21"/>
          <w:szCs w:val="24"/>
          <w:lang w:eastAsia="en-GB"/>
        </w:rPr>
      </w:pPr>
      <w:r w:rsidRPr="00D87FAF">
        <w:rPr>
          <w:rFonts w:ascii="Segoe UI" w:eastAsia="Times New Roman" w:hAnsi="Segoe UI" w:cs="Segoe UI"/>
          <w:sz w:val="21"/>
          <w:szCs w:val="24"/>
          <w:lang w:eastAsia="en-GB"/>
        </w:rPr>
        <w:t>The principles that guide Health New Zealand involvement in privately funded service provision is also relevant to private involvement more generally through sponsorship. The following additional principles apply:</w:t>
      </w:r>
    </w:p>
    <w:p w14:paraId="2EDCFBA4" w14:textId="644A24DD" w:rsidR="00D87FAF" w:rsidRPr="00D87FAF" w:rsidRDefault="00D87FAF" w:rsidP="00C942D7">
      <w:pPr>
        <w:numPr>
          <w:ilvl w:val="3"/>
          <w:numId w:val="16"/>
        </w:numPr>
        <w:spacing w:before="90" w:after="0" w:line="240" w:lineRule="auto"/>
        <w:ind w:left="1418" w:hanging="567"/>
        <w:rPr>
          <w:rFonts w:ascii="Segoe UI" w:eastAsia="Times New Roman" w:hAnsi="Segoe UI" w:cs="Segoe UI"/>
          <w:sz w:val="21"/>
          <w:szCs w:val="20"/>
          <w:lang w:eastAsia="en-GB"/>
        </w:rPr>
      </w:pPr>
      <w:r w:rsidRPr="00D87FAF">
        <w:rPr>
          <w:rFonts w:ascii="Segoe UI" w:eastAsia="Times New Roman" w:hAnsi="Segoe UI" w:cs="Segoe UI"/>
          <w:sz w:val="21"/>
          <w:szCs w:val="20"/>
          <w:lang w:eastAsia="en-GB"/>
        </w:rPr>
        <w:t>any sponsorship must lead to a benefit for publicly funded patients</w:t>
      </w:r>
    </w:p>
    <w:p w14:paraId="6EAE97FE" w14:textId="0B750BFA" w:rsidR="00D87FAF" w:rsidRPr="00D87FAF" w:rsidRDefault="00D87FAF" w:rsidP="00C942D7">
      <w:pPr>
        <w:numPr>
          <w:ilvl w:val="3"/>
          <w:numId w:val="16"/>
        </w:numPr>
        <w:spacing w:before="90" w:after="0" w:line="240" w:lineRule="auto"/>
        <w:ind w:left="1418" w:hanging="567"/>
        <w:rPr>
          <w:rFonts w:ascii="Segoe UI" w:eastAsia="Times New Roman" w:hAnsi="Segoe UI" w:cs="Segoe UI"/>
          <w:sz w:val="21"/>
          <w:szCs w:val="20"/>
          <w:lang w:eastAsia="en-GB"/>
        </w:rPr>
      </w:pPr>
      <w:r w:rsidRPr="00D87FAF">
        <w:rPr>
          <w:rFonts w:ascii="Segoe UI" w:eastAsia="Times New Roman" w:hAnsi="Segoe UI" w:cs="Segoe UI"/>
          <w:sz w:val="21"/>
          <w:szCs w:val="20"/>
          <w:lang w:eastAsia="en-GB"/>
        </w:rPr>
        <w:t>there must be transparency</w:t>
      </w:r>
    </w:p>
    <w:p w14:paraId="6AF82210" w14:textId="77777777" w:rsidR="00953006" w:rsidRPr="003228F1" w:rsidRDefault="00D87FAF" w:rsidP="00953006">
      <w:pPr>
        <w:numPr>
          <w:ilvl w:val="3"/>
          <w:numId w:val="16"/>
        </w:numPr>
        <w:spacing w:before="90" w:after="0" w:line="240" w:lineRule="auto"/>
        <w:ind w:left="1418" w:hanging="567"/>
        <w:rPr>
          <w:rFonts w:ascii="Segoe UI" w:eastAsia="Times New Roman" w:hAnsi="Segoe UI" w:cs="Segoe UI"/>
          <w:sz w:val="21"/>
          <w:szCs w:val="20"/>
          <w:lang w:eastAsia="en-GB"/>
        </w:rPr>
      </w:pPr>
      <w:r w:rsidRPr="00D87FAF">
        <w:rPr>
          <w:rFonts w:ascii="Segoe UI" w:eastAsia="Times New Roman" w:hAnsi="Segoe UI" w:cs="Segoe UI"/>
          <w:sz w:val="21"/>
          <w:szCs w:val="20"/>
          <w:lang w:eastAsia="en-GB"/>
        </w:rPr>
        <w:lastRenderedPageBreak/>
        <w:t>conflicts of interest should be avoided.</w:t>
      </w:r>
    </w:p>
    <w:p w14:paraId="0702F46A" w14:textId="02F4233A" w:rsidR="00D87FAF" w:rsidRPr="00D87FAF" w:rsidRDefault="00D87FAF" w:rsidP="00953006">
      <w:pPr>
        <w:numPr>
          <w:ilvl w:val="1"/>
          <w:numId w:val="16"/>
        </w:numPr>
        <w:spacing w:before="90" w:after="0" w:line="240" w:lineRule="auto"/>
        <w:rPr>
          <w:rFonts w:ascii="Segoe UI" w:eastAsia="Times New Roman" w:hAnsi="Segoe UI" w:cs="Segoe UI"/>
          <w:sz w:val="21"/>
          <w:szCs w:val="20"/>
          <w:lang w:eastAsia="en-GB"/>
        </w:rPr>
      </w:pPr>
      <w:r w:rsidRPr="00D87FAF">
        <w:rPr>
          <w:rFonts w:ascii="Segoe UI" w:eastAsia="Times New Roman" w:hAnsi="Segoe UI" w:cs="Segoe UI"/>
          <w:sz w:val="21"/>
          <w:szCs w:val="24"/>
          <w:lang w:eastAsia="en-GB"/>
        </w:rPr>
        <w:t>Sponsorship arrangements should not be entered into where they:</w:t>
      </w:r>
    </w:p>
    <w:p w14:paraId="1767459A" w14:textId="77777777" w:rsidR="00D87FAF" w:rsidRPr="00D87FAF" w:rsidRDefault="00D87FAF" w:rsidP="00C942D7">
      <w:pPr>
        <w:numPr>
          <w:ilvl w:val="3"/>
          <w:numId w:val="16"/>
        </w:numPr>
        <w:spacing w:before="90" w:after="0" w:line="240" w:lineRule="auto"/>
        <w:ind w:left="1418" w:hanging="567"/>
        <w:rPr>
          <w:rFonts w:ascii="Segoe UI" w:eastAsia="Times New Roman" w:hAnsi="Segoe UI" w:cs="Segoe UI"/>
          <w:sz w:val="21"/>
          <w:szCs w:val="20"/>
          <w:lang w:eastAsia="en-GB"/>
        </w:rPr>
      </w:pPr>
      <w:r w:rsidRPr="00D87FAF">
        <w:rPr>
          <w:rFonts w:ascii="Segoe UI" w:eastAsia="Times New Roman" w:hAnsi="Segoe UI" w:cs="Segoe UI"/>
          <w:sz w:val="21"/>
          <w:szCs w:val="20"/>
          <w:lang w:eastAsia="en-GB"/>
        </w:rPr>
        <w:t>directly or indirectly increase costs for another funder, or</w:t>
      </w:r>
    </w:p>
    <w:p w14:paraId="18119447" w14:textId="77777777" w:rsidR="008E7D96" w:rsidRPr="003228F1" w:rsidRDefault="00D87FAF" w:rsidP="008E7D96">
      <w:pPr>
        <w:numPr>
          <w:ilvl w:val="3"/>
          <w:numId w:val="16"/>
        </w:numPr>
        <w:spacing w:before="90" w:after="0" w:line="240" w:lineRule="auto"/>
        <w:ind w:left="1418" w:hanging="567"/>
        <w:rPr>
          <w:rFonts w:ascii="Segoe UI" w:eastAsia="Times New Roman" w:hAnsi="Segoe UI" w:cs="Segoe UI"/>
          <w:sz w:val="21"/>
          <w:szCs w:val="20"/>
          <w:lang w:eastAsia="en-GB"/>
        </w:rPr>
      </w:pPr>
      <w:r w:rsidRPr="00D87FAF">
        <w:rPr>
          <w:rFonts w:ascii="Segoe UI" w:eastAsia="Times New Roman" w:hAnsi="Segoe UI" w:cs="Segoe UI"/>
          <w:sz w:val="21"/>
          <w:szCs w:val="20"/>
          <w:lang w:eastAsia="en-GB"/>
        </w:rPr>
        <w:t>are in conflict with Government or health policy.</w:t>
      </w:r>
    </w:p>
    <w:p w14:paraId="64C99AA0" w14:textId="77777777" w:rsidR="008E7D96" w:rsidRPr="003228F1" w:rsidRDefault="00D87FAF" w:rsidP="008E7D96">
      <w:pPr>
        <w:numPr>
          <w:ilvl w:val="1"/>
          <w:numId w:val="16"/>
        </w:numPr>
        <w:spacing w:before="90" w:after="0" w:line="240" w:lineRule="auto"/>
        <w:rPr>
          <w:rFonts w:ascii="Segoe UI" w:eastAsia="Times New Roman" w:hAnsi="Segoe UI" w:cs="Segoe UI"/>
          <w:sz w:val="21"/>
          <w:szCs w:val="20"/>
          <w:lang w:eastAsia="en-GB"/>
        </w:rPr>
      </w:pPr>
      <w:r w:rsidRPr="00D87FAF">
        <w:rPr>
          <w:rFonts w:ascii="Segoe UI" w:eastAsia="Times New Roman" w:hAnsi="Segoe UI" w:cs="Segoe UI"/>
          <w:sz w:val="21"/>
          <w:szCs w:val="24"/>
          <w:lang w:eastAsia="en-GB"/>
        </w:rPr>
        <w:t>These principles apply both when Health New Zealand is considering providing sponsorship and when Health New Zealand is being offered sponsorship as a means of raising funds.</w:t>
      </w:r>
    </w:p>
    <w:p w14:paraId="5335C8F9" w14:textId="77777777" w:rsidR="008E7D96" w:rsidRPr="003228F1" w:rsidRDefault="008E7D96" w:rsidP="00EA2B80">
      <w:pPr>
        <w:spacing w:after="0" w:line="240" w:lineRule="auto"/>
        <w:ind w:left="792"/>
        <w:rPr>
          <w:rFonts w:ascii="Segoe UI" w:eastAsia="Times New Roman" w:hAnsi="Segoe UI" w:cs="Segoe UI"/>
          <w:sz w:val="21"/>
          <w:szCs w:val="20"/>
          <w:lang w:eastAsia="en-GB"/>
        </w:rPr>
      </w:pPr>
    </w:p>
    <w:p w14:paraId="7994F6C0" w14:textId="3ABF93A0" w:rsidR="008E7D96" w:rsidRPr="003228F1" w:rsidRDefault="00D87FAF" w:rsidP="008E7D96">
      <w:pPr>
        <w:numPr>
          <w:ilvl w:val="1"/>
          <w:numId w:val="16"/>
        </w:numPr>
        <w:spacing w:before="90" w:after="0" w:line="240" w:lineRule="auto"/>
        <w:rPr>
          <w:rFonts w:ascii="Segoe UI" w:eastAsia="Times New Roman" w:hAnsi="Segoe UI" w:cs="Segoe UI"/>
          <w:sz w:val="21"/>
          <w:szCs w:val="20"/>
          <w:lang w:eastAsia="en-GB"/>
        </w:rPr>
      </w:pPr>
      <w:r w:rsidRPr="00D87FAF">
        <w:rPr>
          <w:rFonts w:ascii="Segoe UI" w:eastAsia="Times New Roman" w:hAnsi="Segoe UI" w:cs="Segoe UI"/>
          <w:sz w:val="21"/>
          <w:szCs w:val="24"/>
          <w:lang w:eastAsia="en-GB"/>
        </w:rPr>
        <w:t xml:space="preserve">In all proposals for private sponsorship, a judgement is required against these principles. Before committing to a sponsorship arrangement that raises any concerns, Health New Zealand should inform the Ministry </w:t>
      </w:r>
      <w:r w:rsidR="003B7635">
        <w:rPr>
          <w:rFonts w:ascii="Segoe UI" w:eastAsia="Times New Roman" w:hAnsi="Segoe UI" w:cs="Segoe UI"/>
          <w:sz w:val="21"/>
          <w:szCs w:val="24"/>
          <w:lang w:eastAsia="en-GB"/>
        </w:rPr>
        <w:t xml:space="preserve">of Health </w:t>
      </w:r>
      <w:r w:rsidRPr="00D87FAF">
        <w:rPr>
          <w:rFonts w:ascii="Segoe UI" w:eastAsia="Times New Roman" w:hAnsi="Segoe UI" w:cs="Segoe UI"/>
          <w:sz w:val="21"/>
          <w:szCs w:val="24"/>
          <w:lang w:eastAsia="en-GB"/>
        </w:rPr>
        <w:t xml:space="preserve">of the substance of the proposal and discuss it, including how it would manage the concerns. On gaining support, Health New Zealand should forward details of the proposed sponsorship to the Ministry </w:t>
      </w:r>
      <w:r w:rsidR="003B7635">
        <w:rPr>
          <w:rFonts w:ascii="Segoe UI" w:eastAsia="Times New Roman" w:hAnsi="Segoe UI" w:cs="Segoe UI"/>
          <w:sz w:val="21"/>
          <w:szCs w:val="24"/>
          <w:lang w:eastAsia="en-GB"/>
        </w:rPr>
        <w:t xml:space="preserve">of Health </w:t>
      </w:r>
      <w:r w:rsidRPr="00D87FAF">
        <w:rPr>
          <w:rFonts w:ascii="Segoe UI" w:eastAsia="Times New Roman" w:hAnsi="Segoe UI" w:cs="Segoe UI"/>
          <w:sz w:val="21"/>
          <w:szCs w:val="24"/>
          <w:lang w:eastAsia="en-GB"/>
        </w:rPr>
        <w:t>for referral to the Minister where appropriate.</w:t>
      </w:r>
    </w:p>
    <w:p w14:paraId="62CB14E4" w14:textId="77777777" w:rsidR="008E7D96" w:rsidRPr="003228F1" w:rsidRDefault="008E7D96" w:rsidP="00EA2B80">
      <w:pPr>
        <w:pStyle w:val="ListParagraph"/>
        <w:spacing w:after="0"/>
        <w:rPr>
          <w:rFonts w:ascii="Segoe UI" w:eastAsia="Times New Roman" w:hAnsi="Segoe UI" w:cs="Segoe UI"/>
          <w:sz w:val="21"/>
          <w:szCs w:val="24"/>
          <w:lang w:eastAsia="en-GB"/>
        </w:rPr>
      </w:pPr>
    </w:p>
    <w:p w14:paraId="24D16FA1" w14:textId="1DD11811" w:rsidR="00D87FAF" w:rsidRPr="00D87FAF" w:rsidRDefault="00D87FAF" w:rsidP="00BD5F99">
      <w:pPr>
        <w:numPr>
          <w:ilvl w:val="1"/>
          <w:numId w:val="16"/>
        </w:numPr>
        <w:spacing w:after="0" w:line="240" w:lineRule="auto"/>
        <w:rPr>
          <w:rFonts w:ascii="Segoe UI" w:eastAsia="Times New Roman" w:hAnsi="Segoe UI" w:cs="Segoe UI"/>
          <w:sz w:val="21"/>
          <w:szCs w:val="20"/>
          <w:lang w:eastAsia="en-GB"/>
        </w:rPr>
      </w:pPr>
      <w:r w:rsidRPr="00D87FAF">
        <w:rPr>
          <w:rFonts w:ascii="Segoe UI" w:eastAsia="Times New Roman" w:hAnsi="Segoe UI" w:cs="Segoe UI"/>
          <w:sz w:val="21"/>
          <w:szCs w:val="24"/>
          <w:lang w:eastAsia="en-GB"/>
        </w:rPr>
        <w:t>Health New Zealand should also give effect to the following.</w:t>
      </w:r>
    </w:p>
    <w:p w14:paraId="11B435CE" w14:textId="77777777" w:rsidR="00D87FAF" w:rsidRPr="00D87FAF" w:rsidRDefault="00D87FAF" w:rsidP="00C942D7">
      <w:pPr>
        <w:numPr>
          <w:ilvl w:val="3"/>
          <w:numId w:val="16"/>
        </w:numPr>
        <w:spacing w:before="90" w:after="0" w:line="240" w:lineRule="auto"/>
        <w:ind w:left="1418" w:hanging="567"/>
        <w:rPr>
          <w:rFonts w:ascii="Segoe UI" w:eastAsia="Times New Roman" w:hAnsi="Segoe UI" w:cs="Segoe UI"/>
          <w:sz w:val="21"/>
          <w:szCs w:val="20"/>
          <w:lang w:eastAsia="en-GB"/>
        </w:rPr>
      </w:pPr>
      <w:r w:rsidRPr="00D87FAF">
        <w:rPr>
          <w:rFonts w:ascii="Segoe UI" w:eastAsia="Times New Roman" w:hAnsi="Segoe UI" w:cs="Segoe UI"/>
          <w:sz w:val="21"/>
          <w:szCs w:val="20"/>
          <w:lang w:eastAsia="en-GB"/>
        </w:rPr>
        <w:t>New Zealand Government procurement rules</w:t>
      </w:r>
      <w:r w:rsidRPr="00D87FAF">
        <w:rPr>
          <w:rFonts w:ascii="Segoe UI" w:eastAsia="Times New Roman" w:hAnsi="Segoe UI" w:cs="Segoe UI"/>
          <w:sz w:val="21"/>
          <w:szCs w:val="20"/>
          <w:vertAlign w:val="superscript"/>
          <w:lang w:eastAsia="en-GB"/>
        </w:rPr>
        <w:footnoteReference w:id="16"/>
      </w:r>
      <w:r w:rsidRPr="00D87FAF">
        <w:rPr>
          <w:rFonts w:ascii="Segoe UI" w:eastAsia="Times New Roman" w:hAnsi="Segoe UI" w:cs="Segoe UI"/>
          <w:sz w:val="21"/>
          <w:szCs w:val="20"/>
          <w:lang w:eastAsia="en-GB"/>
        </w:rPr>
        <w:t xml:space="preserve"> represents the Government’s standards of good practice for procurement planning, approaching the market and contracting. Health New Zealand is required to adhere to these rules following the Whole of Government direction, effective 1 February 2015.</w:t>
      </w:r>
    </w:p>
    <w:p w14:paraId="4980C9CC" w14:textId="77777777" w:rsidR="00D87FAF" w:rsidRPr="00D87FAF" w:rsidRDefault="00D87FAF" w:rsidP="00C942D7">
      <w:pPr>
        <w:numPr>
          <w:ilvl w:val="3"/>
          <w:numId w:val="16"/>
        </w:numPr>
        <w:spacing w:before="90" w:after="0" w:line="240" w:lineRule="auto"/>
        <w:ind w:left="1418" w:hanging="567"/>
        <w:rPr>
          <w:rFonts w:ascii="Segoe UI" w:eastAsia="Times New Roman" w:hAnsi="Segoe UI" w:cs="Segoe UI"/>
          <w:sz w:val="21"/>
          <w:szCs w:val="20"/>
          <w:lang w:eastAsia="en-GB"/>
        </w:rPr>
      </w:pPr>
      <w:r w:rsidRPr="00D87FAF">
        <w:rPr>
          <w:rFonts w:ascii="Segoe UI" w:eastAsia="Times New Roman" w:hAnsi="Segoe UI" w:cs="Segoe UI"/>
          <w:i/>
          <w:iCs/>
          <w:sz w:val="21"/>
          <w:szCs w:val="20"/>
          <w:lang w:eastAsia="en-GB"/>
        </w:rPr>
        <w:t xml:space="preserve">Procurement guidance for public entities, </w:t>
      </w:r>
      <w:r w:rsidRPr="00D87FAF">
        <w:rPr>
          <w:rFonts w:ascii="Segoe UI" w:eastAsia="Times New Roman" w:hAnsi="Segoe UI" w:cs="Segoe UI"/>
          <w:sz w:val="21"/>
          <w:szCs w:val="20"/>
          <w:lang w:eastAsia="en-GB"/>
        </w:rPr>
        <w:t>Office of the Controller and Auditor General (2008)</w:t>
      </w:r>
      <w:r w:rsidRPr="00D87FAF">
        <w:rPr>
          <w:rFonts w:ascii="Segoe UI" w:eastAsia="Times New Roman" w:hAnsi="Segoe UI" w:cs="Segoe UI"/>
          <w:sz w:val="21"/>
          <w:szCs w:val="20"/>
          <w:vertAlign w:val="superscript"/>
          <w:lang w:eastAsia="en-GB"/>
        </w:rPr>
        <w:footnoteReference w:id="17"/>
      </w:r>
      <w:r w:rsidRPr="00D87FAF">
        <w:rPr>
          <w:rFonts w:ascii="Segoe UI" w:eastAsia="Times New Roman" w:hAnsi="Segoe UI" w:cs="Segoe UI"/>
          <w:sz w:val="21"/>
          <w:szCs w:val="20"/>
          <w:lang w:eastAsia="en-GB"/>
        </w:rPr>
        <w:t>.</w:t>
      </w:r>
    </w:p>
    <w:p w14:paraId="6CCA6628" w14:textId="77777777" w:rsidR="00D87FAF" w:rsidRPr="00D87FAF" w:rsidRDefault="00D87FAF" w:rsidP="00C942D7">
      <w:pPr>
        <w:numPr>
          <w:ilvl w:val="3"/>
          <w:numId w:val="16"/>
        </w:numPr>
        <w:spacing w:before="90" w:after="0" w:line="240" w:lineRule="auto"/>
        <w:ind w:left="1418" w:hanging="567"/>
        <w:rPr>
          <w:rFonts w:ascii="Segoe UI" w:eastAsia="Times New Roman" w:hAnsi="Segoe UI" w:cs="Segoe UI"/>
          <w:sz w:val="21"/>
          <w:szCs w:val="20"/>
          <w:lang w:eastAsia="en-GB"/>
        </w:rPr>
      </w:pPr>
      <w:r w:rsidRPr="00D87FAF">
        <w:rPr>
          <w:rFonts w:ascii="Segoe UI" w:eastAsia="Times New Roman" w:hAnsi="Segoe UI" w:cs="Segoe UI"/>
          <w:sz w:val="21"/>
          <w:szCs w:val="20"/>
          <w:lang w:eastAsia="en-GB"/>
        </w:rPr>
        <w:t>Principles to underpin management by public entities of funding to non-government organisations, Office of the Controller and Auditor General (2006)</w:t>
      </w:r>
      <w:r w:rsidRPr="00D87FAF">
        <w:rPr>
          <w:rFonts w:ascii="Segoe UI" w:eastAsia="Times New Roman" w:hAnsi="Segoe UI" w:cs="Segoe UI"/>
          <w:sz w:val="21"/>
          <w:szCs w:val="20"/>
          <w:vertAlign w:val="superscript"/>
          <w:lang w:eastAsia="en-GB"/>
        </w:rPr>
        <w:footnoteReference w:id="18"/>
      </w:r>
      <w:r w:rsidRPr="00D87FAF">
        <w:rPr>
          <w:rFonts w:ascii="Segoe UI" w:eastAsia="Times New Roman" w:hAnsi="Segoe UI" w:cs="Segoe UI"/>
          <w:sz w:val="21"/>
          <w:szCs w:val="20"/>
          <w:lang w:eastAsia="en-GB"/>
        </w:rPr>
        <w:t xml:space="preserve"> and subsequent replacements.</w:t>
      </w:r>
    </w:p>
    <w:p w14:paraId="7A5C5CB4" w14:textId="77777777" w:rsidR="008E7D96" w:rsidRPr="003228F1" w:rsidRDefault="00D87FAF" w:rsidP="008E7D96">
      <w:pPr>
        <w:numPr>
          <w:ilvl w:val="3"/>
          <w:numId w:val="16"/>
        </w:numPr>
        <w:spacing w:before="90" w:after="0" w:line="240" w:lineRule="auto"/>
        <w:ind w:left="1418" w:hanging="567"/>
        <w:rPr>
          <w:rFonts w:ascii="Segoe UI" w:eastAsia="Times New Roman" w:hAnsi="Segoe UI" w:cs="Segoe UI"/>
          <w:sz w:val="21"/>
          <w:szCs w:val="20"/>
          <w:lang w:eastAsia="en-GB"/>
        </w:rPr>
      </w:pPr>
      <w:r w:rsidRPr="00D87FAF">
        <w:rPr>
          <w:rFonts w:ascii="Segoe UI" w:eastAsia="Times New Roman" w:hAnsi="Segoe UI" w:cs="Segoe UI"/>
          <w:sz w:val="21"/>
          <w:szCs w:val="20"/>
          <w:lang w:eastAsia="en-GB"/>
        </w:rPr>
        <w:t>Ministry of Business Innovation and Employment</w:t>
      </w:r>
      <w:r w:rsidRPr="00D87FAF">
        <w:rPr>
          <w:rFonts w:ascii="Segoe UI" w:eastAsia="Times New Roman" w:hAnsi="Segoe UI" w:cs="Segoe UI"/>
          <w:color w:val="FF0000"/>
          <w:sz w:val="21"/>
          <w:szCs w:val="20"/>
          <w:lang w:eastAsia="en-GB"/>
        </w:rPr>
        <w:t xml:space="preserve"> </w:t>
      </w:r>
      <w:hyperlink r:id="rId20" w:history="1">
        <w:r w:rsidRPr="00D87FAF">
          <w:rPr>
            <w:rFonts w:ascii="Segoe UI" w:eastAsia="Times New Roman" w:hAnsi="Segoe UI" w:cs="Segoe UI"/>
            <w:sz w:val="21"/>
            <w:szCs w:val="20"/>
            <w:lang w:eastAsia="en-GB"/>
          </w:rPr>
          <w:t>Social services procurement on line resource</w:t>
        </w:r>
        <w:r w:rsidRPr="00D87FAF">
          <w:rPr>
            <w:rFonts w:ascii="Segoe UI" w:eastAsia="Times New Roman" w:hAnsi="Segoe UI" w:cs="Segoe UI"/>
            <w:sz w:val="21"/>
            <w:szCs w:val="20"/>
            <w:vertAlign w:val="superscript"/>
            <w:lang w:eastAsia="en-GB"/>
          </w:rPr>
          <w:footnoteReference w:id="19"/>
        </w:r>
        <w:r w:rsidRPr="00D87FAF">
          <w:rPr>
            <w:rFonts w:ascii="Segoe UI" w:eastAsia="Times New Roman" w:hAnsi="Segoe UI" w:cs="Segoe UI"/>
            <w:sz w:val="21"/>
            <w:szCs w:val="20"/>
            <w:lang w:eastAsia="en-GB"/>
          </w:rPr>
          <w:t xml:space="preserve">. </w:t>
        </w:r>
      </w:hyperlink>
    </w:p>
    <w:p w14:paraId="77D79E0C" w14:textId="77777777" w:rsidR="00443A5D" w:rsidRPr="003228F1" w:rsidRDefault="00D87FAF" w:rsidP="00443A5D">
      <w:pPr>
        <w:numPr>
          <w:ilvl w:val="1"/>
          <w:numId w:val="16"/>
        </w:numPr>
        <w:spacing w:before="90" w:after="0" w:line="240" w:lineRule="auto"/>
        <w:rPr>
          <w:rFonts w:ascii="Segoe UI" w:eastAsia="Times New Roman" w:hAnsi="Segoe UI" w:cs="Segoe UI"/>
          <w:sz w:val="21"/>
          <w:szCs w:val="20"/>
          <w:u w:val="single"/>
          <w:lang w:eastAsia="en-GB"/>
        </w:rPr>
      </w:pPr>
      <w:r w:rsidRPr="00D87FAF">
        <w:rPr>
          <w:rFonts w:ascii="Segoe UI" w:eastAsia="Times New Roman" w:hAnsi="Segoe UI" w:cs="Segoe UI"/>
          <w:sz w:val="21"/>
          <w:szCs w:val="24"/>
          <w:lang w:eastAsia="en-GB"/>
        </w:rPr>
        <w:t xml:space="preserve">Health New Zealand must make every effort to prevent double payments for the same services and to eliminate them where identified. </w:t>
      </w:r>
    </w:p>
    <w:p w14:paraId="3FC0EAE4" w14:textId="5E72DEBB" w:rsidR="00D87FAF" w:rsidRPr="00D87FAF" w:rsidRDefault="00D87FAF" w:rsidP="00443A5D">
      <w:pPr>
        <w:numPr>
          <w:ilvl w:val="1"/>
          <w:numId w:val="16"/>
        </w:numPr>
        <w:spacing w:before="90" w:after="0" w:line="240" w:lineRule="auto"/>
        <w:rPr>
          <w:rFonts w:ascii="Segoe UI" w:eastAsia="Times New Roman" w:hAnsi="Segoe UI" w:cs="Segoe UI"/>
          <w:sz w:val="21"/>
          <w:szCs w:val="20"/>
          <w:u w:val="single"/>
          <w:lang w:eastAsia="en-GB"/>
        </w:rPr>
      </w:pPr>
      <w:r w:rsidRPr="00D87FAF">
        <w:rPr>
          <w:rFonts w:ascii="Segoe UI" w:eastAsia="Times New Roman" w:hAnsi="Segoe UI" w:cs="Segoe UI"/>
          <w:sz w:val="21"/>
          <w:szCs w:val="24"/>
          <w:lang w:eastAsia="en-GB"/>
        </w:rPr>
        <w:t>The Government also requires agencies (including Health New Zealand) to report on the contracts entered with NGOs, by both name and value.</w:t>
      </w:r>
    </w:p>
    <w:p w14:paraId="66FFF8BA" w14:textId="77777777" w:rsidR="00D87FAF" w:rsidRPr="00D87FAF" w:rsidRDefault="00D87FAF" w:rsidP="00D87FAF">
      <w:pPr>
        <w:rPr>
          <w:rFonts w:ascii="Segoe UI" w:eastAsiaTheme="majorEastAsia" w:hAnsi="Segoe UI" w:cs="Segoe UI"/>
          <w:color w:val="2F5496" w:themeColor="accent1" w:themeShade="BF"/>
          <w:sz w:val="26"/>
          <w:szCs w:val="26"/>
          <w:lang w:eastAsia="en-GB"/>
        </w:rPr>
      </w:pPr>
      <w:bookmarkStart w:id="28" w:name="_Toc32398023"/>
      <w:bookmarkStart w:id="29" w:name="_Ref34880247"/>
      <w:bookmarkStart w:id="30" w:name="_Ref34880819"/>
      <w:bookmarkStart w:id="31" w:name="_Ref40603485"/>
      <w:bookmarkStart w:id="32" w:name="_Toc40708517"/>
      <w:bookmarkStart w:id="33" w:name="_Toc64269147"/>
      <w:r w:rsidRPr="00D87FAF">
        <w:rPr>
          <w:rFonts w:ascii="Segoe UI" w:eastAsia="Times New Roman" w:hAnsi="Segoe UI" w:cs="Segoe UI"/>
          <w:sz w:val="21"/>
          <w:szCs w:val="20"/>
          <w:lang w:eastAsia="en-GB"/>
        </w:rPr>
        <w:br w:type="page"/>
      </w:r>
    </w:p>
    <w:p w14:paraId="04F5F7DA" w14:textId="1F4313FD" w:rsidR="00D87FAF" w:rsidRPr="00D87FAF" w:rsidRDefault="00D87FAF" w:rsidP="00C73773">
      <w:pPr>
        <w:keepNext/>
        <w:keepLines/>
        <w:spacing w:before="40" w:after="0" w:line="240" w:lineRule="auto"/>
        <w:outlineLvl w:val="1"/>
        <w:rPr>
          <w:rFonts w:ascii="Segoe UI" w:eastAsiaTheme="majorEastAsia" w:hAnsi="Segoe UI" w:cs="Segoe UI"/>
          <w:b/>
          <w:bCs/>
          <w:color w:val="4472C4" w:themeColor="accent1"/>
          <w:sz w:val="36"/>
          <w:szCs w:val="36"/>
          <w:lang w:eastAsia="en-GB"/>
        </w:rPr>
      </w:pPr>
      <w:r w:rsidRPr="00D87FAF">
        <w:rPr>
          <w:rFonts w:ascii="Segoe UI" w:eastAsiaTheme="majorEastAsia" w:hAnsi="Segoe UI" w:cs="Segoe UI"/>
          <w:b/>
          <w:bCs/>
          <w:color w:val="4472C4" w:themeColor="accent1"/>
          <w:sz w:val="36"/>
          <w:szCs w:val="36"/>
          <w:lang w:eastAsia="en-GB"/>
        </w:rPr>
        <w:lastRenderedPageBreak/>
        <w:t>Appendix two</w:t>
      </w:r>
      <w:r w:rsidR="00052110">
        <w:rPr>
          <w:rFonts w:ascii="Segoe UI" w:eastAsiaTheme="majorEastAsia" w:hAnsi="Segoe UI" w:cs="Segoe UI"/>
          <w:b/>
          <w:bCs/>
          <w:color w:val="4472C4" w:themeColor="accent1"/>
          <w:sz w:val="36"/>
          <w:szCs w:val="36"/>
          <w:lang w:eastAsia="en-GB"/>
        </w:rPr>
        <w:t>:</w:t>
      </w:r>
      <w:r w:rsidRPr="00D87FAF">
        <w:rPr>
          <w:rFonts w:ascii="Segoe UI" w:eastAsiaTheme="majorEastAsia" w:hAnsi="Segoe UI" w:cs="Segoe UI"/>
          <w:b/>
          <w:bCs/>
          <w:color w:val="4472C4" w:themeColor="accent1"/>
          <w:sz w:val="36"/>
          <w:szCs w:val="36"/>
          <w:lang w:eastAsia="en-GB"/>
        </w:rPr>
        <w:t xml:space="preserve"> Significant Service change</w:t>
      </w:r>
      <w:bookmarkEnd w:id="28"/>
      <w:bookmarkEnd w:id="29"/>
      <w:bookmarkEnd w:id="30"/>
      <w:bookmarkEnd w:id="31"/>
      <w:bookmarkEnd w:id="32"/>
      <w:bookmarkEnd w:id="33"/>
      <w:r w:rsidRPr="00D87FAF">
        <w:rPr>
          <w:rFonts w:ascii="Segoe UI" w:eastAsiaTheme="majorEastAsia" w:hAnsi="Segoe UI" w:cs="Segoe UI"/>
          <w:b/>
          <w:bCs/>
          <w:color w:val="4472C4" w:themeColor="accent1"/>
          <w:sz w:val="36"/>
          <w:szCs w:val="36"/>
          <w:lang w:eastAsia="en-GB"/>
        </w:rPr>
        <w:t xml:space="preserve"> process</w:t>
      </w:r>
    </w:p>
    <w:p w14:paraId="6B321878" w14:textId="77777777" w:rsidR="00D87FAF" w:rsidRPr="00D87FAF" w:rsidRDefault="00D87FAF" w:rsidP="00D87FAF">
      <w:pPr>
        <w:spacing w:after="0" w:line="240" w:lineRule="auto"/>
        <w:ind w:left="709"/>
        <w:rPr>
          <w:rFonts w:ascii="Segoe UI" w:eastAsia="Times New Roman" w:hAnsi="Segoe UI" w:cs="Segoe UI"/>
          <w:sz w:val="21"/>
          <w:szCs w:val="20"/>
          <w:lang w:eastAsia="en-GB"/>
        </w:rPr>
      </w:pPr>
      <w:r w:rsidRPr="00D87FAF">
        <w:rPr>
          <w:rFonts w:ascii="Segoe UI" w:eastAsia="Times New Roman" w:hAnsi="Segoe UI" w:cs="Segoe UI"/>
          <w:sz w:val="21"/>
          <w:szCs w:val="20"/>
          <w:lang w:eastAsia="en-GB"/>
        </w:rPr>
        <w:t>(H20101590 A new approach to managing DHB significant service change, refers)</w:t>
      </w:r>
    </w:p>
    <w:p w14:paraId="7BE1AF39" w14:textId="77777777" w:rsidR="00D87FAF" w:rsidRPr="003228F1" w:rsidRDefault="00D87FAF" w:rsidP="00C73773">
      <w:pPr>
        <w:pStyle w:val="ListParagraph"/>
        <w:numPr>
          <w:ilvl w:val="0"/>
          <w:numId w:val="20"/>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4"/>
          <w:lang w:eastAsia="en-GB"/>
        </w:rPr>
        <w:t>The following are the key service change processes.</w:t>
      </w:r>
    </w:p>
    <w:p w14:paraId="1C0C12D3" w14:textId="20A7D16E" w:rsidR="00D87FAF" w:rsidRPr="00D87FAF" w:rsidRDefault="00D87FAF" w:rsidP="00D87FAF">
      <w:pPr>
        <w:numPr>
          <w:ilvl w:val="3"/>
          <w:numId w:val="15"/>
        </w:numPr>
        <w:spacing w:before="90" w:after="0" w:line="240" w:lineRule="auto"/>
        <w:ind w:left="1418" w:hanging="709"/>
        <w:rPr>
          <w:rFonts w:ascii="Segoe UI" w:eastAsia="Times New Roman" w:hAnsi="Segoe UI" w:cs="Segoe UI"/>
          <w:sz w:val="21"/>
          <w:szCs w:val="20"/>
          <w:lang w:eastAsia="en-GB"/>
        </w:rPr>
      </w:pPr>
      <w:bookmarkStart w:id="34" w:name="_Hlk42535438"/>
      <w:r w:rsidRPr="00D87FAF">
        <w:rPr>
          <w:rFonts w:ascii="Segoe UI" w:eastAsia="Times New Roman" w:hAnsi="Segoe UI" w:cs="Segoe UI"/>
          <w:sz w:val="21"/>
          <w:szCs w:val="20"/>
          <w:lang w:eastAsia="en-GB"/>
        </w:rPr>
        <w:t>All</w:t>
      </w:r>
      <w:r w:rsidRPr="00D87FAF" w:rsidDel="00036317">
        <w:rPr>
          <w:rFonts w:ascii="Segoe UI" w:eastAsia="Times New Roman" w:hAnsi="Segoe UI" w:cs="Segoe UI"/>
          <w:sz w:val="21"/>
          <w:szCs w:val="20"/>
          <w:lang w:eastAsia="en-GB"/>
        </w:rPr>
        <w:t xml:space="preserve"> </w:t>
      </w:r>
      <w:r w:rsidRPr="00D87FAF">
        <w:rPr>
          <w:rFonts w:ascii="Segoe UI" w:eastAsia="Times New Roman" w:hAnsi="Segoe UI" w:cs="Segoe UI"/>
          <w:sz w:val="21"/>
          <w:szCs w:val="20"/>
          <w:lang w:eastAsia="en-GB"/>
        </w:rPr>
        <w:t>Health New Zealand significant service change proposals must be discussed at an early stage, prior to Board approval, with the Ministry</w:t>
      </w:r>
      <w:r w:rsidR="003B7635">
        <w:rPr>
          <w:rFonts w:ascii="Segoe UI" w:eastAsia="Times New Roman" w:hAnsi="Segoe UI" w:cs="Segoe UI"/>
          <w:sz w:val="21"/>
          <w:szCs w:val="20"/>
          <w:lang w:eastAsia="en-GB"/>
        </w:rPr>
        <w:t xml:space="preserve"> of Health</w:t>
      </w:r>
      <w:r w:rsidRPr="00D87FAF">
        <w:rPr>
          <w:rFonts w:ascii="Segoe UI" w:eastAsia="Times New Roman" w:hAnsi="Segoe UI" w:cs="Segoe UI"/>
          <w:sz w:val="21"/>
          <w:szCs w:val="20"/>
          <w:lang w:eastAsia="en-GB"/>
        </w:rPr>
        <w:t xml:space="preserve"> to clarify if the Minister is to be notified, and to facilitate the Minister’s prior approval or approval in principle, where appropriate. The responsibility lies with Health New Zealand, to ensure the proposals align with Government expectations and legislation.</w:t>
      </w:r>
    </w:p>
    <w:bookmarkEnd w:id="34"/>
    <w:p w14:paraId="163AD889" w14:textId="2F450A99" w:rsidR="00D87FAF" w:rsidRPr="00D87FAF" w:rsidRDefault="00D87FAF" w:rsidP="00D87FAF">
      <w:pPr>
        <w:numPr>
          <w:ilvl w:val="3"/>
          <w:numId w:val="15"/>
        </w:numPr>
        <w:spacing w:before="90" w:after="0" w:line="240" w:lineRule="auto"/>
        <w:ind w:left="1418" w:hanging="709"/>
        <w:rPr>
          <w:rFonts w:ascii="Segoe UI" w:eastAsia="Times New Roman" w:hAnsi="Segoe UI" w:cs="Segoe UI"/>
          <w:sz w:val="21"/>
          <w:szCs w:val="20"/>
          <w:lang w:eastAsia="en-GB"/>
        </w:rPr>
      </w:pPr>
      <w:r w:rsidRPr="00D87FAF">
        <w:rPr>
          <w:rFonts w:ascii="Segoe UI" w:eastAsia="Times New Roman" w:hAnsi="Segoe UI" w:cs="Segoe UI"/>
          <w:sz w:val="21"/>
          <w:szCs w:val="20"/>
          <w:lang w:eastAsia="en-GB"/>
        </w:rPr>
        <w:t>Early discussion of significant service change proposals with the Ministry</w:t>
      </w:r>
      <w:r w:rsidRPr="00D87FAF" w:rsidDel="00204E90">
        <w:rPr>
          <w:rFonts w:ascii="Segoe UI" w:eastAsia="Times New Roman" w:hAnsi="Segoe UI" w:cs="Segoe UI"/>
          <w:sz w:val="21"/>
          <w:szCs w:val="20"/>
          <w:lang w:eastAsia="en-GB"/>
        </w:rPr>
        <w:t xml:space="preserve"> </w:t>
      </w:r>
      <w:r w:rsidR="003B7635">
        <w:rPr>
          <w:rFonts w:ascii="Segoe UI" w:eastAsia="Times New Roman" w:hAnsi="Segoe UI" w:cs="Segoe UI"/>
          <w:sz w:val="21"/>
          <w:szCs w:val="20"/>
          <w:lang w:eastAsia="en-GB"/>
        </w:rPr>
        <w:t xml:space="preserve">of Health </w:t>
      </w:r>
      <w:r w:rsidRPr="00D87FAF">
        <w:rPr>
          <w:rFonts w:ascii="Segoe UI" w:eastAsia="Times New Roman" w:hAnsi="Segoe UI" w:cs="Segoe UI"/>
          <w:sz w:val="21"/>
          <w:szCs w:val="20"/>
          <w:lang w:eastAsia="en-GB"/>
        </w:rPr>
        <w:t xml:space="preserve">must also include any service change implications that will occur as a result of the implementation of information technology or capital business cases. (Where there are service change implications the Ministry </w:t>
      </w:r>
      <w:r w:rsidR="00C123B1">
        <w:rPr>
          <w:rFonts w:ascii="Segoe UI" w:eastAsia="Times New Roman" w:hAnsi="Segoe UI" w:cs="Segoe UI"/>
          <w:sz w:val="21"/>
          <w:szCs w:val="20"/>
          <w:lang w:eastAsia="en-GB"/>
        </w:rPr>
        <w:t xml:space="preserve">of Health </w:t>
      </w:r>
      <w:r w:rsidRPr="00D87FAF">
        <w:rPr>
          <w:rFonts w:ascii="Segoe UI" w:eastAsia="Times New Roman" w:hAnsi="Segoe UI" w:cs="Segoe UI"/>
          <w:sz w:val="21"/>
          <w:szCs w:val="20"/>
          <w:lang w:eastAsia="en-GB"/>
        </w:rPr>
        <w:t>should be contacted prior to the approval of the business case.)</w:t>
      </w:r>
    </w:p>
    <w:p w14:paraId="6A91B5DE" w14:textId="77777777" w:rsidR="00D87FAF" w:rsidRPr="00D87FAF" w:rsidRDefault="00D87FAF" w:rsidP="00D87FAF">
      <w:pPr>
        <w:numPr>
          <w:ilvl w:val="3"/>
          <w:numId w:val="15"/>
        </w:numPr>
        <w:spacing w:before="90" w:after="0" w:line="240" w:lineRule="auto"/>
        <w:ind w:left="1418" w:hanging="709"/>
        <w:rPr>
          <w:rFonts w:ascii="Segoe UI" w:eastAsia="Times New Roman" w:hAnsi="Segoe UI" w:cs="Segoe UI"/>
          <w:sz w:val="21"/>
          <w:szCs w:val="20"/>
          <w:lang w:eastAsia="en-GB"/>
        </w:rPr>
      </w:pPr>
      <w:r w:rsidRPr="00D87FAF">
        <w:rPr>
          <w:rFonts w:ascii="Segoe UI" w:eastAsia="Times New Roman" w:hAnsi="Segoe UI" w:cs="Segoe UI"/>
          <w:sz w:val="21"/>
          <w:szCs w:val="20"/>
          <w:lang w:eastAsia="en-GB"/>
        </w:rPr>
        <w:t>Where the Minister directs Health New Zealand to make significant changes, the Minister may also require them to consult on how those changes should be made. The Minister has a role in determining the need for Health New Zealand to engage in public consultation for any proposed major service reconfiguration or significant service change.</w:t>
      </w:r>
    </w:p>
    <w:p w14:paraId="72FAE508" w14:textId="77777777" w:rsidR="00D87FAF" w:rsidRPr="00D87FAF" w:rsidRDefault="00D87FAF" w:rsidP="00D87FAF">
      <w:pPr>
        <w:numPr>
          <w:ilvl w:val="3"/>
          <w:numId w:val="15"/>
        </w:numPr>
        <w:spacing w:before="90" w:after="0" w:line="240" w:lineRule="auto"/>
        <w:ind w:left="1418" w:hanging="709"/>
        <w:rPr>
          <w:rFonts w:ascii="Segoe UI" w:eastAsia="Times New Roman" w:hAnsi="Segoe UI" w:cs="Segoe UI"/>
          <w:sz w:val="21"/>
          <w:szCs w:val="20"/>
          <w:lang w:eastAsia="en-GB"/>
        </w:rPr>
      </w:pPr>
      <w:r w:rsidRPr="00D87FAF">
        <w:rPr>
          <w:rFonts w:ascii="Segoe UI" w:eastAsia="Times New Roman" w:hAnsi="Segoe UI" w:cs="Segoe UI"/>
          <w:sz w:val="21"/>
          <w:szCs w:val="20"/>
          <w:lang w:eastAsia="en-GB"/>
        </w:rPr>
        <w:t>Health New Zealand is expected to disclose agreed service changes in on their website.</w:t>
      </w:r>
    </w:p>
    <w:p w14:paraId="1E314684" w14:textId="77777777" w:rsidR="00D87FAF" w:rsidRPr="00D87FAF" w:rsidRDefault="00D87FAF" w:rsidP="00C73773">
      <w:pPr>
        <w:keepNext/>
        <w:keepLines/>
        <w:spacing w:before="40" w:after="0" w:line="240" w:lineRule="auto"/>
        <w:outlineLvl w:val="1"/>
        <w:rPr>
          <w:rFonts w:ascii="Segoe UI" w:eastAsiaTheme="majorEastAsia" w:hAnsi="Segoe UI" w:cs="Segoe UI"/>
          <w:color w:val="2F5496" w:themeColor="accent1" w:themeShade="BF"/>
          <w:sz w:val="26"/>
          <w:szCs w:val="26"/>
          <w:lang w:eastAsia="en-GB"/>
        </w:rPr>
      </w:pPr>
      <w:r w:rsidRPr="00D87FAF">
        <w:rPr>
          <w:rFonts w:ascii="Segoe UI" w:eastAsiaTheme="majorEastAsia" w:hAnsi="Segoe UI" w:cs="Segoe UI"/>
          <w:color w:val="2F5496" w:themeColor="accent1" w:themeShade="BF"/>
          <w:sz w:val="26"/>
          <w:szCs w:val="26"/>
          <w:lang w:eastAsia="en-GB"/>
        </w:rPr>
        <w:t>Health New Zealand service change protocols and requirements</w:t>
      </w:r>
    </w:p>
    <w:p w14:paraId="335F2A5E" w14:textId="2D0290BC" w:rsidR="006712FC" w:rsidRPr="003228F1" w:rsidRDefault="00D87FAF" w:rsidP="006712FC">
      <w:pPr>
        <w:pStyle w:val="ListParagraph"/>
        <w:numPr>
          <w:ilvl w:val="1"/>
          <w:numId w:val="21"/>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4"/>
          <w:lang w:eastAsia="en-GB"/>
        </w:rPr>
        <w:t xml:space="preserve">Health New Zealand has the mandate to improve the health of their population through national, regional and local initiatives and are accountable for their investment decisions and consultation processes. Most Health New Zealand service changes do not require the Minister’s direct involvement. When required, the Ministry </w:t>
      </w:r>
      <w:r w:rsidR="00C123B1">
        <w:rPr>
          <w:rFonts w:ascii="Segoe UI" w:eastAsia="Times New Roman" w:hAnsi="Segoe UI" w:cs="Segoe UI"/>
          <w:sz w:val="21"/>
          <w:szCs w:val="24"/>
          <w:lang w:eastAsia="en-GB"/>
        </w:rPr>
        <w:t xml:space="preserve">of Health </w:t>
      </w:r>
      <w:r w:rsidRPr="003228F1">
        <w:rPr>
          <w:rFonts w:ascii="Segoe UI" w:eastAsia="Times New Roman" w:hAnsi="Segoe UI" w:cs="Segoe UI"/>
          <w:sz w:val="21"/>
          <w:szCs w:val="24"/>
          <w:lang w:eastAsia="en-GB"/>
        </w:rPr>
        <w:t>will facilitate decision-making of the proposed service change.</w:t>
      </w:r>
    </w:p>
    <w:p w14:paraId="5E38AAB9" w14:textId="77777777" w:rsidR="006712FC" w:rsidRPr="003228F1" w:rsidRDefault="006712FC" w:rsidP="006712FC">
      <w:pPr>
        <w:pStyle w:val="ListParagraph"/>
        <w:spacing w:before="180" w:after="0" w:line="240" w:lineRule="auto"/>
        <w:ind w:left="792"/>
        <w:rPr>
          <w:rFonts w:ascii="Segoe UI" w:eastAsia="Times New Roman" w:hAnsi="Segoe UI" w:cs="Segoe UI"/>
          <w:sz w:val="21"/>
          <w:szCs w:val="24"/>
          <w:lang w:eastAsia="en-GB"/>
        </w:rPr>
      </w:pPr>
    </w:p>
    <w:p w14:paraId="2CFDAE0C" w14:textId="77777777" w:rsidR="006712FC" w:rsidRPr="003228F1" w:rsidRDefault="00D87FAF" w:rsidP="006712FC">
      <w:pPr>
        <w:pStyle w:val="ListParagraph"/>
        <w:numPr>
          <w:ilvl w:val="1"/>
          <w:numId w:val="21"/>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4"/>
          <w:lang w:eastAsia="en-GB"/>
        </w:rPr>
        <w:t>Health New Zealand will continue current arrangement for funding and/or provision of services until the agreed significant service change process is approved and completed.</w:t>
      </w:r>
    </w:p>
    <w:p w14:paraId="311517A6" w14:textId="77777777" w:rsidR="006712FC" w:rsidRPr="003228F1" w:rsidRDefault="006712FC" w:rsidP="006712FC">
      <w:pPr>
        <w:pStyle w:val="ListParagraph"/>
        <w:spacing w:before="180" w:after="0" w:line="240" w:lineRule="auto"/>
        <w:ind w:left="792"/>
        <w:rPr>
          <w:rFonts w:ascii="Segoe UI" w:eastAsia="Times New Roman" w:hAnsi="Segoe UI" w:cs="Segoe UI"/>
          <w:sz w:val="21"/>
          <w:szCs w:val="24"/>
          <w:lang w:eastAsia="en-GB"/>
        </w:rPr>
      </w:pPr>
    </w:p>
    <w:p w14:paraId="0E7D82E2" w14:textId="77777777" w:rsidR="00F748DA" w:rsidRPr="003228F1" w:rsidRDefault="00D87FAF" w:rsidP="006712FC">
      <w:pPr>
        <w:pStyle w:val="ListParagraph"/>
        <w:numPr>
          <w:ilvl w:val="1"/>
          <w:numId w:val="21"/>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4"/>
          <w:lang w:eastAsia="en-GB"/>
        </w:rPr>
        <w:t>Health New Zealand will thoroughly develop a case for the significant service change and will follow a robust process from stakeholder engagement and management including Māori participation, to gaining stakeholder support for the service change. All relevant parties must reach agreement on the proposed service change and implementation process.</w:t>
      </w:r>
    </w:p>
    <w:p w14:paraId="0012CB5B" w14:textId="77777777" w:rsidR="00F748DA" w:rsidRPr="003228F1" w:rsidRDefault="00F748DA" w:rsidP="00F748DA">
      <w:pPr>
        <w:pStyle w:val="ListParagraph"/>
        <w:rPr>
          <w:rFonts w:ascii="Segoe UI" w:eastAsia="Times New Roman" w:hAnsi="Segoe UI" w:cs="Segoe UI"/>
          <w:sz w:val="21"/>
          <w:szCs w:val="24"/>
          <w:lang w:eastAsia="en-GB"/>
        </w:rPr>
      </w:pPr>
    </w:p>
    <w:p w14:paraId="1D41FECE" w14:textId="4D971EF9" w:rsidR="00D87FAF" w:rsidRPr="003228F1" w:rsidRDefault="00D87FAF" w:rsidP="006712FC">
      <w:pPr>
        <w:pStyle w:val="ListParagraph"/>
        <w:numPr>
          <w:ilvl w:val="1"/>
          <w:numId w:val="21"/>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4"/>
          <w:lang w:eastAsia="en-GB"/>
        </w:rPr>
        <w:t xml:space="preserve">Not all service changes require input from the Ministry </w:t>
      </w:r>
      <w:r w:rsidR="00C123B1">
        <w:rPr>
          <w:rFonts w:ascii="Segoe UI" w:eastAsia="Times New Roman" w:hAnsi="Segoe UI" w:cs="Segoe UI"/>
          <w:sz w:val="21"/>
          <w:szCs w:val="24"/>
          <w:lang w:eastAsia="en-GB"/>
        </w:rPr>
        <w:t xml:space="preserve">of Health </w:t>
      </w:r>
      <w:r w:rsidRPr="003228F1">
        <w:rPr>
          <w:rFonts w:ascii="Segoe UI" w:eastAsia="Times New Roman" w:hAnsi="Segoe UI" w:cs="Segoe UI"/>
          <w:sz w:val="21"/>
          <w:szCs w:val="24"/>
          <w:lang w:eastAsia="en-GB"/>
        </w:rPr>
        <w:t>or the Minister. The decision tool for triggering significant service change protocols (Table 1 below) identifies the level that requires early engagement with the Ministry</w:t>
      </w:r>
      <w:r w:rsidR="00C123B1">
        <w:rPr>
          <w:rFonts w:ascii="Segoe UI" w:eastAsia="Times New Roman" w:hAnsi="Segoe UI" w:cs="Segoe UI"/>
          <w:sz w:val="21"/>
          <w:szCs w:val="24"/>
          <w:lang w:eastAsia="en-GB"/>
        </w:rPr>
        <w:t xml:space="preserve"> of Health</w:t>
      </w:r>
      <w:r w:rsidRPr="003228F1">
        <w:rPr>
          <w:rFonts w:ascii="Segoe UI" w:eastAsia="Times New Roman" w:hAnsi="Segoe UI" w:cs="Segoe UI"/>
          <w:sz w:val="21"/>
          <w:szCs w:val="24"/>
          <w:lang w:eastAsia="en-GB"/>
        </w:rPr>
        <w:t>. This tool supports planning service change and decision-making and increases confidence there are sufficient controls in place to manage potential risks of proposed service change.</w:t>
      </w:r>
    </w:p>
    <w:p w14:paraId="2B9387B4" w14:textId="77777777" w:rsidR="00AD60FC" w:rsidRPr="003228F1" w:rsidRDefault="00AD60FC" w:rsidP="00AD60FC">
      <w:pPr>
        <w:pStyle w:val="ListParagraph"/>
        <w:rPr>
          <w:rFonts w:ascii="Segoe UI" w:eastAsia="Times New Roman" w:hAnsi="Segoe UI" w:cs="Segoe UI"/>
          <w:sz w:val="21"/>
          <w:szCs w:val="24"/>
          <w:lang w:eastAsia="en-GB"/>
        </w:rPr>
      </w:pPr>
    </w:p>
    <w:p w14:paraId="146A4C1F" w14:textId="77777777" w:rsidR="006A09C1" w:rsidRPr="003228F1" w:rsidRDefault="006A09C1">
      <w:pPr>
        <w:rPr>
          <w:rFonts w:ascii="Segoe UI" w:eastAsia="Times New Roman" w:hAnsi="Segoe UI" w:cs="Segoe UI"/>
          <w:b/>
          <w:sz w:val="20"/>
          <w:szCs w:val="20"/>
          <w:lang w:eastAsia="en-GB"/>
        </w:rPr>
      </w:pPr>
      <w:bookmarkStart w:id="35" w:name="_Toc43110711"/>
      <w:r w:rsidRPr="003228F1">
        <w:rPr>
          <w:rFonts w:ascii="Segoe UI" w:eastAsia="Times New Roman" w:hAnsi="Segoe UI" w:cs="Segoe UI"/>
          <w:b/>
          <w:sz w:val="20"/>
          <w:szCs w:val="20"/>
          <w:lang w:eastAsia="en-GB"/>
        </w:rPr>
        <w:br w:type="page"/>
      </w:r>
    </w:p>
    <w:p w14:paraId="07D8F6E3" w14:textId="5F78508E" w:rsidR="00D87FAF" w:rsidRPr="00D87FAF" w:rsidRDefault="00D87FAF" w:rsidP="00D87FAF">
      <w:pPr>
        <w:keepNext/>
        <w:spacing w:before="120" w:after="120" w:line="240" w:lineRule="auto"/>
        <w:rPr>
          <w:rFonts w:ascii="Segoe UI" w:eastAsia="Times New Roman" w:hAnsi="Segoe UI" w:cs="Segoe UI"/>
          <w:b/>
          <w:sz w:val="20"/>
          <w:szCs w:val="20"/>
          <w:lang w:eastAsia="en-GB"/>
        </w:rPr>
      </w:pPr>
      <w:r w:rsidRPr="00D87FAF">
        <w:rPr>
          <w:rFonts w:ascii="Segoe UI" w:eastAsia="Times New Roman" w:hAnsi="Segoe UI" w:cs="Segoe UI"/>
          <w:b/>
          <w:sz w:val="20"/>
          <w:szCs w:val="20"/>
          <w:lang w:eastAsia="en-GB"/>
        </w:rPr>
        <w:lastRenderedPageBreak/>
        <w:t>Table 1</w:t>
      </w:r>
      <w:r w:rsidR="00A20DAC">
        <w:rPr>
          <w:rFonts w:ascii="Segoe UI" w:eastAsia="Times New Roman" w:hAnsi="Segoe UI" w:cs="Segoe UI"/>
          <w:b/>
          <w:sz w:val="20"/>
          <w:szCs w:val="20"/>
          <w:lang w:eastAsia="en-GB"/>
        </w:rPr>
        <w:t>.1</w:t>
      </w:r>
      <w:r w:rsidRPr="00D87FAF">
        <w:rPr>
          <w:rFonts w:ascii="Segoe UI" w:eastAsia="Times New Roman" w:hAnsi="Segoe UI" w:cs="Segoe UI"/>
          <w:b/>
          <w:sz w:val="20"/>
          <w:szCs w:val="20"/>
          <w:lang w:eastAsia="en-GB"/>
        </w:rPr>
        <w:t>: Decision tool for triggering service change protocols</w:t>
      </w:r>
      <w:bookmarkEnd w:id="35"/>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3969"/>
        <w:gridCol w:w="4111"/>
      </w:tblGrid>
      <w:tr w:rsidR="00D87FAF" w:rsidRPr="00D87FAF" w14:paraId="09BC5690" w14:textId="77777777" w:rsidTr="00BC16EB">
        <w:trPr>
          <w:cantSplit/>
        </w:trPr>
        <w:tc>
          <w:tcPr>
            <w:tcW w:w="3969" w:type="dxa"/>
            <w:tcBorders>
              <w:bottom w:val="nil"/>
            </w:tcBorders>
          </w:tcPr>
          <w:p w14:paraId="298411F9" w14:textId="30918397" w:rsidR="00D87FAF" w:rsidRPr="00D87FAF" w:rsidRDefault="00D87FAF" w:rsidP="00D87FAF">
            <w:pPr>
              <w:spacing w:before="60" w:after="60" w:line="240" w:lineRule="auto"/>
              <w:ind w:left="425" w:right="113" w:hanging="425"/>
              <w:rPr>
                <w:rFonts w:ascii="Segoe UI" w:eastAsia="Times New Roman" w:hAnsi="Segoe UI" w:cs="Segoe UI"/>
                <w:b/>
                <w:sz w:val="18"/>
                <w:szCs w:val="20"/>
                <w:lang w:eastAsia="en-GB"/>
              </w:rPr>
            </w:pPr>
            <w:r w:rsidRPr="00D87FAF">
              <w:rPr>
                <w:rFonts w:ascii="Segoe UI" w:eastAsia="Times New Roman" w:hAnsi="Segoe UI" w:cs="Segoe UI"/>
                <w:b/>
                <w:sz w:val="18"/>
                <w:szCs w:val="20"/>
                <w:lang w:eastAsia="en-GB"/>
              </w:rPr>
              <w:t>A</w:t>
            </w:r>
            <w:r w:rsidRPr="00D87FAF">
              <w:rPr>
                <w:rFonts w:ascii="Segoe UI" w:eastAsia="Times New Roman" w:hAnsi="Segoe UI" w:cs="Segoe UI"/>
                <w:bCs/>
                <w:sz w:val="18"/>
                <w:szCs w:val="20"/>
                <w:lang w:eastAsia="en-GB"/>
              </w:rPr>
              <w:t>.</w:t>
            </w:r>
            <w:r w:rsidRPr="00D87FAF">
              <w:rPr>
                <w:rFonts w:ascii="Segoe UI" w:eastAsia="Times New Roman" w:hAnsi="Segoe UI" w:cs="Segoe UI"/>
                <w:sz w:val="18"/>
                <w:szCs w:val="20"/>
                <w:lang w:eastAsia="en-GB"/>
              </w:rPr>
              <w:tab/>
              <w:t>Does this proposal meet the current SC</w:t>
            </w:r>
            <w:r w:rsidR="00FF474D">
              <w:rPr>
                <w:rFonts w:ascii="Segoe UI" w:eastAsia="Times New Roman" w:hAnsi="Segoe UI" w:cs="Segoe UI"/>
                <w:sz w:val="18"/>
                <w:szCs w:val="20"/>
                <w:lang w:eastAsia="en-GB"/>
              </w:rPr>
              <w:t>E</w:t>
            </w:r>
            <w:r w:rsidRPr="00D87FAF">
              <w:rPr>
                <w:rFonts w:ascii="Segoe UI" w:eastAsia="Times New Roman" w:hAnsi="Segoe UI" w:cs="Segoe UI"/>
                <w:sz w:val="18"/>
                <w:szCs w:val="20"/>
                <w:lang w:eastAsia="en-GB"/>
              </w:rPr>
              <w:t xml:space="preserve"> and/or OP</w:t>
            </w:r>
            <w:r w:rsidR="00187870">
              <w:rPr>
                <w:rFonts w:ascii="Segoe UI" w:eastAsia="Times New Roman" w:hAnsi="Segoe UI" w:cs="Segoe UI"/>
                <w:sz w:val="18"/>
                <w:szCs w:val="20"/>
                <w:lang w:eastAsia="en-GB"/>
              </w:rPr>
              <w:t>E</w:t>
            </w:r>
            <w:r w:rsidRPr="00D87FAF">
              <w:rPr>
                <w:rFonts w:ascii="Segoe UI" w:eastAsia="Times New Roman" w:hAnsi="Segoe UI" w:cs="Segoe UI"/>
                <w:sz w:val="18"/>
                <w:szCs w:val="20"/>
                <w:lang w:eastAsia="en-GB"/>
              </w:rPr>
              <w:t xml:space="preserve"> mandatory components?</w:t>
            </w:r>
          </w:p>
        </w:tc>
        <w:tc>
          <w:tcPr>
            <w:tcW w:w="4111" w:type="dxa"/>
            <w:tcBorders>
              <w:bottom w:val="nil"/>
            </w:tcBorders>
          </w:tcPr>
          <w:p w14:paraId="4AB23714" w14:textId="77777777" w:rsidR="00D87FAF" w:rsidRPr="00D87FAF" w:rsidRDefault="00D87FAF" w:rsidP="00D87FAF">
            <w:pPr>
              <w:tabs>
                <w:tab w:val="num" w:pos="284"/>
              </w:tabs>
              <w:spacing w:before="60" w:after="60" w:line="240" w:lineRule="auto"/>
              <w:ind w:left="284" w:hanging="284"/>
              <w:rPr>
                <w:rFonts w:ascii="Segoe UI" w:eastAsia="Times New Roman" w:hAnsi="Segoe UI" w:cs="Segoe UI"/>
                <w:bCs/>
                <w:sz w:val="18"/>
                <w:szCs w:val="20"/>
                <w:lang w:eastAsia="en-GB"/>
              </w:rPr>
            </w:pPr>
            <w:r w:rsidRPr="00D87FAF">
              <w:rPr>
                <w:rFonts w:ascii="Segoe UI" w:eastAsia="Times New Roman" w:hAnsi="Segoe UI" w:cs="Segoe UI"/>
                <w:sz w:val="18"/>
                <w:szCs w:val="20"/>
                <w:lang w:eastAsia="en-GB"/>
              </w:rPr>
              <w:t>If YES, proceed to B.</w:t>
            </w:r>
          </w:p>
          <w:p w14:paraId="31F7C7E4" w14:textId="081ACB78" w:rsidR="00D87FAF" w:rsidRPr="00D87FAF" w:rsidRDefault="00D87FAF" w:rsidP="00D87FAF">
            <w:pPr>
              <w:tabs>
                <w:tab w:val="num" w:pos="284"/>
              </w:tabs>
              <w:spacing w:after="60" w:line="240" w:lineRule="auto"/>
              <w:ind w:left="284" w:hanging="284"/>
              <w:rPr>
                <w:rFonts w:ascii="Segoe UI" w:eastAsia="Times New Roman" w:hAnsi="Segoe UI" w:cs="Segoe UI"/>
                <w:b/>
                <w:sz w:val="18"/>
                <w:szCs w:val="20"/>
                <w:lang w:eastAsia="en-GB"/>
              </w:rPr>
            </w:pPr>
            <w:r w:rsidRPr="00D87FAF">
              <w:rPr>
                <w:rFonts w:ascii="Segoe UI" w:eastAsia="Times New Roman" w:hAnsi="Segoe UI" w:cs="Segoe UI"/>
                <w:sz w:val="18"/>
                <w:szCs w:val="20"/>
                <w:lang w:eastAsia="en-GB"/>
              </w:rPr>
              <w:t>If NO, Health New Zealand discusses with the Ministry before proceeding to secure ministerial approval for SC</w:t>
            </w:r>
            <w:r w:rsidR="00187870">
              <w:rPr>
                <w:rFonts w:ascii="Segoe UI" w:eastAsia="Times New Roman" w:hAnsi="Segoe UI" w:cs="Segoe UI"/>
                <w:sz w:val="18"/>
                <w:szCs w:val="20"/>
                <w:lang w:eastAsia="en-GB"/>
              </w:rPr>
              <w:t>E</w:t>
            </w:r>
            <w:r w:rsidRPr="00D87FAF">
              <w:rPr>
                <w:rFonts w:ascii="Segoe UI" w:eastAsia="Times New Roman" w:hAnsi="Segoe UI" w:cs="Segoe UI"/>
                <w:sz w:val="18"/>
                <w:szCs w:val="20"/>
                <w:lang w:eastAsia="en-GB"/>
              </w:rPr>
              <w:t xml:space="preserve"> exceptions, or approval for </w:t>
            </w:r>
            <w:r w:rsidR="00187870">
              <w:rPr>
                <w:rFonts w:ascii="Segoe UI" w:eastAsia="Times New Roman" w:hAnsi="Segoe UI" w:cs="Segoe UI"/>
                <w:sz w:val="18"/>
                <w:szCs w:val="20"/>
                <w:lang w:eastAsia="en-GB"/>
              </w:rPr>
              <w:t>OPE</w:t>
            </w:r>
            <w:r w:rsidR="00187870" w:rsidRPr="00D87FAF">
              <w:rPr>
                <w:rFonts w:ascii="Segoe UI" w:eastAsia="Times New Roman" w:hAnsi="Segoe UI" w:cs="Segoe UI"/>
                <w:sz w:val="18"/>
                <w:szCs w:val="20"/>
                <w:lang w:eastAsia="en-GB"/>
              </w:rPr>
              <w:t xml:space="preserve"> </w:t>
            </w:r>
            <w:r w:rsidRPr="00D87FAF">
              <w:rPr>
                <w:rFonts w:ascii="Segoe UI" w:eastAsia="Times New Roman" w:hAnsi="Segoe UI" w:cs="Segoe UI"/>
                <w:sz w:val="18"/>
                <w:szCs w:val="20"/>
                <w:lang w:eastAsia="en-GB"/>
              </w:rPr>
              <w:t>mandatory component exceptions.</w:t>
            </w:r>
          </w:p>
        </w:tc>
      </w:tr>
      <w:tr w:rsidR="00D87FAF" w:rsidRPr="00D87FAF" w14:paraId="6A636713" w14:textId="77777777" w:rsidTr="00BC16EB">
        <w:trPr>
          <w:cantSplit/>
        </w:trPr>
        <w:tc>
          <w:tcPr>
            <w:tcW w:w="8080" w:type="dxa"/>
            <w:gridSpan w:val="2"/>
            <w:tcBorders>
              <w:top w:val="nil"/>
              <w:bottom w:val="nil"/>
            </w:tcBorders>
          </w:tcPr>
          <w:p w14:paraId="195198E6" w14:textId="77777777" w:rsidR="00D87FAF" w:rsidRPr="00D87FAF" w:rsidRDefault="00D87FAF" w:rsidP="00D87FAF">
            <w:pPr>
              <w:spacing w:before="60" w:after="60" w:line="240" w:lineRule="auto"/>
              <w:jc w:val="center"/>
              <w:rPr>
                <w:rFonts w:ascii="Segoe UI" w:eastAsia="Times New Roman" w:hAnsi="Segoe UI" w:cs="Segoe UI"/>
                <w:sz w:val="18"/>
                <w:szCs w:val="20"/>
                <w:lang w:eastAsia="en-GB"/>
              </w:rPr>
            </w:pPr>
            <w:r w:rsidRPr="00D87FAF">
              <w:rPr>
                <w:rFonts w:ascii="Segoe UI" w:eastAsia="Times New Roman" w:hAnsi="Segoe UI" w:cs="Segoe UI"/>
                <w:noProof/>
                <w:sz w:val="18"/>
                <w:szCs w:val="20"/>
                <w:lang w:eastAsia="en-NZ"/>
              </w:rPr>
              <mc:AlternateContent>
                <mc:Choice Requires="wps">
                  <w:drawing>
                    <wp:inline distT="0" distB="0" distL="0" distR="0" wp14:anchorId="539D8F55" wp14:editId="5E90A417">
                      <wp:extent cx="233836" cy="174937"/>
                      <wp:effectExtent l="38100" t="0" r="13970" b="34925"/>
                      <wp:docPr id="4" name="Arrow: Dow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36" cy="174937"/>
                              </a:xfrm>
                              <a:prstGeom prst="downArrow">
                                <a:avLst>
                                  <a:gd name="adj1" fmla="val 50000"/>
                                  <a:gd name="adj2" fmla="val 3603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16452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width:18.4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" adj="13816" fillcolor="black">
                      <w10:anchorlock/>
                    </v:shape>
                  </w:pict>
                </mc:Fallback>
              </mc:AlternateContent>
            </w:r>
          </w:p>
        </w:tc>
      </w:tr>
      <w:tr w:rsidR="00D87FAF" w:rsidRPr="00D87FAF" w14:paraId="033DE527" w14:textId="77777777" w:rsidTr="00BC16EB">
        <w:trPr>
          <w:cantSplit/>
        </w:trPr>
        <w:tc>
          <w:tcPr>
            <w:tcW w:w="3969" w:type="dxa"/>
            <w:tcBorders>
              <w:top w:val="nil"/>
              <w:bottom w:val="nil"/>
            </w:tcBorders>
          </w:tcPr>
          <w:p w14:paraId="02763499" w14:textId="77777777" w:rsidR="00D87FAF" w:rsidRPr="00D87FAF" w:rsidRDefault="00D87FAF" w:rsidP="00D87FAF">
            <w:pPr>
              <w:spacing w:before="60" w:after="60" w:line="240" w:lineRule="auto"/>
              <w:ind w:left="425" w:right="113" w:hanging="425"/>
              <w:rPr>
                <w:rFonts w:ascii="Segoe UI" w:eastAsia="Times New Roman" w:hAnsi="Segoe UI" w:cs="Segoe UI"/>
                <w:b/>
                <w:sz w:val="18"/>
                <w:szCs w:val="20"/>
                <w:lang w:eastAsia="en-GB"/>
              </w:rPr>
            </w:pPr>
            <w:r w:rsidRPr="00D87FAF">
              <w:rPr>
                <w:rFonts w:ascii="Segoe UI" w:eastAsia="Times New Roman" w:hAnsi="Segoe UI" w:cs="Segoe UI"/>
                <w:b/>
                <w:sz w:val="18"/>
                <w:szCs w:val="20"/>
                <w:lang w:eastAsia="en-GB"/>
              </w:rPr>
              <w:t>B</w:t>
            </w:r>
            <w:r w:rsidRPr="00D87FAF">
              <w:rPr>
                <w:rFonts w:ascii="Segoe UI" w:eastAsia="Times New Roman" w:hAnsi="Segoe UI" w:cs="Segoe UI"/>
                <w:sz w:val="18"/>
                <w:szCs w:val="20"/>
                <w:lang w:eastAsia="en-GB"/>
              </w:rPr>
              <w:t>.</w:t>
            </w:r>
            <w:r w:rsidRPr="00D87FAF">
              <w:rPr>
                <w:rFonts w:ascii="Segoe UI" w:eastAsia="Times New Roman" w:hAnsi="Segoe UI" w:cs="Segoe UI"/>
                <w:sz w:val="18"/>
                <w:szCs w:val="20"/>
                <w:lang w:eastAsia="en-GB"/>
              </w:rPr>
              <w:tab/>
              <w:t>Does this proposal trigger any of the existing protocols that require ministerial approval (that is, significant service change, the capital approval process, the public/private service protocols)?</w:t>
            </w:r>
          </w:p>
        </w:tc>
        <w:tc>
          <w:tcPr>
            <w:tcW w:w="4111" w:type="dxa"/>
            <w:tcBorders>
              <w:top w:val="nil"/>
              <w:bottom w:val="nil"/>
            </w:tcBorders>
          </w:tcPr>
          <w:p w14:paraId="0BCC8C41" w14:textId="77777777" w:rsidR="00D87FAF" w:rsidRPr="00D87FAF" w:rsidRDefault="00D87FAF" w:rsidP="00D87FAF">
            <w:pPr>
              <w:tabs>
                <w:tab w:val="num" w:pos="284"/>
              </w:tabs>
              <w:spacing w:before="60" w:after="60" w:line="240" w:lineRule="auto"/>
              <w:ind w:left="284" w:hanging="284"/>
              <w:rPr>
                <w:rFonts w:ascii="Segoe UI" w:eastAsia="Times New Roman" w:hAnsi="Segoe UI" w:cs="Segoe UI"/>
                <w:bCs/>
                <w:sz w:val="18"/>
                <w:szCs w:val="20"/>
                <w:lang w:eastAsia="en-GB"/>
              </w:rPr>
            </w:pPr>
            <w:r w:rsidRPr="00D87FAF">
              <w:rPr>
                <w:rFonts w:ascii="Segoe UI" w:eastAsia="Times New Roman" w:hAnsi="Segoe UI" w:cs="Segoe UI"/>
                <w:sz w:val="18"/>
                <w:szCs w:val="20"/>
                <w:lang w:eastAsia="en-GB"/>
              </w:rPr>
              <w:t>If YES, Health New Zealand discusses with the Ministry. The Ministry will use agreed criteria as to whether the Minister needs to be consulted using the service change protocols.</w:t>
            </w:r>
          </w:p>
          <w:p w14:paraId="412D55B5" w14:textId="77777777" w:rsidR="00D87FAF" w:rsidRPr="00D87FAF" w:rsidRDefault="00D87FAF" w:rsidP="00D87FAF">
            <w:pPr>
              <w:tabs>
                <w:tab w:val="num" w:pos="284"/>
              </w:tabs>
              <w:spacing w:after="60" w:line="240" w:lineRule="auto"/>
              <w:ind w:left="284" w:hanging="284"/>
              <w:rPr>
                <w:rFonts w:ascii="Segoe UI" w:eastAsia="Times New Roman" w:hAnsi="Segoe UI" w:cs="Segoe UI"/>
                <w:b/>
                <w:sz w:val="18"/>
                <w:szCs w:val="20"/>
                <w:lang w:eastAsia="en-GB"/>
              </w:rPr>
            </w:pPr>
            <w:r w:rsidRPr="00D87FAF">
              <w:rPr>
                <w:rFonts w:ascii="Segoe UI" w:eastAsia="Times New Roman" w:hAnsi="Segoe UI" w:cs="Segoe UI"/>
                <w:sz w:val="18"/>
                <w:szCs w:val="20"/>
                <w:lang w:eastAsia="en-GB"/>
              </w:rPr>
              <w:t>If NO, proceed to C.</w:t>
            </w:r>
          </w:p>
        </w:tc>
      </w:tr>
      <w:tr w:rsidR="00D87FAF" w:rsidRPr="00D87FAF" w14:paraId="4A2DD79E" w14:textId="77777777" w:rsidTr="00BC16EB">
        <w:trPr>
          <w:cantSplit/>
        </w:trPr>
        <w:tc>
          <w:tcPr>
            <w:tcW w:w="8080" w:type="dxa"/>
            <w:gridSpan w:val="2"/>
            <w:tcBorders>
              <w:top w:val="nil"/>
              <w:bottom w:val="nil"/>
            </w:tcBorders>
          </w:tcPr>
          <w:p w14:paraId="788CBCA4" w14:textId="77777777" w:rsidR="00D87FAF" w:rsidRPr="00D87FAF" w:rsidRDefault="00D87FAF" w:rsidP="00D87FAF">
            <w:pPr>
              <w:spacing w:before="60" w:after="60" w:line="240" w:lineRule="auto"/>
              <w:jc w:val="center"/>
              <w:rPr>
                <w:rFonts w:ascii="Segoe UI" w:eastAsia="Times New Roman" w:hAnsi="Segoe UI" w:cs="Segoe UI"/>
                <w:sz w:val="18"/>
                <w:szCs w:val="20"/>
                <w:lang w:eastAsia="en-GB"/>
              </w:rPr>
            </w:pPr>
            <w:r w:rsidRPr="00D87FAF">
              <w:rPr>
                <w:rFonts w:ascii="Segoe UI" w:eastAsia="Times New Roman" w:hAnsi="Segoe UI" w:cs="Segoe UI"/>
                <w:noProof/>
                <w:sz w:val="18"/>
                <w:szCs w:val="20"/>
                <w:lang w:eastAsia="en-NZ"/>
              </w:rPr>
              <mc:AlternateContent>
                <mc:Choice Requires="wps">
                  <w:drawing>
                    <wp:inline distT="0" distB="0" distL="0" distR="0" wp14:anchorId="6DF3FBFE" wp14:editId="44171FDB">
                      <wp:extent cx="217170" cy="209538"/>
                      <wp:effectExtent l="38100" t="0" r="11430" b="38735"/>
                      <wp:docPr id="18" name="Arrow: Dow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09538"/>
                              </a:xfrm>
                              <a:prstGeom prst="downArrow">
                                <a:avLst>
                                  <a:gd name="adj1" fmla="val 50000"/>
                                  <a:gd name="adj2" fmla="val 3603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484344C" id="Arrow: Down 18" o:spid="_x0000_s1026" type="#_x0000_t67" style="width:17.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" adj="13816" fillcolor="black">
                      <w10:anchorlock/>
                    </v:shape>
                  </w:pict>
                </mc:Fallback>
              </mc:AlternateContent>
            </w:r>
          </w:p>
        </w:tc>
      </w:tr>
      <w:tr w:rsidR="00D87FAF" w:rsidRPr="00D87FAF" w14:paraId="67264435" w14:textId="77777777" w:rsidTr="00BC16EB">
        <w:trPr>
          <w:cantSplit/>
        </w:trPr>
        <w:tc>
          <w:tcPr>
            <w:tcW w:w="3969" w:type="dxa"/>
            <w:tcBorders>
              <w:top w:val="nil"/>
            </w:tcBorders>
          </w:tcPr>
          <w:p w14:paraId="5BB59280" w14:textId="77777777" w:rsidR="00D87FAF" w:rsidRPr="00D87FAF" w:rsidRDefault="00D87FAF" w:rsidP="00D87FAF">
            <w:pPr>
              <w:spacing w:before="60" w:after="60" w:line="240" w:lineRule="auto"/>
              <w:ind w:left="425" w:right="113" w:hanging="425"/>
              <w:rPr>
                <w:rFonts w:ascii="Segoe UI" w:eastAsia="Times New Roman" w:hAnsi="Segoe UI" w:cs="Segoe UI"/>
                <w:b/>
                <w:sz w:val="18"/>
                <w:szCs w:val="20"/>
                <w:lang w:eastAsia="en-GB"/>
              </w:rPr>
            </w:pPr>
            <w:r w:rsidRPr="00D87FAF">
              <w:rPr>
                <w:rFonts w:ascii="Segoe UI" w:eastAsia="Times New Roman" w:hAnsi="Segoe UI" w:cs="Segoe UI"/>
                <w:b/>
                <w:sz w:val="18"/>
                <w:szCs w:val="20"/>
                <w:lang w:eastAsia="en-GB"/>
              </w:rPr>
              <w:t>C</w:t>
            </w:r>
            <w:r w:rsidRPr="00D87FAF">
              <w:rPr>
                <w:rFonts w:ascii="Segoe UI" w:eastAsia="Times New Roman" w:hAnsi="Segoe UI" w:cs="Segoe UI"/>
                <w:bCs/>
                <w:sz w:val="18"/>
                <w:szCs w:val="20"/>
                <w:lang w:eastAsia="en-GB"/>
              </w:rPr>
              <w:t>.</w:t>
            </w:r>
            <w:r w:rsidRPr="00D87FAF">
              <w:rPr>
                <w:rFonts w:ascii="Segoe UI" w:eastAsia="Times New Roman" w:hAnsi="Segoe UI" w:cs="Segoe UI"/>
                <w:sz w:val="18"/>
                <w:szCs w:val="20"/>
                <w:lang w:eastAsia="en-GB"/>
              </w:rPr>
              <w:tab/>
              <w:t>Is the proposal likely to result in substantial public comment?</w:t>
            </w:r>
          </w:p>
        </w:tc>
        <w:tc>
          <w:tcPr>
            <w:tcW w:w="4111" w:type="dxa"/>
            <w:tcBorders>
              <w:top w:val="nil"/>
            </w:tcBorders>
          </w:tcPr>
          <w:p w14:paraId="5FC22AFD" w14:textId="77777777" w:rsidR="00D87FAF" w:rsidRPr="00D87FAF" w:rsidRDefault="00D87FAF" w:rsidP="00D87FAF">
            <w:pPr>
              <w:tabs>
                <w:tab w:val="num" w:pos="284"/>
              </w:tabs>
              <w:spacing w:before="60" w:after="60" w:line="240" w:lineRule="auto"/>
              <w:ind w:left="284"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If YES, Health New Zealand discusses with the Ministry to facilitate the proposal as to whether the Minister needs to be consulted on the substance of the proposal.</w:t>
            </w:r>
          </w:p>
          <w:p w14:paraId="36F81ABB" w14:textId="77777777" w:rsidR="00D87FAF" w:rsidRPr="00D87FAF" w:rsidRDefault="00D87FAF" w:rsidP="00D87FAF">
            <w:pPr>
              <w:tabs>
                <w:tab w:val="num" w:pos="284"/>
              </w:tabs>
              <w:spacing w:after="60" w:line="240" w:lineRule="auto"/>
              <w:ind w:left="284" w:hanging="284"/>
              <w:rPr>
                <w:rFonts w:ascii="Segoe UI" w:eastAsia="Times New Roman" w:hAnsi="Segoe UI" w:cs="Segoe UI"/>
                <w:b/>
                <w:sz w:val="18"/>
                <w:szCs w:val="20"/>
                <w:lang w:eastAsia="en-GB"/>
              </w:rPr>
            </w:pPr>
            <w:r w:rsidRPr="00D87FAF">
              <w:rPr>
                <w:rFonts w:ascii="Segoe UI" w:eastAsia="Times New Roman" w:hAnsi="Segoe UI" w:cs="Segoe UI"/>
                <w:sz w:val="18"/>
                <w:szCs w:val="20"/>
                <w:lang w:eastAsia="en-GB"/>
              </w:rPr>
              <w:t>If NO, Health New Zealand can proceed with</w:t>
            </w:r>
            <w:r w:rsidRPr="00D87FAF">
              <w:rPr>
                <w:rFonts w:ascii="Segoe UI" w:eastAsia="Times New Roman" w:hAnsi="Segoe UI" w:cs="Segoe UI"/>
                <w:i/>
                <w:sz w:val="18"/>
                <w:szCs w:val="20"/>
                <w:lang w:eastAsia="en-GB"/>
              </w:rPr>
              <w:t xml:space="preserve"> </w:t>
            </w:r>
            <w:r w:rsidRPr="00D87FAF">
              <w:rPr>
                <w:rFonts w:ascii="Segoe UI" w:eastAsia="Times New Roman" w:hAnsi="Segoe UI" w:cs="Segoe UI"/>
                <w:sz w:val="18"/>
                <w:szCs w:val="20"/>
                <w:lang w:eastAsia="en-GB"/>
              </w:rPr>
              <w:t>the change proposed, provided the change is clinically appropriate, that a robust process is followed, and public confidence is managed by Health New Zealand</w:t>
            </w:r>
          </w:p>
        </w:tc>
      </w:tr>
    </w:tbl>
    <w:p w14:paraId="4213A202" w14:textId="7CDDA639" w:rsidR="00D87FAF" w:rsidRPr="003228F1" w:rsidRDefault="00D87FAF" w:rsidP="00B21707">
      <w:pPr>
        <w:pStyle w:val="ListParagraph"/>
        <w:numPr>
          <w:ilvl w:val="1"/>
          <w:numId w:val="21"/>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4"/>
          <w:lang w:eastAsia="en-GB"/>
        </w:rPr>
        <w:t xml:space="preserve">When significant service change is identified Health New Zealand must contact the Ministry </w:t>
      </w:r>
      <w:r w:rsidR="00C123B1">
        <w:rPr>
          <w:rFonts w:ascii="Segoe UI" w:eastAsia="Times New Roman" w:hAnsi="Segoe UI" w:cs="Segoe UI"/>
          <w:sz w:val="21"/>
          <w:szCs w:val="24"/>
          <w:lang w:eastAsia="en-GB"/>
        </w:rPr>
        <w:t xml:space="preserve">of Health </w:t>
      </w:r>
      <w:r w:rsidRPr="003228F1">
        <w:rPr>
          <w:rFonts w:ascii="Segoe UI" w:eastAsia="Times New Roman" w:hAnsi="Segoe UI" w:cs="Segoe UI"/>
          <w:sz w:val="21"/>
          <w:szCs w:val="24"/>
          <w:lang w:eastAsia="en-GB"/>
        </w:rPr>
        <w:t>to facilitate engagement with the Minister on the proposed service change.</w:t>
      </w:r>
    </w:p>
    <w:p w14:paraId="230CCFC5" w14:textId="77777777" w:rsidR="00D87FAF" w:rsidRPr="00D87FAF" w:rsidRDefault="00D87FAF" w:rsidP="00B21707">
      <w:pPr>
        <w:keepNext/>
        <w:keepLines/>
        <w:spacing w:before="40" w:after="0" w:line="240" w:lineRule="auto"/>
        <w:outlineLvl w:val="1"/>
        <w:rPr>
          <w:rFonts w:ascii="Segoe UI" w:eastAsiaTheme="majorEastAsia" w:hAnsi="Segoe UI" w:cs="Segoe UI"/>
          <w:color w:val="2F5496" w:themeColor="accent1" w:themeShade="BF"/>
          <w:sz w:val="26"/>
          <w:szCs w:val="26"/>
          <w:lang w:eastAsia="en-GB"/>
        </w:rPr>
      </w:pPr>
      <w:bookmarkStart w:id="36" w:name="_Toc32398026"/>
      <w:bookmarkStart w:id="37" w:name="_Ref34880265"/>
      <w:bookmarkStart w:id="38" w:name="_Ref34880803"/>
      <w:bookmarkStart w:id="39" w:name="_Ref40531077"/>
      <w:bookmarkStart w:id="40" w:name="_Toc40708520"/>
      <w:bookmarkStart w:id="41" w:name="_Toc64269150"/>
      <w:r w:rsidRPr="00D87FAF">
        <w:rPr>
          <w:rFonts w:ascii="Segoe UI" w:eastAsiaTheme="majorEastAsia" w:hAnsi="Segoe UI" w:cs="Segoe UI"/>
          <w:color w:val="2F5496" w:themeColor="accent1" w:themeShade="BF"/>
          <w:sz w:val="26"/>
          <w:szCs w:val="26"/>
          <w:lang w:eastAsia="en-GB"/>
        </w:rPr>
        <w:t>Significant service change and consultation</w:t>
      </w:r>
      <w:bookmarkEnd w:id="36"/>
      <w:bookmarkEnd w:id="37"/>
      <w:bookmarkEnd w:id="38"/>
      <w:bookmarkEnd w:id="39"/>
      <w:bookmarkEnd w:id="40"/>
      <w:bookmarkEnd w:id="41"/>
    </w:p>
    <w:p w14:paraId="3D8B758F" w14:textId="5E830AE7" w:rsidR="00D87FAF" w:rsidRPr="003228F1" w:rsidRDefault="00D87FAF" w:rsidP="00871269">
      <w:pPr>
        <w:pStyle w:val="ListParagraph"/>
        <w:numPr>
          <w:ilvl w:val="1"/>
          <w:numId w:val="21"/>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4"/>
          <w:lang w:eastAsia="en-GB"/>
        </w:rPr>
        <w:t>When consultation is required, Health New Zealand will not implement the proposed service change until the appropriate consultation has been undertaken with the affected population(s).</w:t>
      </w:r>
    </w:p>
    <w:p w14:paraId="1F3408A1" w14:textId="77777777" w:rsidR="00D87FAF" w:rsidRPr="00D87FAF" w:rsidRDefault="00D87FAF" w:rsidP="002A34AC">
      <w:pPr>
        <w:keepNext/>
        <w:keepLines/>
        <w:spacing w:before="40" w:after="0" w:line="240" w:lineRule="auto"/>
        <w:outlineLvl w:val="1"/>
        <w:rPr>
          <w:rFonts w:ascii="Segoe UI" w:eastAsiaTheme="majorEastAsia" w:hAnsi="Segoe UI" w:cs="Segoe UI"/>
          <w:color w:val="2F5496" w:themeColor="accent1" w:themeShade="BF"/>
          <w:sz w:val="26"/>
          <w:szCs w:val="26"/>
          <w:lang w:eastAsia="en-GB"/>
        </w:rPr>
      </w:pPr>
      <w:r w:rsidRPr="00D87FAF">
        <w:rPr>
          <w:rFonts w:ascii="Segoe UI" w:eastAsiaTheme="majorEastAsia" w:hAnsi="Segoe UI" w:cs="Segoe UI"/>
          <w:color w:val="2F5496" w:themeColor="accent1" w:themeShade="BF"/>
          <w:sz w:val="26"/>
          <w:szCs w:val="26"/>
          <w:lang w:eastAsia="en-GB"/>
        </w:rPr>
        <w:t>Information guide for significant service change proposals</w:t>
      </w:r>
    </w:p>
    <w:p w14:paraId="264F1E30" w14:textId="523D25E8" w:rsidR="002A34AC" w:rsidRPr="003228F1" w:rsidRDefault="00D87FAF" w:rsidP="002A34AC">
      <w:pPr>
        <w:pStyle w:val="ListParagraph"/>
        <w:numPr>
          <w:ilvl w:val="1"/>
          <w:numId w:val="21"/>
        </w:numPr>
        <w:spacing w:before="180" w:after="0" w:line="240" w:lineRule="auto"/>
        <w:rPr>
          <w:rFonts w:ascii="Segoe UI" w:eastAsia="Times New Roman" w:hAnsi="Segoe UI" w:cs="Segoe UI"/>
          <w:sz w:val="21"/>
          <w:szCs w:val="24"/>
          <w:lang w:eastAsia="en-GB"/>
        </w:rPr>
      </w:pPr>
      <w:bookmarkStart w:id="42" w:name="_Ref38198078"/>
      <w:bookmarkStart w:id="43" w:name="_Hlk42787780"/>
      <w:r w:rsidRPr="003228F1">
        <w:rPr>
          <w:rFonts w:ascii="Segoe UI" w:eastAsia="Times New Roman" w:hAnsi="Segoe UI" w:cs="Segoe UI"/>
          <w:sz w:val="21"/>
          <w:szCs w:val="24"/>
          <w:lang w:eastAsia="en-GB"/>
        </w:rPr>
        <w:t xml:space="preserve">An information guideline for proposed significant service change is provided in Table </w:t>
      </w:r>
      <w:r w:rsidR="00DA3C95">
        <w:rPr>
          <w:rFonts w:ascii="Segoe UI" w:eastAsia="Times New Roman" w:hAnsi="Segoe UI" w:cs="Segoe UI"/>
          <w:sz w:val="21"/>
          <w:szCs w:val="24"/>
          <w:lang w:eastAsia="en-GB"/>
        </w:rPr>
        <w:t>1</w:t>
      </w:r>
      <w:r w:rsidRPr="003228F1">
        <w:rPr>
          <w:rFonts w:ascii="Segoe UI" w:eastAsia="Times New Roman" w:hAnsi="Segoe UI" w:cs="Segoe UI"/>
          <w:sz w:val="21"/>
          <w:szCs w:val="24"/>
          <w:lang w:eastAsia="en-GB"/>
        </w:rPr>
        <w:t>.</w:t>
      </w:r>
      <w:r w:rsidR="00DA3C95">
        <w:rPr>
          <w:rFonts w:ascii="Segoe UI" w:eastAsia="Times New Roman" w:hAnsi="Segoe UI" w:cs="Segoe UI"/>
          <w:sz w:val="21"/>
          <w:szCs w:val="24"/>
          <w:lang w:eastAsia="en-GB"/>
        </w:rPr>
        <w:t>2</w:t>
      </w:r>
      <w:r w:rsidR="00DA3C95" w:rsidRPr="003228F1">
        <w:rPr>
          <w:rFonts w:ascii="Segoe UI" w:eastAsia="Times New Roman" w:hAnsi="Segoe UI" w:cs="Segoe UI"/>
          <w:sz w:val="21"/>
          <w:szCs w:val="24"/>
          <w:lang w:eastAsia="en-GB"/>
        </w:rPr>
        <w:t xml:space="preserve"> </w:t>
      </w:r>
      <w:r w:rsidRPr="003228F1">
        <w:rPr>
          <w:rFonts w:ascii="Segoe UI" w:eastAsia="Times New Roman" w:hAnsi="Segoe UI" w:cs="Segoe UI"/>
          <w:sz w:val="21"/>
          <w:szCs w:val="24"/>
          <w:lang w:eastAsia="en-GB"/>
        </w:rPr>
        <w:t>below. An initial discussion will take place with the Ministry</w:t>
      </w:r>
      <w:r w:rsidR="00C123B1">
        <w:rPr>
          <w:rFonts w:ascii="Segoe UI" w:eastAsia="Times New Roman" w:hAnsi="Segoe UI" w:cs="Segoe UI"/>
          <w:sz w:val="21"/>
          <w:szCs w:val="24"/>
          <w:lang w:eastAsia="en-GB"/>
        </w:rPr>
        <w:t xml:space="preserve"> of Health</w:t>
      </w:r>
      <w:r w:rsidRPr="003228F1">
        <w:rPr>
          <w:rFonts w:ascii="Segoe UI" w:eastAsia="Times New Roman" w:hAnsi="Segoe UI" w:cs="Segoe UI"/>
          <w:sz w:val="21"/>
          <w:szCs w:val="24"/>
          <w:lang w:eastAsia="en-GB"/>
        </w:rPr>
        <w:t xml:space="preserve">, covering the relevant key points (bolded) of the proposed service change. Depending on the significance of the proposed change, the Ministry </w:t>
      </w:r>
      <w:r w:rsidR="00C123B1">
        <w:rPr>
          <w:rFonts w:ascii="Segoe UI" w:eastAsia="Times New Roman" w:hAnsi="Segoe UI" w:cs="Segoe UI"/>
          <w:sz w:val="21"/>
          <w:szCs w:val="24"/>
          <w:lang w:eastAsia="en-GB"/>
        </w:rPr>
        <w:t xml:space="preserve">of Health </w:t>
      </w:r>
      <w:r w:rsidRPr="003228F1">
        <w:rPr>
          <w:rFonts w:ascii="Segoe UI" w:eastAsia="Times New Roman" w:hAnsi="Segoe UI" w:cs="Segoe UI"/>
          <w:sz w:val="21"/>
          <w:szCs w:val="24"/>
          <w:lang w:eastAsia="en-GB"/>
        </w:rPr>
        <w:t xml:space="preserve">may ask for further information to facilitate timely decision-making before forwarding the proposal to the Minister for noting or decision-making. </w:t>
      </w:r>
    </w:p>
    <w:p w14:paraId="49462DF9" w14:textId="77777777" w:rsidR="002A34AC" w:rsidRPr="003228F1" w:rsidRDefault="002A34AC" w:rsidP="002A34AC">
      <w:pPr>
        <w:pStyle w:val="ListParagraph"/>
        <w:spacing w:before="180" w:after="0" w:line="240" w:lineRule="auto"/>
        <w:ind w:left="792"/>
        <w:rPr>
          <w:rFonts w:ascii="Segoe UI" w:eastAsia="Times New Roman" w:hAnsi="Segoe UI" w:cs="Segoe UI"/>
          <w:sz w:val="21"/>
          <w:szCs w:val="24"/>
          <w:lang w:eastAsia="en-GB"/>
        </w:rPr>
      </w:pPr>
    </w:p>
    <w:p w14:paraId="504AC88A" w14:textId="57F7096A" w:rsidR="00D87FAF" w:rsidRPr="003228F1" w:rsidRDefault="00D87FAF" w:rsidP="002A34AC">
      <w:pPr>
        <w:pStyle w:val="ListParagraph"/>
        <w:numPr>
          <w:ilvl w:val="1"/>
          <w:numId w:val="21"/>
        </w:numPr>
        <w:spacing w:before="180" w:after="0" w:line="240" w:lineRule="auto"/>
        <w:rPr>
          <w:rFonts w:ascii="Segoe UI" w:eastAsia="Times New Roman" w:hAnsi="Segoe UI" w:cs="Segoe UI"/>
          <w:sz w:val="21"/>
          <w:szCs w:val="24"/>
          <w:lang w:eastAsia="en-GB"/>
        </w:rPr>
      </w:pPr>
      <w:r w:rsidRPr="003228F1">
        <w:rPr>
          <w:rFonts w:ascii="Segoe UI" w:eastAsia="Times New Roman" w:hAnsi="Segoe UI" w:cs="Segoe UI"/>
          <w:sz w:val="21"/>
          <w:szCs w:val="24"/>
          <w:lang w:eastAsia="en-GB"/>
        </w:rPr>
        <w:t>The Ministry</w:t>
      </w:r>
      <w:r w:rsidRPr="003228F1" w:rsidDel="00615337">
        <w:rPr>
          <w:rFonts w:ascii="Segoe UI" w:eastAsia="Times New Roman" w:hAnsi="Segoe UI" w:cs="Segoe UI"/>
          <w:sz w:val="21"/>
          <w:szCs w:val="24"/>
          <w:lang w:eastAsia="en-GB"/>
        </w:rPr>
        <w:t xml:space="preserve"> </w:t>
      </w:r>
      <w:r w:rsidR="00C123B1">
        <w:rPr>
          <w:rFonts w:ascii="Segoe UI" w:eastAsia="Times New Roman" w:hAnsi="Segoe UI" w:cs="Segoe UI"/>
          <w:sz w:val="21"/>
          <w:szCs w:val="24"/>
          <w:lang w:eastAsia="en-GB"/>
        </w:rPr>
        <w:t xml:space="preserve">of Health </w:t>
      </w:r>
      <w:r w:rsidRPr="003228F1">
        <w:rPr>
          <w:rFonts w:ascii="Segoe UI" w:eastAsia="Times New Roman" w:hAnsi="Segoe UI" w:cs="Segoe UI"/>
          <w:sz w:val="21"/>
          <w:szCs w:val="24"/>
          <w:lang w:eastAsia="en-GB"/>
        </w:rPr>
        <w:t xml:space="preserve">will facilitate final sign-off in relation to any significant service change and, where applicable, the Minister will decide whether to give prior approval or approval in principle. </w:t>
      </w:r>
    </w:p>
    <w:p w14:paraId="5FFC404E" w14:textId="5E13AAB5" w:rsidR="00D87FAF" w:rsidRPr="00D87FAF" w:rsidRDefault="00D87FAF" w:rsidP="00D87FAF">
      <w:pPr>
        <w:keepNext/>
        <w:spacing w:before="120" w:after="120" w:line="240" w:lineRule="auto"/>
        <w:ind w:left="851" w:hanging="1135"/>
        <w:rPr>
          <w:rFonts w:ascii="Segoe UI" w:eastAsia="Times New Roman" w:hAnsi="Segoe UI" w:cs="Segoe UI"/>
          <w:b/>
          <w:sz w:val="20"/>
          <w:szCs w:val="20"/>
          <w:lang w:eastAsia="en-GB"/>
        </w:rPr>
      </w:pPr>
      <w:bookmarkStart w:id="44" w:name="_Toc43110712"/>
      <w:bookmarkEnd w:id="42"/>
      <w:bookmarkEnd w:id="43"/>
      <w:r w:rsidRPr="00D87FAF">
        <w:rPr>
          <w:rFonts w:ascii="Segoe UI" w:eastAsia="Times New Roman" w:hAnsi="Segoe UI" w:cs="Segoe UI"/>
          <w:b/>
          <w:sz w:val="20"/>
          <w:szCs w:val="20"/>
          <w:lang w:eastAsia="en-GB"/>
        </w:rPr>
        <w:lastRenderedPageBreak/>
        <w:t xml:space="preserve">Table </w:t>
      </w:r>
      <w:r w:rsidR="00A20DAC">
        <w:rPr>
          <w:rFonts w:ascii="Segoe UI" w:eastAsia="Times New Roman" w:hAnsi="Segoe UI" w:cs="Segoe UI"/>
          <w:b/>
          <w:sz w:val="20"/>
          <w:szCs w:val="20"/>
          <w:lang w:eastAsia="en-GB"/>
        </w:rPr>
        <w:t>1</w:t>
      </w:r>
      <w:r w:rsidRPr="00D87FAF">
        <w:rPr>
          <w:rFonts w:ascii="Segoe UI" w:eastAsia="Times New Roman" w:hAnsi="Segoe UI" w:cs="Segoe UI"/>
          <w:b/>
          <w:sz w:val="20"/>
          <w:szCs w:val="20"/>
          <w:lang w:eastAsia="en-GB"/>
        </w:rPr>
        <w:t>.</w:t>
      </w:r>
      <w:r w:rsidR="00A20DAC">
        <w:rPr>
          <w:rFonts w:ascii="Segoe UI" w:eastAsia="Times New Roman" w:hAnsi="Segoe UI" w:cs="Segoe UI"/>
          <w:b/>
          <w:sz w:val="20"/>
          <w:szCs w:val="20"/>
          <w:lang w:eastAsia="en-GB"/>
        </w:rPr>
        <w:t>2</w:t>
      </w:r>
      <w:r w:rsidRPr="00D87FAF">
        <w:rPr>
          <w:rFonts w:ascii="Segoe UI" w:eastAsia="Times New Roman" w:hAnsi="Segoe UI" w:cs="Segoe UI"/>
          <w:b/>
          <w:sz w:val="20"/>
          <w:szCs w:val="20"/>
          <w:lang w:eastAsia="en-GB"/>
        </w:rPr>
        <w:t>: Information guideline for early discussion of a proposed service change</w:t>
      </w:r>
      <w:bookmarkEnd w:id="44"/>
    </w:p>
    <w:tbl>
      <w:tblPr>
        <w:tblW w:w="8506" w:type="dxa"/>
        <w:tblInd w:w="-284"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8506"/>
      </w:tblGrid>
      <w:tr w:rsidR="00D87FAF" w:rsidRPr="00D87FAF" w14:paraId="71FE388A" w14:textId="77777777" w:rsidTr="00BC16EB">
        <w:trPr>
          <w:cantSplit/>
        </w:trPr>
        <w:tc>
          <w:tcPr>
            <w:tcW w:w="8506" w:type="dxa"/>
            <w:tcBorders>
              <w:top w:val="single" w:sz="4" w:space="0" w:color="A6A6A6" w:themeColor="background1" w:themeShade="A6"/>
              <w:bottom w:val="nil"/>
            </w:tcBorders>
            <w:shd w:val="clear" w:color="auto" w:fill="auto"/>
          </w:tcPr>
          <w:p w14:paraId="6B3BD8EF" w14:textId="77777777" w:rsidR="00D87FAF" w:rsidRPr="00D87FAF" w:rsidRDefault="00D87FAF" w:rsidP="00D87FAF">
            <w:pPr>
              <w:keepNext/>
              <w:spacing w:before="60" w:after="60" w:line="240" w:lineRule="auto"/>
              <w:rPr>
                <w:rFonts w:ascii="Segoe UI" w:eastAsia="Times New Roman" w:hAnsi="Segoe UI" w:cs="Segoe UI"/>
                <w:b/>
                <w:sz w:val="18"/>
                <w:szCs w:val="20"/>
                <w:lang w:eastAsia="en-GB"/>
              </w:rPr>
            </w:pPr>
            <w:bookmarkStart w:id="45" w:name="_Hlk40527994"/>
            <w:bookmarkStart w:id="46" w:name="_Hlk42787818"/>
            <w:r w:rsidRPr="00D87FAF">
              <w:rPr>
                <w:rFonts w:ascii="Segoe UI" w:eastAsia="Times New Roman" w:hAnsi="Segoe UI" w:cs="Segoe UI"/>
                <w:b/>
                <w:sz w:val="18"/>
                <w:szCs w:val="20"/>
                <w:lang w:eastAsia="en-GB"/>
              </w:rPr>
              <w:t>a.</w:t>
            </w:r>
            <w:r w:rsidRPr="00D87FAF">
              <w:rPr>
                <w:rFonts w:ascii="Segoe UI" w:eastAsia="Times New Roman" w:hAnsi="Segoe UI" w:cs="Segoe UI"/>
                <w:b/>
                <w:sz w:val="18"/>
                <w:szCs w:val="20"/>
                <w:lang w:eastAsia="en-GB"/>
              </w:rPr>
              <w:tab/>
              <w:t>Name and nature of the proposed service change</w:t>
            </w:r>
          </w:p>
        </w:tc>
      </w:tr>
      <w:tr w:rsidR="00D87FAF" w:rsidRPr="00D87FAF" w14:paraId="6D868509" w14:textId="77777777" w:rsidTr="00BC16EB">
        <w:trPr>
          <w:cantSplit/>
        </w:trPr>
        <w:tc>
          <w:tcPr>
            <w:tcW w:w="8506" w:type="dxa"/>
            <w:tcBorders>
              <w:top w:val="nil"/>
              <w:bottom w:val="single" w:sz="4" w:space="0" w:color="A6A6A6" w:themeColor="background1" w:themeShade="A6"/>
            </w:tcBorders>
            <w:shd w:val="clear" w:color="auto" w:fill="auto"/>
          </w:tcPr>
          <w:p w14:paraId="40CBFFBE" w14:textId="77777777" w:rsidR="00D87FAF" w:rsidRPr="00D87FAF" w:rsidRDefault="00D87FAF" w:rsidP="00D87FAF">
            <w:pPr>
              <w:spacing w:before="60" w:after="60" w:line="240" w:lineRule="auto"/>
              <w:ind w:left="567"/>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The proposal description may include:</w:t>
            </w:r>
          </w:p>
          <w:p w14:paraId="6D1EEE5E" w14:textId="590C47EE"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the relationship with and alignment to the Health Strategies, NZ Disability Strategy, Health Needs Assessment,</w:t>
            </w:r>
            <w:r w:rsidR="00EF1C89">
              <w:rPr>
                <w:rFonts w:ascii="Segoe UI" w:eastAsia="Times New Roman" w:hAnsi="Segoe UI" w:cs="Segoe UI"/>
                <w:sz w:val="18"/>
                <w:szCs w:val="20"/>
                <w:lang w:eastAsia="en-GB"/>
              </w:rPr>
              <w:t xml:space="preserve"> Government Policy Statement on Health</w:t>
            </w:r>
            <w:r w:rsidRPr="00D87FAF">
              <w:rPr>
                <w:rFonts w:ascii="Segoe UI" w:eastAsia="Times New Roman" w:hAnsi="Segoe UI" w:cs="Segoe UI"/>
                <w:sz w:val="18"/>
                <w:szCs w:val="20"/>
                <w:lang w:eastAsia="en-GB"/>
              </w:rPr>
              <w:t xml:space="preserve"> Health New Zealand Plan, prioritisation processes</w:t>
            </w:r>
          </w:p>
          <w:p w14:paraId="56AB7DE3"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implementation timeframe</w:t>
            </w:r>
          </w:p>
          <w:p w14:paraId="0C09637B"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proposal scale – is it a change to an existing or new local, regional, or national service? Confirm the current service cover will not be diminished.</w:t>
            </w:r>
          </w:p>
          <w:p w14:paraId="5F3A1C61"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the affected community/population</w:t>
            </w:r>
          </w:p>
          <w:p w14:paraId="535FA601"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other stakeholders who will have input into the proposal.</w:t>
            </w:r>
          </w:p>
          <w:p w14:paraId="17705C5E"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the consultation process proposed.</w:t>
            </w:r>
          </w:p>
          <w:p w14:paraId="4C943A1F"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why the service change has been proposed (rationale for change).</w:t>
            </w:r>
          </w:p>
        </w:tc>
      </w:tr>
      <w:bookmarkEnd w:id="45"/>
      <w:tr w:rsidR="00D87FAF" w:rsidRPr="00D87FAF" w14:paraId="17BA13F8" w14:textId="77777777" w:rsidTr="00BC16EB">
        <w:trPr>
          <w:cantSplit/>
        </w:trPr>
        <w:tc>
          <w:tcPr>
            <w:tcW w:w="8506" w:type="dxa"/>
            <w:tcBorders>
              <w:top w:val="single" w:sz="4" w:space="0" w:color="A6A6A6" w:themeColor="background1" w:themeShade="A6"/>
              <w:bottom w:val="nil"/>
            </w:tcBorders>
            <w:shd w:val="clear" w:color="auto" w:fill="auto"/>
          </w:tcPr>
          <w:p w14:paraId="5CAA98F0" w14:textId="77777777" w:rsidR="00D87FAF" w:rsidRPr="00D87FAF" w:rsidRDefault="00D87FAF" w:rsidP="00D87FAF">
            <w:pPr>
              <w:spacing w:before="60" w:after="60" w:line="240" w:lineRule="auto"/>
              <w:rPr>
                <w:rFonts w:ascii="Segoe UI" w:eastAsia="Times New Roman" w:hAnsi="Segoe UI" w:cs="Segoe UI"/>
                <w:b/>
                <w:sz w:val="18"/>
                <w:szCs w:val="20"/>
                <w:lang w:eastAsia="en-GB"/>
              </w:rPr>
            </w:pPr>
            <w:r w:rsidRPr="00D87FAF">
              <w:rPr>
                <w:rFonts w:ascii="Segoe UI" w:eastAsia="Times New Roman" w:hAnsi="Segoe UI" w:cs="Segoe UI"/>
                <w:b/>
                <w:sz w:val="18"/>
                <w:szCs w:val="20"/>
                <w:lang w:eastAsia="en-GB"/>
              </w:rPr>
              <w:t>b.</w:t>
            </w:r>
            <w:r w:rsidRPr="00D87FAF">
              <w:rPr>
                <w:rFonts w:ascii="Segoe UI" w:eastAsia="Times New Roman" w:hAnsi="Segoe UI" w:cs="Segoe UI"/>
                <w:b/>
                <w:sz w:val="18"/>
                <w:szCs w:val="20"/>
                <w:lang w:eastAsia="en-GB"/>
              </w:rPr>
              <w:tab/>
            </w:r>
            <w:bookmarkStart w:id="47" w:name="_Hlk40527050"/>
            <w:r w:rsidRPr="00D87FAF">
              <w:rPr>
                <w:rFonts w:ascii="Segoe UI" w:eastAsia="Times New Roman" w:hAnsi="Segoe UI" w:cs="Segoe UI"/>
                <w:b/>
                <w:sz w:val="18"/>
                <w:szCs w:val="20"/>
                <w:lang w:eastAsia="en-GB"/>
              </w:rPr>
              <w:t>Describe the collaboration process in planning the service</w:t>
            </w:r>
            <w:bookmarkEnd w:id="47"/>
          </w:p>
        </w:tc>
      </w:tr>
      <w:tr w:rsidR="00D87FAF" w:rsidRPr="00D87FAF" w14:paraId="266CB2C1" w14:textId="77777777" w:rsidTr="00BC16EB">
        <w:trPr>
          <w:cantSplit/>
        </w:trPr>
        <w:tc>
          <w:tcPr>
            <w:tcW w:w="8506" w:type="dxa"/>
            <w:tcBorders>
              <w:top w:val="nil"/>
              <w:bottom w:val="single" w:sz="4" w:space="0" w:color="A6A6A6" w:themeColor="background1" w:themeShade="A6"/>
            </w:tcBorders>
            <w:shd w:val="clear" w:color="auto" w:fill="auto"/>
          </w:tcPr>
          <w:p w14:paraId="589CD055" w14:textId="77777777" w:rsidR="00D87FAF" w:rsidRPr="00D87FAF" w:rsidRDefault="00D87FAF" w:rsidP="00D87FAF">
            <w:pPr>
              <w:spacing w:before="60" w:after="60" w:line="240" w:lineRule="auto"/>
              <w:ind w:left="567"/>
              <w:rPr>
                <w:rFonts w:ascii="Segoe UI" w:eastAsia="Times New Roman" w:hAnsi="Segoe UI" w:cs="Segoe UI"/>
                <w:sz w:val="18"/>
                <w:szCs w:val="20"/>
                <w:lang w:eastAsia="en-GB"/>
              </w:rPr>
            </w:pPr>
            <w:bookmarkStart w:id="48" w:name="_Hlk40527684"/>
            <w:bookmarkStart w:id="49" w:name="_Hlk40527799"/>
            <w:r w:rsidRPr="00D87FAF">
              <w:rPr>
                <w:rFonts w:ascii="Segoe UI" w:eastAsia="Times New Roman" w:hAnsi="Segoe UI" w:cs="Segoe UI"/>
                <w:sz w:val="18"/>
                <w:szCs w:val="20"/>
                <w:lang w:eastAsia="en-GB"/>
              </w:rPr>
              <w:t>Consider and include the following as appropriate:</w:t>
            </w:r>
          </w:p>
          <w:p w14:paraId="12F13269"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bookmarkStart w:id="50" w:name="_Hlk40527238"/>
            <w:r w:rsidRPr="00D87FAF">
              <w:rPr>
                <w:rFonts w:ascii="Segoe UI" w:eastAsia="Times New Roman" w:hAnsi="Segoe UI" w:cs="Segoe UI"/>
                <w:sz w:val="18"/>
                <w:szCs w:val="20"/>
                <w:lang w:eastAsia="en-GB"/>
              </w:rPr>
              <w:t>how you will demonstrate the effectiveness of the funding mechanisms to achieve the aims of planning services (local, regional or national) collaboratively</w:t>
            </w:r>
          </w:p>
          <w:bookmarkEnd w:id="48"/>
          <w:bookmarkEnd w:id="49"/>
          <w:bookmarkEnd w:id="50"/>
          <w:p w14:paraId="4A279E57" w14:textId="77777777" w:rsidR="00D87FAF" w:rsidRPr="00D87FAF" w:rsidRDefault="00D87FAF" w:rsidP="00D87FAF">
            <w:pPr>
              <w:tabs>
                <w:tab w:val="num" w:pos="284"/>
              </w:tabs>
              <w:spacing w:after="3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what agreement on the proposed service change (where necessary) is to be reached with stakeholder and the Ministry:</w:t>
            </w:r>
          </w:p>
          <w:p w14:paraId="6CF25249" w14:textId="77777777" w:rsidR="00D87FAF" w:rsidRPr="00D87FAF" w:rsidRDefault="00D87FAF" w:rsidP="00D87FAF">
            <w:pPr>
              <w:tabs>
                <w:tab w:val="num" w:pos="567"/>
              </w:tabs>
              <w:spacing w:after="30" w:line="240" w:lineRule="auto"/>
              <w:ind w:left="1135" w:hanging="284"/>
              <w:rPr>
                <w:rFonts w:ascii="Segoe UI" w:eastAsia="Times New Roman" w:hAnsi="Segoe UI" w:cs="Segoe UI"/>
                <w:sz w:val="18"/>
                <w:lang w:eastAsia="en-GB"/>
              </w:rPr>
            </w:pPr>
            <w:r w:rsidRPr="00D87FAF">
              <w:rPr>
                <w:rFonts w:ascii="Segoe UI" w:eastAsia="Times New Roman" w:hAnsi="Segoe UI" w:cs="Segoe UI"/>
                <w:sz w:val="18"/>
                <w:lang w:eastAsia="en-GB"/>
              </w:rPr>
              <w:t>the proposed effect on service volumes/capacity</w:t>
            </w:r>
          </w:p>
          <w:p w14:paraId="274B9CD4" w14:textId="77777777" w:rsidR="00D87FAF" w:rsidRPr="00D87FAF" w:rsidRDefault="00D87FAF" w:rsidP="00D87FAF">
            <w:pPr>
              <w:tabs>
                <w:tab w:val="num" w:pos="567"/>
              </w:tabs>
              <w:spacing w:after="30" w:line="240" w:lineRule="auto"/>
              <w:ind w:left="1135" w:hanging="284"/>
              <w:rPr>
                <w:rFonts w:ascii="Segoe UI" w:eastAsia="Times New Roman" w:hAnsi="Segoe UI" w:cs="Segoe UI"/>
                <w:sz w:val="18"/>
                <w:lang w:eastAsia="en-GB"/>
              </w:rPr>
            </w:pPr>
            <w:r w:rsidRPr="00D87FAF">
              <w:rPr>
                <w:rFonts w:ascii="Segoe UI" w:eastAsia="Times New Roman" w:hAnsi="Segoe UI" w:cs="Segoe UI"/>
                <w:sz w:val="18"/>
                <w:lang w:eastAsia="en-GB"/>
              </w:rPr>
              <w:t>funding arrangements</w:t>
            </w:r>
          </w:p>
          <w:p w14:paraId="1ACC307C" w14:textId="77777777" w:rsidR="00D87FAF" w:rsidRPr="00D87FAF" w:rsidRDefault="00D87FAF" w:rsidP="00D87FAF">
            <w:pPr>
              <w:tabs>
                <w:tab w:val="num" w:pos="567"/>
              </w:tabs>
              <w:spacing w:after="30" w:line="240" w:lineRule="auto"/>
              <w:ind w:left="1135" w:hanging="284"/>
              <w:rPr>
                <w:rFonts w:ascii="Segoe UI" w:eastAsia="Times New Roman" w:hAnsi="Segoe UI" w:cs="Segoe UI"/>
                <w:sz w:val="18"/>
                <w:lang w:eastAsia="en-GB"/>
              </w:rPr>
            </w:pPr>
            <w:r w:rsidRPr="00D87FAF">
              <w:rPr>
                <w:rFonts w:ascii="Segoe UI" w:eastAsia="Times New Roman" w:hAnsi="Segoe UI" w:cs="Segoe UI"/>
                <w:sz w:val="18"/>
                <w:lang w:eastAsia="en-GB"/>
              </w:rPr>
              <w:t>changes to access and eligibility of recipients of the services (if any)</w:t>
            </w:r>
          </w:p>
        </w:tc>
      </w:tr>
      <w:tr w:rsidR="00D87FAF" w:rsidRPr="00D87FAF" w14:paraId="64388280" w14:textId="77777777" w:rsidTr="00BC16EB">
        <w:trPr>
          <w:cantSplit/>
        </w:trPr>
        <w:tc>
          <w:tcPr>
            <w:tcW w:w="8506" w:type="dxa"/>
            <w:tcBorders>
              <w:top w:val="single" w:sz="4" w:space="0" w:color="A6A6A6" w:themeColor="background1" w:themeShade="A6"/>
              <w:bottom w:val="nil"/>
            </w:tcBorders>
            <w:shd w:val="clear" w:color="auto" w:fill="auto"/>
          </w:tcPr>
          <w:p w14:paraId="33126850" w14:textId="77777777" w:rsidR="00D87FAF" w:rsidRPr="00D87FAF" w:rsidRDefault="00D87FAF" w:rsidP="00D87FAF">
            <w:pPr>
              <w:spacing w:before="60" w:after="60" w:line="240" w:lineRule="auto"/>
              <w:rPr>
                <w:rFonts w:ascii="Segoe UI" w:eastAsia="Times New Roman" w:hAnsi="Segoe UI" w:cs="Segoe UI"/>
                <w:b/>
                <w:sz w:val="18"/>
                <w:szCs w:val="20"/>
                <w:lang w:eastAsia="en-GB"/>
              </w:rPr>
            </w:pPr>
            <w:r w:rsidRPr="00D87FAF">
              <w:rPr>
                <w:rFonts w:ascii="Segoe UI" w:eastAsia="Times New Roman" w:hAnsi="Segoe UI" w:cs="Segoe UI"/>
                <w:b/>
                <w:sz w:val="18"/>
                <w:szCs w:val="20"/>
                <w:lang w:eastAsia="en-GB"/>
              </w:rPr>
              <w:t>c.</w:t>
            </w:r>
            <w:r w:rsidRPr="00D87FAF">
              <w:rPr>
                <w:rFonts w:ascii="Segoe UI" w:eastAsia="Times New Roman" w:hAnsi="Segoe UI" w:cs="Segoe UI"/>
                <w:b/>
                <w:sz w:val="18"/>
                <w:szCs w:val="20"/>
                <w:lang w:eastAsia="en-GB"/>
              </w:rPr>
              <w:tab/>
              <w:t>Consider the impact on community/population</w:t>
            </w:r>
          </w:p>
        </w:tc>
      </w:tr>
      <w:tr w:rsidR="00D87FAF" w:rsidRPr="00D87FAF" w14:paraId="7CF306D8" w14:textId="77777777" w:rsidTr="00BC16EB">
        <w:trPr>
          <w:cantSplit/>
        </w:trPr>
        <w:tc>
          <w:tcPr>
            <w:tcW w:w="8506" w:type="dxa"/>
            <w:tcBorders>
              <w:top w:val="nil"/>
              <w:bottom w:val="single" w:sz="4" w:space="0" w:color="A6A6A6" w:themeColor="background1" w:themeShade="A6"/>
            </w:tcBorders>
            <w:shd w:val="clear" w:color="auto" w:fill="auto"/>
          </w:tcPr>
          <w:p w14:paraId="66F3669A" w14:textId="77777777" w:rsidR="00D87FAF" w:rsidRPr="00D87FAF" w:rsidRDefault="00D87FAF" w:rsidP="00D87FAF">
            <w:pPr>
              <w:spacing w:before="60" w:after="60" w:line="240" w:lineRule="auto"/>
              <w:ind w:left="567"/>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Including but not limited to:</w:t>
            </w:r>
          </w:p>
          <w:p w14:paraId="22B416B0"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health outcomes/inequities</w:t>
            </w:r>
          </w:p>
          <w:p w14:paraId="71D71143"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Māori</w:t>
            </w:r>
          </w:p>
          <w:p w14:paraId="62BE2170"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 xml:space="preserve">Pacific peoples </w:t>
            </w:r>
          </w:p>
          <w:p w14:paraId="3315A752"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disabled people, and their family and whānau</w:t>
            </w:r>
          </w:p>
          <w:p w14:paraId="60C0C243" w14:textId="39EC7F20"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rural populations</w:t>
            </w:r>
          </w:p>
          <w:p w14:paraId="04FD7110" w14:textId="52C59064" w:rsidR="00EF1C89" w:rsidRDefault="00EF1C89" w:rsidP="00D87FAF">
            <w:pPr>
              <w:tabs>
                <w:tab w:val="num" w:pos="284"/>
              </w:tabs>
              <w:spacing w:after="60" w:line="240" w:lineRule="auto"/>
              <w:ind w:left="851" w:hanging="284"/>
              <w:rPr>
                <w:rFonts w:ascii="Segoe UI" w:eastAsia="Times New Roman" w:hAnsi="Segoe UI" w:cs="Segoe UI"/>
                <w:sz w:val="18"/>
                <w:szCs w:val="20"/>
                <w:lang w:eastAsia="en-GB"/>
              </w:rPr>
            </w:pPr>
            <w:r>
              <w:rPr>
                <w:rFonts w:ascii="Segoe UI" w:eastAsia="Times New Roman" w:hAnsi="Segoe UI" w:cs="Segoe UI"/>
                <w:sz w:val="18"/>
                <w:szCs w:val="20"/>
                <w:lang w:eastAsia="en-GB"/>
              </w:rPr>
              <w:t>women</w:t>
            </w:r>
          </w:p>
          <w:p w14:paraId="5DE97D7F"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other equity population groups</w:t>
            </w:r>
          </w:p>
          <w:p w14:paraId="61806653"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access to services</w:t>
            </w:r>
          </w:p>
          <w:p w14:paraId="15E25B4B"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eligibility</w:t>
            </w:r>
          </w:p>
          <w:p w14:paraId="27D4F742"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consumer choice</w:t>
            </w:r>
          </w:p>
          <w:p w14:paraId="301E5C7E"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quality of services</w:t>
            </w:r>
          </w:p>
          <w:p w14:paraId="17CF2C7C"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costs (including opportunity costs faced by consumers)</w:t>
            </w:r>
          </w:p>
          <w:p w14:paraId="01EA5B4E"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likely perspective of community/population and other stakeholders</w:t>
            </w:r>
          </w:p>
          <w:p w14:paraId="16BD730A"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clinical appropriateness and clinical perspective.</w:t>
            </w:r>
          </w:p>
        </w:tc>
      </w:tr>
      <w:tr w:rsidR="00D87FAF" w:rsidRPr="00D87FAF" w14:paraId="385A62A5" w14:textId="77777777" w:rsidTr="00BC16EB">
        <w:trPr>
          <w:cantSplit/>
        </w:trPr>
        <w:tc>
          <w:tcPr>
            <w:tcW w:w="8506" w:type="dxa"/>
            <w:tcBorders>
              <w:top w:val="single" w:sz="4" w:space="0" w:color="A6A6A6" w:themeColor="background1" w:themeShade="A6"/>
              <w:bottom w:val="nil"/>
            </w:tcBorders>
            <w:shd w:val="clear" w:color="auto" w:fill="auto"/>
          </w:tcPr>
          <w:p w14:paraId="125A96DD" w14:textId="77777777" w:rsidR="00D87FAF" w:rsidRPr="00D87FAF" w:rsidRDefault="00D87FAF" w:rsidP="00D87FAF">
            <w:pPr>
              <w:keepNext/>
              <w:spacing w:before="60" w:after="60" w:line="240" w:lineRule="auto"/>
              <w:rPr>
                <w:rFonts w:ascii="Segoe UI" w:eastAsia="Times New Roman" w:hAnsi="Segoe UI" w:cs="Segoe UI"/>
                <w:b/>
                <w:sz w:val="18"/>
                <w:szCs w:val="20"/>
                <w:lang w:eastAsia="en-GB"/>
              </w:rPr>
            </w:pPr>
            <w:r w:rsidRPr="00D87FAF">
              <w:rPr>
                <w:rFonts w:ascii="Segoe UI" w:eastAsia="Times New Roman" w:hAnsi="Segoe UI" w:cs="Segoe UI"/>
                <w:b/>
                <w:sz w:val="18"/>
                <w:szCs w:val="20"/>
                <w:lang w:eastAsia="en-GB"/>
              </w:rPr>
              <w:t>d.</w:t>
            </w:r>
            <w:r w:rsidRPr="00D87FAF">
              <w:rPr>
                <w:rFonts w:ascii="Segoe UI" w:eastAsia="Times New Roman" w:hAnsi="Segoe UI" w:cs="Segoe UI"/>
                <w:b/>
                <w:sz w:val="18"/>
                <w:szCs w:val="20"/>
                <w:lang w:eastAsia="en-GB"/>
              </w:rPr>
              <w:tab/>
              <w:t xml:space="preserve">What is the impact on your organisation? </w:t>
            </w:r>
          </w:p>
        </w:tc>
      </w:tr>
      <w:tr w:rsidR="00D87FAF" w:rsidRPr="00D87FAF" w14:paraId="5E84F564" w14:textId="77777777" w:rsidTr="00BC16EB">
        <w:trPr>
          <w:cantSplit/>
        </w:trPr>
        <w:tc>
          <w:tcPr>
            <w:tcW w:w="8506" w:type="dxa"/>
            <w:tcBorders>
              <w:top w:val="nil"/>
              <w:bottom w:val="single" w:sz="4" w:space="0" w:color="A6A6A6" w:themeColor="background1" w:themeShade="A6"/>
            </w:tcBorders>
            <w:shd w:val="clear" w:color="auto" w:fill="auto"/>
          </w:tcPr>
          <w:p w14:paraId="7E871CEB" w14:textId="77777777" w:rsidR="00D87FAF" w:rsidRPr="00D87FAF" w:rsidRDefault="00D87FAF" w:rsidP="00D87FAF">
            <w:pPr>
              <w:spacing w:before="60" w:after="60" w:line="240" w:lineRule="auto"/>
              <w:ind w:left="567"/>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Consider:</w:t>
            </w:r>
          </w:p>
          <w:p w14:paraId="206D606E"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clinical impact analysis</w:t>
            </w:r>
          </w:p>
          <w:p w14:paraId="1F191595"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patient impact analysis</w:t>
            </w:r>
          </w:p>
          <w:p w14:paraId="205DC2C2" w14:textId="06FC71BF"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 xml:space="preserve">revenue </w:t>
            </w:r>
            <w:r w:rsidR="00E3665D">
              <w:rPr>
                <w:rFonts w:ascii="Segoe UI" w:eastAsia="Times New Roman" w:hAnsi="Segoe UI" w:cs="Segoe UI"/>
                <w:sz w:val="18"/>
                <w:szCs w:val="20"/>
                <w:lang w:eastAsia="en-GB"/>
              </w:rPr>
              <w:t xml:space="preserve">and cost </w:t>
            </w:r>
            <w:r w:rsidR="001860B2">
              <w:rPr>
                <w:rFonts w:ascii="Segoe UI" w:eastAsia="Times New Roman" w:hAnsi="Segoe UI" w:cs="Segoe UI"/>
                <w:sz w:val="18"/>
                <w:szCs w:val="20"/>
                <w:lang w:eastAsia="en-GB"/>
              </w:rPr>
              <w:t xml:space="preserve">incremental </w:t>
            </w:r>
            <w:r w:rsidRPr="00D87FAF">
              <w:rPr>
                <w:rFonts w:ascii="Segoe UI" w:eastAsia="Times New Roman" w:hAnsi="Segoe UI" w:cs="Segoe UI"/>
                <w:sz w:val="18"/>
                <w:szCs w:val="20"/>
                <w:lang w:eastAsia="en-GB"/>
              </w:rPr>
              <w:t xml:space="preserve">impact analysis, net present value, </w:t>
            </w:r>
            <w:r w:rsidR="001860B2">
              <w:rPr>
                <w:rFonts w:ascii="Segoe UI" w:eastAsia="Times New Roman" w:hAnsi="Segoe UI" w:cs="Segoe UI"/>
                <w:sz w:val="18"/>
                <w:szCs w:val="20"/>
                <w:lang w:eastAsia="en-GB"/>
              </w:rPr>
              <w:t>realistic forecast</w:t>
            </w:r>
            <w:r w:rsidR="001860B2" w:rsidRPr="00D87FAF">
              <w:rPr>
                <w:rFonts w:ascii="Segoe UI" w:eastAsia="Times New Roman" w:hAnsi="Segoe UI" w:cs="Segoe UI"/>
                <w:sz w:val="18"/>
                <w:szCs w:val="20"/>
                <w:lang w:eastAsia="en-GB"/>
              </w:rPr>
              <w:t xml:space="preserve"> </w:t>
            </w:r>
            <w:r w:rsidRPr="00D87FAF">
              <w:rPr>
                <w:rFonts w:ascii="Segoe UI" w:eastAsia="Times New Roman" w:hAnsi="Segoe UI" w:cs="Segoe UI"/>
                <w:sz w:val="18"/>
                <w:szCs w:val="20"/>
                <w:lang w:eastAsia="en-GB"/>
              </w:rPr>
              <w:t>financial impact</w:t>
            </w:r>
          </w:p>
          <w:p w14:paraId="480546D8"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workforce implications</w:t>
            </w:r>
          </w:p>
          <w:p w14:paraId="0D7BB96B"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infrastructure (such as buildings, information systems).</w:t>
            </w:r>
          </w:p>
        </w:tc>
      </w:tr>
      <w:tr w:rsidR="00D87FAF" w:rsidRPr="00D87FAF" w14:paraId="43A616D9" w14:textId="77777777" w:rsidTr="00BC16EB">
        <w:trPr>
          <w:cantSplit/>
        </w:trPr>
        <w:tc>
          <w:tcPr>
            <w:tcW w:w="8506" w:type="dxa"/>
            <w:tcBorders>
              <w:top w:val="single" w:sz="4" w:space="0" w:color="A6A6A6" w:themeColor="background1" w:themeShade="A6"/>
              <w:bottom w:val="nil"/>
            </w:tcBorders>
            <w:shd w:val="clear" w:color="auto" w:fill="auto"/>
          </w:tcPr>
          <w:p w14:paraId="2DC6EE06" w14:textId="77777777" w:rsidR="00D87FAF" w:rsidRPr="00D87FAF" w:rsidRDefault="00D87FAF" w:rsidP="00D87FAF">
            <w:pPr>
              <w:spacing w:before="60" w:after="60" w:line="240" w:lineRule="auto"/>
              <w:rPr>
                <w:rFonts w:ascii="Segoe UI" w:eastAsia="Times New Roman" w:hAnsi="Segoe UI" w:cs="Segoe UI"/>
                <w:b/>
                <w:sz w:val="18"/>
                <w:szCs w:val="20"/>
                <w:lang w:eastAsia="en-GB"/>
              </w:rPr>
            </w:pPr>
            <w:r w:rsidRPr="00D87FAF">
              <w:rPr>
                <w:rFonts w:ascii="Segoe UI" w:eastAsia="Times New Roman" w:hAnsi="Segoe UI" w:cs="Segoe UI"/>
                <w:b/>
                <w:sz w:val="18"/>
                <w:szCs w:val="20"/>
                <w:lang w:eastAsia="en-GB"/>
              </w:rPr>
              <w:lastRenderedPageBreak/>
              <w:t>e.</w:t>
            </w:r>
            <w:r w:rsidRPr="00D87FAF">
              <w:rPr>
                <w:rFonts w:ascii="Segoe UI" w:eastAsia="Times New Roman" w:hAnsi="Segoe UI" w:cs="Segoe UI"/>
                <w:b/>
                <w:sz w:val="18"/>
                <w:szCs w:val="20"/>
                <w:lang w:eastAsia="en-GB"/>
              </w:rPr>
              <w:tab/>
              <w:t>What is the impact on NGO providers, including Māori and Pacific providers?</w:t>
            </w:r>
          </w:p>
        </w:tc>
      </w:tr>
      <w:tr w:rsidR="00D87FAF" w:rsidRPr="00D87FAF" w14:paraId="02EE89AD" w14:textId="77777777" w:rsidTr="00BC16EB">
        <w:trPr>
          <w:cantSplit/>
        </w:trPr>
        <w:tc>
          <w:tcPr>
            <w:tcW w:w="8506" w:type="dxa"/>
            <w:tcBorders>
              <w:top w:val="nil"/>
              <w:bottom w:val="single" w:sz="4" w:space="0" w:color="A6A6A6" w:themeColor="background1" w:themeShade="A6"/>
            </w:tcBorders>
            <w:shd w:val="clear" w:color="auto" w:fill="auto"/>
          </w:tcPr>
          <w:p w14:paraId="55C76549" w14:textId="77777777" w:rsidR="00D87FAF" w:rsidRPr="00D87FAF" w:rsidRDefault="00D87FAF" w:rsidP="00D87FAF">
            <w:pPr>
              <w:spacing w:before="60" w:after="60" w:line="240" w:lineRule="auto"/>
              <w:ind w:left="567"/>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Consider:</w:t>
            </w:r>
          </w:p>
          <w:p w14:paraId="5D859548"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clinical impact analysis</w:t>
            </w:r>
          </w:p>
          <w:p w14:paraId="68BCDD58"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patient impact analysis</w:t>
            </w:r>
          </w:p>
          <w:p w14:paraId="6420EA8D" w14:textId="24BCA27A" w:rsidR="00D87FAF" w:rsidRPr="00D87FAF" w:rsidRDefault="0085316D"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 xml:space="preserve">revenue </w:t>
            </w:r>
            <w:r>
              <w:rPr>
                <w:rFonts w:ascii="Segoe UI" w:eastAsia="Times New Roman" w:hAnsi="Segoe UI" w:cs="Segoe UI"/>
                <w:sz w:val="18"/>
                <w:szCs w:val="20"/>
                <w:lang w:eastAsia="en-GB"/>
              </w:rPr>
              <w:t xml:space="preserve">and cost incremental </w:t>
            </w:r>
            <w:r w:rsidRPr="00D87FAF">
              <w:rPr>
                <w:rFonts w:ascii="Segoe UI" w:eastAsia="Times New Roman" w:hAnsi="Segoe UI" w:cs="Segoe UI"/>
                <w:sz w:val="18"/>
                <w:szCs w:val="20"/>
                <w:lang w:eastAsia="en-GB"/>
              </w:rPr>
              <w:t xml:space="preserve">impact analysis, net present value, </w:t>
            </w:r>
            <w:r>
              <w:rPr>
                <w:rFonts w:ascii="Segoe UI" w:eastAsia="Times New Roman" w:hAnsi="Segoe UI" w:cs="Segoe UI"/>
                <w:sz w:val="18"/>
                <w:szCs w:val="20"/>
                <w:lang w:eastAsia="en-GB"/>
              </w:rPr>
              <w:t>realistic forecast</w:t>
            </w:r>
            <w:r w:rsidRPr="00D87FAF">
              <w:rPr>
                <w:rFonts w:ascii="Segoe UI" w:eastAsia="Times New Roman" w:hAnsi="Segoe UI" w:cs="Segoe UI"/>
                <w:sz w:val="18"/>
                <w:szCs w:val="20"/>
                <w:lang w:eastAsia="en-GB"/>
              </w:rPr>
              <w:t xml:space="preserve"> financial impact</w:t>
            </w:r>
            <w:r w:rsidRPr="00D87FAF" w:rsidDel="0085316D">
              <w:rPr>
                <w:rFonts w:ascii="Segoe UI" w:eastAsia="Times New Roman" w:hAnsi="Segoe UI" w:cs="Segoe UI"/>
                <w:sz w:val="18"/>
                <w:szCs w:val="20"/>
                <w:lang w:eastAsia="en-GB"/>
              </w:rPr>
              <w:t xml:space="preserve"> </w:t>
            </w:r>
            <w:r w:rsidR="00D87FAF" w:rsidRPr="00D87FAF">
              <w:rPr>
                <w:rFonts w:ascii="Segoe UI" w:eastAsia="Times New Roman" w:hAnsi="Segoe UI" w:cs="Segoe UI"/>
                <w:sz w:val="18"/>
                <w:szCs w:val="20"/>
                <w:lang w:eastAsia="en-GB"/>
              </w:rPr>
              <w:t>workforce implications</w:t>
            </w:r>
          </w:p>
          <w:p w14:paraId="5DD31E7A"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infrastructure (such as buildings, information systems)</w:t>
            </w:r>
          </w:p>
          <w:p w14:paraId="074526CF" w14:textId="77777777" w:rsidR="00D87FAF" w:rsidRPr="00D87FAF" w:rsidRDefault="00D87FAF" w:rsidP="00D87FAF">
            <w:pPr>
              <w:tabs>
                <w:tab w:val="num" w:pos="284"/>
              </w:tabs>
              <w:spacing w:after="60" w:line="240" w:lineRule="auto"/>
              <w:ind w:left="851" w:hanging="284"/>
              <w:rPr>
                <w:rFonts w:ascii="Segoe UI" w:eastAsia="Times New Roman" w:hAnsi="Segoe UI" w:cs="Segoe UI"/>
                <w:sz w:val="18"/>
                <w:szCs w:val="20"/>
                <w:lang w:eastAsia="en-GB"/>
              </w:rPr>
            </w:pPr>
            <w:r w:rsidRPr="00D87FAF">
              <w:rPr>
                <w:rFonts w:ascii="Segoe UI" w:eastAsia="Times New Roman" w:hAnsi="Segoe UI" w:cs="Segoe UI"/>
                <w:sz w:val="18"/>
                <w:szCs w:val="20"/>
                <w:lang w:eastAsia="en-GB"/>
              </w:rPr>
              <w:t>letter(s) supporting the proposal from affected NGO providers.</w:t>
            </w:r>
          </w:p>
        </w:tc>
      </w:tr>
      <w:bookmarkEnd w:id="25"/>
      <w:bookmarkEnd w:id="46"/>
    </w:tbl>
    <w:p w14:paraId="14246759" w14:textId="77777777" w:rsidR="00D87FAF" w:rsidRPr="00D87FAF" w:rsidRDefault="00D87FAF" w:rsidP="00D87FAF">
      <w:pPr>
        <w:spacing w:after="0" w:line="240" w:lineRule="auto"/>
        <w:rPr>
          <w:rFonts w:ascii="Segoe UI" w:eastAsia="Times New Roman" w:hAnsi="Segoe UI" w:cs="Segoe UI"/>
          <w:sz w:val="21"/>
          <w:szCs w:val="20"/>
          <w:lang w:eastAsia="en-GB"/>
        </w:rPr>
      </w:pPr>
    </w:p>
    <w:p w14:paraId="16D935B7" w14:textId="28D40C23" w:rsidR="00D45583" w:rsidRDefault="003B0A41" w:rsidP="00047AF3">
      <w:pPr>
        <w:spacing w:before="120" w:after="0"/>
        <w:rPr>
          <w:rFonts w:ascii="Segoe UI" w:hAnsi="Segoe UI" w:cs="Segoe UI"/>
          <w:lang w:eastAsia="en-GB"/>
        </w:rPr>
      </w:pPr>
      <w:r w:rsidRPr="0087436B">
        <w:rPr>
          <w:rFonts w:ascii="Segoe UI" w:eastAsiaTheme="majorEastAsia" w:hAnsi="Segoe UI" w:cs="Segoe UI"/>
          <w:b/>
          <w:bCs/>
          <w:color w:val="4472C4" w:themeColor="accent1"/>
          <w:sz w:val="36"/>
          <w:szCs w:val="36"/>
          <w:lang w:eastAsia="en-GB"/>
        </w:rPr>
        <w:t xml:space="preserve">Appendix </w:t>
      </w:r>
      <w:r w:rsidR="00F656A5" w:rsidRPr="0087436B">
        <w:rPr>
          <w:rFonts w:ascii="Segoe UI" w:eastAsiaTheme="majorEastAsia" w:hAnsi="Segoe UI" w:cs="Segoe UI"/>
          <w:b/>
          <w:bCs/>
          <w:color w:val="4472C4" w:themeColor="accent1"/>
          <w:sz w:val="36"/>
          <w:szCs w:val="36"/>
          <w:lang w:eastAsia="en-GB"/>
        </w:rPr>
        <w:t>three</w:t>
      </w:r>
      <w:r w:rsidR="00155977" w:rsidRPr="0087436B">
        <w:rPr>
          <w:rFonts w:ascii="Segoe UI" w:eastAsiaTheme="majorEastAsia" w:hAnsi="Segoe UI" w:cs="Segoe UI"/>
          <w:b/>
          <w:bCs/>
          <w:color w:val="4472C4" w:themeColor="accent1"/>
          <w:sz w:val="36"/>
          <w:szCs w:val="36"/>
          <w:lang w:eastAsia="en-GB"/>
        </w:rPr>
        <w:t xml:space="preserve">: </w:t>
      </w:r>
      <w:r w:rsidR="00776AF1">
        <w:rPr>
          <w:rFonts w:ascii="Segoe UI" w:eastAsiaTheme="majorEastAsia" w:hAnsi="Segoe UI" w:cs="Segoe UI"/>
          <w:b/>
          <w:bCs/>
          <w:color w:val="4472C4" w:themeColor="accent1"/>
          <w:sz w:val="36"/>
          <w:szCs w:val="36"/>
          <w:lang w:eastAsia="en-GB"/>
        </w:rPr>
        <w:t xml:space="preserve">Key </w:t>
      </w:r>
      <w:r w:rsidR="00155977" w:rsidRPr="0087436B">
        <w:rPr>
          <w:rFonts w:ascii="Segoe UI" w:eastAsiaTheme="majorEastAsia" w:hAnsi="Segoe UI" w:cs="Segoe UI"/>
          <w:b/>
          <w:bCs/>
          <w:color w:val="4472C4" w:themeColor="accent1"/>
          <w:sz w:val="36"/>
          <w:szCs w:val="36"/>
          <w:lang w:eastAsia="en-GB"/>
        </w:rPr>
        <w:t>legislation</w:t>
      </w:r>
      <w:r w:rsidR="00EB7E82" w:rsidRPr="0087436B">
        <w:rPr>
          <w:rFonts w:ascii="Segoe UI" w:eastAsiaTheme="majorEastAsia" w:hAnsi="Segoe UI" w:cs="Segoe UI"/>
          <w:b/>
          <w:bCs/>
          <w:color w:val="4472C4" w:themeColor="accent1"/>
          <w:sz w:val="36"/>
          <w:szCs w:val="36"/>
          <w:lang w:eastAsia="en-GB"/>
        </w:rPr>
        <w:t xml:space="preserve"> </w:t>
      </w:r>
      <w:r w:rsidR="00384E24" w:rsidRPr="0087436B">
        <w:rPr>
          <w:rFonts w:ascii="Segoe UI" w:eastAsiaTheme="majorEastAsia" w:hAnsi="Segoe UI" w:cs="Segoe UI"/>
          <w:b/>
          <w:bCs/>
          <w:color w:val="4472C4" w:themeColor="accent1"/>
          <w:sz w:val="36"/>
          <w:szCs w:val="36"/>
          <w:lang w:eastAsia="en-GB"/>
        </w:rPr>
        <w:t>relevant to the health sec</w:t>
      </w:r>
      <w:r w:rsidR="00EB7E82" w:rsidRPr="0087436B">
        <w:rPr>
          <w:rFonts w:ascii="Segoe UI" w:eastAsiaTheme="majorEastAsia" w:hAnsi="Segoe UI" w:cs="Segoe UI"/>
          <w:b/>
          <w:bCs/>
          <w:color w:val="4472C4" w:themeColor="accent1"/>
          <w:sz w:val="36"/>
          <w:szCs w:val="36"/>
          <w:lang w:eastAsia="en-GB"/>
        </w:rPr>
        <w:t>tor</w:t>
      </w:r>
    </w:p>
    <w:p w14:paraId="4E4F94BF" w14:textId="77777777" w:rsidR="00EB7E82" w:rsidRDefault="00EB7E82" w:rsidP="00047AF3">
      <w:pPr>
        <w:spacing w:before="120" w:after="0"/>
        <w:rPr>
          <w:rFonts w:ascii="Segoe UI" w:hAnsi="Segoe UI" w:cs="Segoe UI"/>
          <w:lang w:eastAsia="en-GB"/>
        </w:rPr>
      </w:pPr>
    </w:p>
    <w:p w14:paraId="3B7F6549" w14:textId="71062A2B" w:rsidR="00F45EDB" w:rsidRPr="0087436B" w:rsidRDefault="00DD1BD5" w:rsidP="0087436B">
      <w:pPr>
        <w:pStyle w:val="ListParagraph"/>
        <w:numPr>
          <w:ilvl w:val="0"/>
          <w:numId w:val="25"/>
        </w:numPr>
        <w:spacing w:after="120"/>
        <w:rPr>
          <w:rFonts w:ascii="Segoe UI" w:hAnsi="Segoe UI" w:cs="Segoe UI"/>
          <w:lang w:eastAsia="en-GB"/>
        </w:rPr>
      </w:pPr>
      <w:r w:rsidRPr="0087436B">
        <w:rPr>
          <w:rFonts w:ascii="Segoe UI" w:hAnsi="Segoe UI" w:cs="Segoe UI"/>
        </w:rPr>
        <w:t>Pae Ora (Healthy Futures) Act 2022</w:t>
      </w:r>
    </w:p>
    <w:p w14:paraId="209E25FC" w14:textId="0F210DBF" w:rsidR="003F4664" w:rsidRPr="0087436B" w:rsidRDefault="00F45EDB" w:rsidP="0087436B">
      <w:pPr>
        <w:pStyle w:val="ListParagraph"/>
        <w:numPr>
          <w:ilvl w:val="0"/>
          <w:numId w:val="25"/>
        </w:numPr>
        <w:spacing w:after="120"/>
        <w:rPr>
          <w:rFonts w:ascii="Segoe UI" w:hAnsi="Segoe UI" w:cs="Segoe UI"/>
          <w:lang w:eastAsia="en-GB"/>
        </w:rPr>
      </w:pPr>
      <w:r w:rsidRPr="00B35849">
        <w:rPr>
          <w:rFonts w:ascii="Segoe UI" w:hAnsi="Segoe UI" w:cs="Segoe UI"/>
          <w:lang w:eastAsia="en-GB"/>
        </w:rPr>
        <w:t>Crown Entities Act 2004</w:t>
      </w:r>
    </w:p>
    <w:p w14:paraId="2B1BB2C8" w14:textId="148CA31F" w:rsidR="00DD1BD5" w:rsidRPr="0087436B" w:rsidRDefault="003F4664" w:rsidP="0087436B">
      <w:pPr>
        <w:pStyle w:val="ListParagraph"/>
        <w:numPr>
          <w:ilvl w:val="0"/>
          <w:numId w:val="25"/>
        </w:numPr>
        <w:spacing w:after="120"/>
        <w:rPr>
          <w:rFonts w:ascii="Segoe UI" w:hAnsi="Segoe UI" w:cs="Segoe UI"/>
          <w:lang w:eastAsia="en-GB"/>
        </w:rPr>
      </w:pPr>
      <w:r w:rsidRPr="0087436B">
        <w:rPr>
          <w:rFonts w:ascii="Segoe UI" w:hAnsi="Segoe UI" w:cs="Segoe UI"/>
        </w:rPr>
        <w:t>Public Finance Act 1989</w:t>
      </w:r>
    </w:p>
    <w:p w14:paraId="55D4DD16" w14:textId="26275E38" w:rsidR="00E504FF" w:rsidRPr="0087436B" w:rsidRDefault="00E504FF" w:rsidP="0087436B">
      <w:pPr>
        <w:pStyle w:val="ListParagraph"/>
        <w:numPr>
          <w:ilvl w:val="0"/>
          <w:numId w:val="25"/>
        </w:numPr>
        <w:spacing w:after="120"/>
        <w:rPr>
          <w:rFonts w:ascii="Segoe UI" w:hAnsi="Segoe UI" w:cs="Segoe UI"/>
          <w:lang w:eastAsia="en-GB"/>
        </w:rPr>
      </w:pPr>
      <w:r w:rsidRPr="0087436B">
        <w:rPr>
          <w:rFonts w:ascii="Segoe UI" w:hAnsi="Segoe UI" w:cs="Segoe UI"/>
        </w:rPr>
        <w:t>Public Finance Amendment Act 2013</w:t>
      </w:r>
    </w:p>
    <w:p w14:paraId="1188FDB1" w14:textId="70F784D3" w:rsidR="00613D64" w:rsidRPr="0087436B" w:rsidRDefault="00613D64" w:rsidP="0087436B">
      <w:pPr>
        <w:pStyle w:val="ListParagraph"/>
        <w:numPr>
          <w:ilvl w:val="0"/>
          <w:numId w:val="25"/>
        </w:numPr>
        <w:spacing w:after="120"/>
        <w:rPr>
          <w:rFonts w:ascii="Segoe UI" w:hAnsi="Segoe UI" w:cs="Segoe UI"/>
          <w:lang w:eastAsia="en-GB"/>
        </w:rPr>
      </w:pPr>
      <w:r w:rsidRPr="0087436B">
        <w:rPr>
          <w:rFonts w:ascii="Segoe UI" w:hAnsi="Segoe UI" w:cs="Segoe UI"/>
          <w:lang w:eastAsia="en-GB"/>
        </w:rPr>
        <w:t>Public Service Act 2020</w:t>
      </w:r>
    </w:p>
    <w:p w14:paraId="690EF850" w14:textId="6367FA91" w:rsidR="003A1050" w:rsidRDefault="003A1050" w:rsidP="0087436B">
      <w:pPr>
        <w:pStyle w:val="ListParagraph"/>
        <w:numPr>
          <w:ilvl w:val="0"/>
          <w:numId w:val="25"/>
        </w:numPr>
        <w:spacing w:before="120" w:after="0"/>
        <w:rPr>
          <w:rFonts w:ascii="Segoe UI" w:hAnsi="Segoe UI" w:cs="Segoe UI"/>
        </w:rPr>
      </w:pPr>
      <w:r w:rsidRPr="003A1050">
        <w:rPr>
          <w:rFonts w:ascii="Segoe UI" w:hAnsi="Segoe UI" w:cs="Segoe UI"/>
        </w:rPr>
        <w:t>Health and Disability Services (Safety) Act 2001</w:t>
      </w:r>
    </w:p>
    <w:p w14:paraId="0813464A" w14:textId="337383DA" w:rsidR="00C60F1A" w:rsidRPr="0087436B" w:rsidRDefault="00C60F1A" w:rsidP="0087436B">
      <w:pPr>
        <w:pStyle w:val="ListParagraph"/>
        <w:numPr>
          <w:ilvl w:val="0"/>
          <w:numId w:val="25"/>
        </w:numPr>
        <w:spacing w:before="120" w:after="0"/>
        <w:rPr>
          <w:rFonts w:ascii="Segoe UI" w:hAnsi="Segoe UI" w:cs="Segoe UI"/>
          <w:lang w:eastAsia="en-GB"/>
        </w:rPr>
      </w:pPr>
      <w:r w:rsidRPr="00725187">
        <w:rPr>
          <w:rFonts w:ascii="Segoe UI" w:hAnsi="Segoe UI" w:cs="Segoe UI"/>
        </w:rPr>
        <w:t>the Health Practitioners Competence Assurance Act 2003</w:t>
      </w:r>
    </w:p>
    <w:p w14:paraId="21B55916" w14:textId="685FA0FD" w:rsidR="00F90149" w:rsidRDefault="00F90149" w:rsidP="0087436B">
      <w:pPr>
        <w:pStyle w:val="ListParagraph"/>
        <w:numPr>
          <w:ilvl w:val="0"/>
          <w:numId w:val="25"/>
        </w:numPr>
        <w:spacing w:before="120" w:after="0"/>
        <w:rPr>
          <w:rFonts w:ascii="Segoe UI" w:hAnsi="Segoe UI" w:cs="Segoe UI"/>
        </w:rPr>
      </w:pPr>
      <w:r w:rsidRPr="005A2851">
        <w:rPr>
          <w:rFonts w:ascii="Segoe UI" w:hAnsi="Segoe UI" w:cs="Segoe UI"/>
        </w:rPr>
        <w:t>Children’s Act 2014</w:t>
      </w:r>
    </w:p>
    <w:p w14:paraId="583D2F65" w14:textId="6601AB21" w:rsidR="00613D64" w:rsidRPr="0087436B" w:rsidRDefault="00F45EDB" w:rsidP="0087436B">
      <w:pPr>
        <w:pStyle w:val="ListParagraph"/>
        <w:numPr>
          <w:ilvl w:val="0"/>
          <w:numId w:val="25"/>
        </w:numPr>
        <w:spacing w:before="120" w:after="0"/>
        <w:rPr>
          <w:rStyle w:val="normaltextrun"/>
          <w:rFonts w:ascii="Segoe UI" w:hAnsi="Segoe UI" w:cs="Segoe UI"/>
        </w:rPr>
      </w:pPr>
      <w:r w:rsidRPr="00725187">
        <w:rPr>
          <w:rFonts w:ascii="Segoe UI" w:hAnsi="Segoe UI" w:cs="Segoe UI"/>
        </w:rPr>
        <w:t xml:space="preserve">the </w:t>
      </w:r>
      <w:r w:rsidRPr="00725187">
        <w:rPr>
          <w:rStyle w:val="normaltextrun"/>
          <w:rFonts w:ascii="Segoe UI" w:hAnsi="Segoe UI" w:cs="Segoe UI"/>
          <w:shd w:val="clear" w:color="auto" w:fill="FFFFFF"/>
        </w:rPr>
        <w:t>Plain Language Act 2022</w:t>
      </w:r>
    </w:p>
    <w:p w14:paraId="1E98C753" w14:textId="1990459E" w:rsidR="00F45EDB" w:rsidRPr="0087436B" w:rsidRDefault="00650DFE" w:rsidP="0087436B">
      <w:pPr>
        <w:pStyle w:val="ListParagraph"/>
        <w:numPr>
          <w:ilvl w:val="0"/>
          <w:numId w:val="25"/>
        </w:numPr>
        <w:spacing w:before="120" w:after="0"/>
        <w:rPr>
          <w:rFonts w:ascii="Segoe UI" w:hAnsi="Segoe UI" w:cs="Segoe UI"/>
        </w:rPr>
      </w:pPr>
      <w:r w:rsidRPr="003228F1">
        <w:rPr>
          <w:rFonts w:ascii="Segoe UI" w:hAnsi="Segoe UI" w:cs="Segoe UI"/>
        </w:rPr>
        <w:t>Civil Defence Emergency Management</w:t>
      </w:r>
      <w:r>
        <w:rPr>
          <w:rFonts w:ascii="Segoe UI" w:hAnsi="Segoe UI" w:cs="Segoe UI"/>
        </w:rPr>
        <w:t xml:space="preserve"> Act 2002</w:t>
      </w:r>
    </w:p>
    <w:p w14:paraId="66BDF3D7" w14:textId="49130CA4" w:rsidR="009D3243" w:rsidRPr="0087436B" w:rsidRDefault="009D3243" w:rsidP="0087436B">
      <w:pPr>
        <w:pStyle w:val="ListParagraph"/>
        <w:numPr>
          <w:ilvl w:val="0"/>
          <w:numId w:val="25"/>
        </w:numPr>
        <w:spacing w:before="120" w:after="0"/>
        <w:rPr>
          <w:rFonts w:ascii="Segoe UI" w:hAnsi="Segoe UI" w:cs="Segoe UI"/>
        </w:rPr>
      </w:pPr>
      <w:r w:rsidRPr="003228F1">
        <w:rPr>
          <w:rFonts w:ascii="Segoe UI" w:hAnsi="Segoe UI" w:cs="Segoe UI"/>
        </w:rPr>
        <w:t>Holidays Act 2003</w:t>
      </w:r>
    </w:p>
    <w:p w14:paraId="5B0B2F27" w14:textId="690A472C" w:rsidR="009D3243" w:rsidRDefault="008F07E1" w:rsidP="0087436B">
      <w:pPr>
        <w:pStyle w:val="ListParagraph"/>
        <w:numPr>
          <w:ilvl w:val="0"/>
          <w:numId w:val="25"/>
        </w:numPr>
        <w:spacing w:before="120" w:after="0"/>
        <w:rPr>
          <w:rFonts w:ascii="Segoe UI" w:hAnsi="Segoe UI" w:cs="Segoe UI"/>
        </w:rPr>
      </w:pPr>
      <w:r w:rsidRPr="0087436B">
        <w:rPr>
          <w:rFonts w:ascii="Segoe UI" w:hAnsi="Segoe UI" w:cs="Segoe UI"/>
        </w:rPr>
        <w:t xml:space="preserve">Coroners Act 2006 </w:t>
      </w:r>
    </w:p>
    <w:p w14:paraId="6E4AB166" w14:textId="06219736" w:rsidR="008F07E1" w:rsidRPr="0087436B" w:rsidRDefault="008F07E1" w:rsidP="0087436B">
      <w:pPr>
        <w:pStyle w:val="ListParagraph"/>
        <w:numPr>
          <w:ilvl w:val="0"/>
          <w:numId w:val="25"/>
        </w:numPr>
        <w:spacing w:before="120" w:after="0"/>
        <w:rPr>
          <w:rFonts w:ascii="Segoe UI" w:hAnsi="Segoe UI" w:cs="Segoe UI"/>
        </w:rPr>
      </w:pPr>
      <w:r w:rsidRPr="0087436B">
        <w:rPr>
          <w:rFonts w:ascii="Segoe UI" w:hAnsi="Segoe UI" w:cs="Segoe UI"/>
        </w:rPr>
        <w:t>Births, Deaths, Marriages and Relationship Reg</w:t>
      </w:r>
      <w:r w:rsidR="007E0F54">
        <w:rPr>
          <w:rFonts w:ascii="Segoe UI" w:hAnsi="Segoe UI" w:cs="Segoe UI"/>
        </w:rPr>
        <w:t>istration</w:t>
      </w:r>
      <w:r w:rsidRPr="0087436B">
        <w:rPr>
          <w:rFonts w:ascii="Segoe UI" w:hAnsi="Segoe UI" w:cs="Segoe UI"/>
        </w:rPr>
        <w:t xml:space="preserve"> Act 1995</w:t>
      </w:r>
    </w:p>
    <w:p w14:paraId="24AE7BEC" w14:textId="282A20A1" w:rsidR="00AE7526" w:rsidRPr="0087436B" w:rsidRDefault="00AE7526" w:rsidP="0087436B">
      <w:pPr>
        <w:pStyle w:val="ListParagraph"/>
        <w:numPr>
          <w:ilvl w:val="0"/>
          <w:numId w:val="25"/>
        </w:numPr>
        <w:spacing w:before="120" w:after="0"/>
        <w:rPr>
          <w:rFonts w:ascii="Segoe UI" w:hAnsi="Segoe UI" w:cs="Segoe UI"/>
        </w:rPr>
      </w:pPr>
      <w:r w:rsidRPr="0087436B">
        <w:rPr>
          <w:rFonts w:ascii="Segoe UI" w:hAnsi="Segoe UI" w:cs="Segoe UI"/>
        </w:rPr>
        <w:t>Equal Pay Act 1972</w:t>
      </w:r>
    </w:p>
    <w:p w14:paraId="77A6E695" w14:textId="65984FB0" w:rsidR="001C0D5D" w:rsidRDefault="00AE7526" w:rsidP="0087436B">
      <w:pPr>
        <w:pStyle w:val="ListParagraph"/>
        <w:numPr>
          <w:ilvl w:val="0"/>
          <w:numId w:val="25"/>
        </w:numPr>
        <w:spacing w:before="120" w:after="0"/>
        <w:rPr>
          <w:rFonts w:ascii="Segoe UI" w:hAnsi="Segoe UI" w:cs="Segoe UI"/>
        </w:rPr>
      </w:pPr>
      <w:r w:rsidRPr="0087436B">
        <w:rPr>
          <w:rFonts w:ascii="Segoe UI" w:hAnsi="Segoe UI" w:cs="Segoe UI"/>
        </w:rPr>
        <w:t>Support Workers (Pay Equity) Settlements Act 2017</w:t>
      </w:r>
    </w:p>
    <w:p w14:paraId="69B8BB07" w14:textId="57B70D80" w:rsidR="00E85827" w:rsidRPr="00AF060D" w:rsidRDefault="00895F3D" w:rsidP="001C0D5D">
      <w:pPr>
        <w:pStyle w:val="ListParagraph"/>
        <w:numPr>
          <w:ilvl w:val="0"/>
          <w:numId w:val="25"/>
        </w:numPr>
        <w:spacing w:before="120" w:after="0"/>
        <w:rPr>
          <w:lang w:eastAsia="en-GB"/>
        </w:rPr>
      </w:pPr>
      <w:r w:rsidRPr="001C0D5D">
        <w:rPr>
          <w:rFonts w:ascii="Segoe UI" w:hAnsi="Segoe UI" w:cs="Segoe UI"/>
        </w:rPr>
        <w:t>Protected Disclosures (Protection of Whistleblowers) Act 2022</w:t>
      </w:r>
      <w:r w:rsidRPr="001C0D5D" w:rsidDel="00895F3D">
        <w:rPr>
          <w:rFonts w:ascii="Segoe UI" w:hAnsi="Segoe UI" w:cs="Segoe UI"/>
        </w:rPr>
        <w:t xml:space="preserve"> </w:t>
      </w:r>
    </w:p>
    <w:p w14:paraId="33202436" w14:textId="16575CD7" w:rsidR="00EF1C89" w:rsidRPr="00AF060D" w:rsidRDefault="00675C81" w:rsidP="001C0D5D">
      <w:pPr>
        <w:pStyle w:val="ListParagraph"/>
        <w:numPr>
          <w:ilvl w:val="0"/>
          <w:numId w:val="25"/>
        </w:numPr>
        <w:spacing w:before="120" w:after="0"/>
        <w:rPr>
          <w:lang w:eastAsia="en-GB"/>
        </w:rPr>
      </w:pPr>
      <w:r>
        <w:rPr>
          <w:rFonts w:ascii="Segoe UI" w:hAnsi="Segoe UI" w:cs="Segoe UI"/>
        </w:rPr>
        <w:t>Medicines Act 1981</w:t>
      </w:r>
    </w:p>
    <w:p w14:paraId="309154F6" w14:textId="3975ABC9" w:rsidR="00675C81" w:rsidRDefault="00675C81" w:rsidP="001C0D5D">
      <w:pPr>
        <w:pStyle w:val="ListParagraph"/>
        <w:numPr>
          <w:ilvl w:val="0"/>
          <w:numId w:val="25"/>
        </w:numPr>
        <w:spacing w:before="120" w:after="0"/>
        <w:rPr>
          <w:rFonts w:ascii="Segoe UI" w:hAnsi="Segoe UI" w:cs="Segoe UI"/>
          <w:lang w:eastAsia="en-GB"/>
        </w:rPr>
      </w:pPr>
      <w:r w:rsidRPr="00AF060D">
        <w:rPr>
          <w:rFonts w:ascii="Segoe UI" w:hAnsi="Segoe UI" w:cs="Segoe UI"/>
          <w:lang w:eastAsia="en-GB"/>
        </w:rPr>
        <w:t>Contraception, Sterilisation, and Abortion Act 1977</w:t>
      </w:r>
    </w:p>
    <w:p w14:paraId="724C07D2" w14:textId="5CC59938" w:rsidR="00675C81" w:rsidRPr="00AF060D" w:rsidRDefault="00675C81" w:rsidP="001C0D5D">
      <w:pPr>
        <w:pStyle w:val="ListParagraph"/>
        <w:numPr>
          <w:ilvl w:val="0"/>
          <w:numId w:val="25"/>
        </w:numPr>
        <w:spacing w:before="120" w:after="0"/>
        <w:rPr>
          <w:rFonts w:ascii="Segoe UI" w:hAnsi="Segoe UI" w:cs="Segoe UI"/>
          <w:lang w:eastAsia="en-GB"/>
        </w:rPr>
      </w:pPr>
      <w:r w:rsidRPr="00675C81">
        <w:rPr>
          <w:rFonts w:ascii="Segoe UI" w:hAnsi="Segoe UI" w:cs="Segoe UI"/>
          <w:lang w:eastAsia="en-GB"/>
        </w:rPr>
        <w:t>End of Life Choice Act 2019</w:t>
      </w:r>
    </w:p>
    <w:sectPr w:rsidR="00675C81" w:rsidRPr="00AF060D" w:rsidSect="003807A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7853" w14:textId="77777777" w:rsidR="00D547AC" w:rsidRDefault="00D547AC" w:rsidP="00047AF3">
      <w:pPr>
        <w:spacing w:after="0" w:line="240" w:lineRule="auto"/>
      </w:pPr>
      <w:r>
        <w:separator/>
      </w:r>
    </w:p>
  </w:endnote>
  <w:endnote w:type="continuationSeparator" w:id="0">
    <w:p w14:paraId="243FF50C" w14:textId="77777777" w:rsidR="00D547AC" w:rsidRDefault="00D547AC" w:rsidP="00047AF3">
      <w:pPr>
        <w:spacing w:after="0" w:line="240" w:lineRule="auto"/>
      </w:pPr>
      <w:r>
        <w:continuationSeparator/>
      </w:r>
    </w:p>
  </w:endnote>
  <w:endnote w:type="continuationNotice" w:id="1">
    <w:p w14:paraId="10719743" w14:textId="77777777" w:rsidR="00D547AC" w:rsidRDefault="00D547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4B13" w14:textId="77777777" w:rsidR="001217CB" w:rsidRDefault="00121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791252"/>
      <w:docPartObj>
        <w:docPartGallery w:val="Page Numbers (Bottom of Page)"/>
        <w:docPartUnique/>
      </w:docPartObj>
    </w:sdtPr>
    <w:sdtEndPr>
      <w:rPr>
        <w:color w:val="7F7F7F" w:themeColor="background1" w:themeShade="7F"/>
        <w:spacing w:val="60"/>
      </w:rPr>
    </w:sdtEndPr>
    <w:sdtContent>
      <w:p w14:paraId="2DACC828" w14:textId="77777777" w:rsidR="003807A6" w:rsidRDefault="00B47A93" w:rsidP="002022F4">
        <w:pPr>
          <w:pStyle w:val="Footer"/>
          <w:numPr>
            <w:ilvl w:val="0"/>
            <w:numId w:val="0"/>
          </w:numPr>
          <w:pBdr>
            <w:top w:val="single" w:sz="4" w:space="1" w:color="D9D9D9" w:themeColor="background1" w:themeShade="D9"/>
          </w:pBdr>
          <w:ind w:left="851"/>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8876EC3" w14:textId="77777777" w:rsidR="003807A6" w:rsidRDefault="003807A6" w:rsidP="002022F4">
    <w:pPr>
      <w:pStyle w:val="Footer"/>
      <w:numPr>
        <w:ilvl w:val="0"/>
        <w:numId w:val="0"/>
      </w:numPr>
      <w:ind w:left="127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090D" w14:textId="77777777" w:rsidR="001217CB" w:rsidRDefault="00121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DA6A" w14:textId="77777777" w:rsidR="00D547AC" w:rsidRDefault="00D547AC" w:rsidP="00047AF3">
      <w:pPr>
        <w:spacing w:after="0" w:line="240" w:lineRule="auto"/>
      </w:pPr>
      <w:r>
        <w:separator/>
      </w:r>
    </w:p>
  </w:footnote>
  <w:footnote w:type="continuationSeparator" w:id="0">
    <w:p w14:paraId="1E1F63D8" w14:textId="77777777" w:rsidR="00D547AC" w:rsidRDefault="00D547AC" w:rsidP="00047AF3">
      <w:pPr>
        <w:spacing w:after="0" w:line="240" w:lineRule="auto"/>
      </w:pPr>
      <w:r>
        <w:continuationSeparator/>
      </w:r>
    </w:p>
  </w:footnote>
  <w:footnote w:type="continuationNotice" w:id="1">
    <w:p w14:paraId="5AD1FD96" w14:textId="77777777" w:rsidR="00D547AC" w:rsidRDefault="00D547AC">
      <w:pPr>
        <w:spacing w:after="0" w:line="240" w:lineRule="auto"/>
      </w:pPr>
    </w:p>
  </w:footnote>
  <w:footnote w:id="2">
    <w:p w14:paraId="0F127761" w14:textId="77777777" w:rsidR="00047AF3" w:rsidRDefault="00047AF3" w:rsidP="00047AF3">
      <w:pPr>
        <w:pStyle w:val="FootnoteText"/>
      </w:pPr>
      <w:r>
        <w:rPr>
          <w:rStyle w:val="FootnoteReference"/>
        </w:rPr>
        <w:footnoteRef/>
      </w:r>
      <w:r>
        <w:t xml:space="preserve"> </w:t>
      </w:r>
      <w:r w:rsidRPr="007E6079">
        <w:t>pharmac.govt.nz/pharmaceutical-schedule/</w:t>
      </w:r>
    </w:p>
  </w:footnote>
  <w:footnote w:id="3">
    <w:p w14:paraId="408E8ACC" w14:textId="77777777" w:rsidR="00047AF3" w:rsidRDefault="00047AF3" w:rsidP="00047AF3">
      <w:pPr>
        <w:pStyle w:val="FootnoteText"/>
      </w:pPr>
      <w:r>
        <w:rPr>
          <w:rStyle w:val="FootnoteReference"/>
        </w:rPr>
        <w:footnoteRef/>
      </w:r>
      <w:r>
        <w:t xml:space="preserve"> </w:t>
      </w:r>
      <w:r w:rsidRPr="00AC7073">
        <w:t>www.hqsc.govt.nz/</w:t>
      </w:r>
    </w:p>
  </w:footnote>
  <w:footnote w:id="4">
    <w:p w14:paraId="376F906C" w14:textId="77777777" w:rsidR="00047AF3" w:rsidRDefault="00047AF3" w:rsidP="00047AF3">
      <w:pPr>
        <w:pStyle w:val="FootnoteText"/>
      </w:pPr>
      <w:r>
        <w:rPr>
          <w:rStyle w:val="FootnoteReference"/>
        </w:rPr>
        <w:footnoteRef/>
      </w:r>
      <w:r>
        <w:t xml:space="preserve"> </w:t>
      </w:r>
      <w:r w:rsidRPr="008C12F4">
        <w:t>www.hqsc.govt.nz/our-work/system-safety/adverse-events/national-adverse-events-reporting-policy/</w:t>
      </w:r>
    </w:p>
  </w:footnote>
  <w:footnote w:id="5">
    <w:p w14:paraId="1B08AB79" w14:textId="07699999" w:rsidR="001301E3" w:rsidRDefault="001301E3">
      <w:pPr>
        <w:pStyle w:val="FootnoteText"/>
      </w:pPr>
      <w:r>
        <w:rPr>
          <w:rStyle w:val="FootnoteReference"/>
        </w:rPr>
        <w:footnoteRef/>
      </w:r>
      <w:r>
        <w:t xml:space="preserve"> </w:t>
      </w:r>
      <w:r w:rsidRPr="001301E3">
        <w:t>From knowledge to action- A framework for building quality and safety in the New Zealand health system. hqsc.govt.nz</w:t>
      </w:r>
    </w:p>
  </w:footnote>
  <w:footnote w:id="6">
    <w:p w14:paraId="4E0450AE" w14:textId="77777777" w:rsidR="00047AF3" w:rsidRDefault="00047AF3" w:rsidP="00047AF3">
      <w:pPr>
        <w:pStyle w:val="FootnoteText"/>
      </w:pPr>
      <w:r>
        <w:rPr>
          <w:rStyle w:val="FootnoteReference"/>
        </w:rPr>
        <w:footnoteRef/>
      </w:r>
      <w:r>
        <w:t xml:space="preserve">Digital, data and technology services- minimum requirements available at </w:t>
      </w:r>
      <w:r w:rsidRPr="00E45CE2">
        <w:t>www.health.govt.nz/our-work/digital-health/digital-health-sector-architecture-standards-and-governance/digital-data-and-technology-services-minimum-requirements</w:t>
      </w:r>
    </w:p>
  </w:footnote>
  <w:footnote w:id="7">
    <w:p w14:paraId="44DF60A3" w14:textId="424BAED1" w:rsidR="000011B7" w:rsidRDefault="000011B7">
      <w:pPr>
        <w:pStyle w:val="FootnoteText"/>
      </w:pPr>
      <w:r>
        <w:rPr>
          <w:rStyle w:val="FootnoteReference"/>
        </w:rPr>
        <w:footnoteRef/>
      </w:r>
      <w:r>
        <w:t xml:space="preserve"> </w:t>
      </w:r>
      <w:r w:rsidRPr="000011B7">
        <w:t>https://www.tewhatuora.govt.nz/publications/health-information-security-framework/</w:t>
      </w:r>
    </w:p>
  </w:footnote>
  <w:footnote w:id="8">
    <w:p w14:paraId="5A3DDC20" w14:textId="139D6E60" w:rsidR="004D534D" w:rsidRPr="00CB5759" w:rsidRDefault="004D534D" w:rsidP="00CB5759">
      <w:pPr>
        <w:spacing w:after="0"/>
        <w:rPr>
          <w:i/>
          <w:iCs/>
        </w:rPr>
      </w:pPr>
      <w:r>
        <w:rPr>
          <w:rStyle w:val="FootnoteReference"/>
        </w:rPr>
        <w:footnoteRef/>
      </w:r>
      <w:r>
        <w:t xml:space="preserve"> </w:t>
      </w:r>
      <w:r w:rsidR="00802A58" w:rsidRPr="00CB5759">
        <w:rPr>
          <w:sz w:val="20"/>
          <w:szCs w:val="20"/>
        </w:rPr>
        <w:t xml:space="preserve">The FTE definition and associated reporting is in the process of being reviewed by Health New Zealand, with input from the Ministry of Health, and </w:t>
      </w:r>
      <w:r w:rsidR="004B46AA" w:rsidRPr="00CB5759">
        <w:rPr>
          <w:sz w:val="20"/>
          <w:szCs w:val="20"/>
        </w:rPr>
        <w:t>the</w:t>
      </w:r>
      <w:r w:rsidR="00802A58" w:rsidRPr="00CB5759">
        <w:rPr>
          <w:sz w:val="20"/>
          <w:szCs w:val="20"/>
        </w:rPr>
        <w:t xml:space="preserve"> new FTE  definition/approach is expected to be in place from 1 July 2024.</w:t>
      </w:r>
    </w:p>
  </w:footnote>
  <w:footnote w:id="9">
    <w:p w14:paraId="16980E10" w14:textId="77777777" w:rsidR="00047AF3" w:rsidRDefault="00047AF3" w:rsidP="00047AF3">
      <w:pPr>
        <w:pStyle w:val="FootnoteText"/>
      </w:pPr>
      <w:r>
        <w:rPr>
          <w:rStyle w:val="FootnoteReference"/>
        </w:rPr>
        <w:footnoteRef/>
      </w:r>
      <w:r>
        <w:t xml:space="preserve"> </w:t>
      </w:r>
      <w:bookmarkStart w:id="18" w:name="_Hlk99433867"/>
      <w:r w:rsidRPr="0054213B">
        <w:t>https://privacy.org.nz/privacy-act-2020/codes-of-practice/hipc2020/</w:t>
      </w:r>
      <w:bookmarkEnd w:id="18"/>
    </w:p>
  </w:footnote>
  <w:footnote w:id="10">
    <w:p w14:paraId="62603009" w14:textId="53562827" w:rsidR="00047AF3" w:rsidRDefault="00047AF3" w:rsidP="00047AF3">
      <w:pPr>
        <w:pStyle w:val="FootnoteText"/>
      </w:pPr>
      <w:r>
        <w:rPr>
          <w:rStyle w:val="FootnoteReference"/>
        </w:rPr>
        <w:footnoteRef/>
      </w:r>
      <w:r>
        <w:t xml:space="preserve"> </w:t>
      </w:r>
      <w:r w:rsidR="007D7FE1" w:rsidRPr="007D7FE1">
        <w:t>https://www.tewhatuora.govt.nz/our-health-system/digital-health/data-and-digital-standards/approved-standards/identity-standards/</w:t>
      </w:r>
      <w:r w:rsidR="007D7FE1" w:rsidRPr="007D7FE1" w:rsidDel="007D7FE1">
        <w:t xml:space="preserve"> </w:t>
      </w:r>
    </w:p>
  </w:footnote>
  <w:footnote w:id="11">
    <w:p w14:paraId="1F3972E2" w14:textId="77777777" w:rsidR="00047AF3" w:rsidRDefault="00047AF3" w:rsidP="00047AF3">
      <w:pPr>
        <w:pStyle w:val="FootnoteText"/>
      </w:pPr>
      <w:r>
        <w:rPr>
          <w:rStyle w:val="FootnoteReference"/>
        </w:rPr>
        <w:footnoteRef/>
      </w:r>
      <w:r>
        <w:t xml:space="preserve"> </w:t>
      </w:r>
      <w:r w:rsidRPr="00C9749E">
        <w:t>The Health Provider Index was previously known as the "Health Practitioner Index"</w:t>
      </w:r>
      <w:r>
        <w:t xml:space="preserve"> </w:t>
      </w:r>
      <w:r w:rsidRPr="005A1A39">
        <w:t>www.health.govt.nz/our-work/health-identity/health-provider-index</w:t>
      </w:r>
    </w:p>
  </w:footnote>
  <w:footnote w:id="12">
    <w:p w14:paraId="79F91A12" w14:textId="77777777" w:rsidR="00047AF3" w:rsidRDefault="00047AF3" w:rsidP="00047AF3">
      <w:pPr>
        <w:pStyle w:val="FootnoteText"/>
      </w:pPr>
      <w:r>
        <w:rPr>
          <w:rStyle w:val="FootnoteReference"/>
        </w:rPr>
        <w:footnoteRef/>
      </w:r>
      <w:r>
        <w:t xml:space="preserve"> </w:t>
      </w:r>
      <w:r w:rsidRPr="00C9749E">
        <w:t>www.health.govt.nz/publication/national-booking-reporting-system-file-specification</w:t>
      </w:r>
    </w:p>
  </w:footnote>
  <w:footnote w:id="13">
    <w:p w14:paraId="507842B8" w14:textId="77777777" w:rsidR="00895695" w:rsidRPr="00E35AAF" w:rsidRDefault="00895695" w:rsidP="00895695">
      <w:pPr>
        <w:pStyle w:val="FootnoteText"/>
      </w:pPr>
      <w:r w:rsidRPr="00145705">
        <w:rPr>
          <w:rStyle w:val="FootnoteReference"/>
        </w:rPr>
        <w:footnoteRef/>
      </w:r>
      <w:r>
        <w:tab/>
      </w:r>
      <w:r w:rsidRPr="00E35AAF">
        <w:t xml:space="preserve">Significant proposals may be significant in terms of funding (possibly over a multi-year contract), or in terms of the </w:t>
      </w:r>
      <w:r w:rsidRPr="001A499C">
        <w:t xml:space="preserve">potential impact on Health New Zealand </w:t>
      </w:r>
      <w:r w:rsidRPr="00E35AAF">
        <w:t>and its capacity to deliver the remaining services in the long term.</w:t>
      </w:r>
    </w:p>
  </w:footnote>
  <w:footnote w:id="14">
    <w:p w14:paraId="30A45E97" w14:textId="77777777" w:rsidR="00895695" w:rsidRDefault="00895695" w:rsidP="00895695">
      <w:pPr>
        <w:pStyle w:val="FootnoteText"/>
      </w:pPr>
      <w:r>
        <w:rPr>
          <w:rStyle w:val="FootnoteReference"/>
        </w:rPr>
        <w:footnoteRef/>
      </w:r>
      <w:r>
        <w:t xml:space="preserve"> </w:t>
      </w:r>
      <w:r w:rsidRPr="00760588">
        <w:t>https://pharmac.govt.nz/pharmaceutical-schedule/general-rules-section-a</w:t>
      </w:r>
    </w:p>
  </w:footnote>
  <w:footnote w:id="15">
    <w:p w14:paraId="2CCDA737" w14:textId="77777777" w:rsidR="00895695" w:rsidRDefault="00895695" w:rsidP="00895695">
      <w:pPr>
        <w:pStyle w:val="FootnoteText"/>
      </w:pPr>
      <w:r>
        <w:rPr>
          <w:rStyle w:val="FootnoteReference"/>
        </w:rPr>
        <w:footnoteRef/>
      </w:r>
      <w:r>
        <w:t xml:space="preserve"> </w:t>
      </w:r>
      <w:r w:rsidRPr="00BC028C">
        <w:t>https://www.tewhatuora.govt.nz/our-health-system/nationwide-service-framework-library/about-nationwide-service-specifications/specialist-medical-services-specifications/#oncology-services</w:t>
      </w:r>
    </w:p>
  </w:footnote>
  <w:footnote w:id="16">
    <w:p w14:paraId="444281DC" w14:textId="77777777" w:rsidR="00D87FAF" w:rsidRDefault="00D87FAF" w:rsidP="00D87FAF">
      <w:pPr>
        <w:pStyle w:val="FootnoteText"/>
      </w:pPr>
      <w:r>
        <w:rPr>
          <w:rStyle w:val="FootnoteReference"/>
        </w:rPr>
        <w:footnoteRef/>
      </w:r>
      <w:r>
        <w:t xml:space="preserve"> </w:t>
      </w:r>
      <w:r w:rsidRPr="002843FE">
        <w:t>https://www.procurement.govt.nz/procurement/principles-charter-and-rules/government-procurement-rules/</w:t>
      </w:r>
    </w:p>
  </w:footnote>
  <w:footnote w:id="17">
    <w:p w14:paraId="467CBDAC" w14:textId="77777777" w:rsidR="00D87FAF" w:rsidRDefault="00D87FAF" w:rsidP="00D87FAF">
      <w:pPr>
        <w:pStyle w:val="FootnoteText"/>
      </w:pPr>
      <w:r>
        <w:rPr>
          <w:rStyle w:val="FootnoteReference"/>
        </w:rPr>
        <w:footnoteRef/>
      </w:r>
      <w:r>
        <w:t xml:space="preserve"> </w:t>
      </w:r>
      <w:r w:rsidRPr="008B6A1B">
        <w:t>https://oag.parliament.nz/2008/procurement-guide/docs/procurement-guide.pdf</w:t>
      </w:r>
    </w:p>
  </w:footnote>
  <w:footnote w:id="18">
    <w:p w14:paraId="3A8546C7" w14:textId="77777777" w:rsidR="00D87FAF" w:rsidRDefault="00D87FAF" w:rsidP="00D87FAF">
      <w:pPr>
        <w:pStyle w:val="FootnoteText"/>
      </w:pPr>
      <w:r>
        <w:rPr>
          <w:rStyle w:val="FootnoteReference"/>
        </w:rPr>
        <w:footnoteRef/>
      </w:r>
      <w:r>
        <w:t xml:space="preserve"> www.</w:t>
      </w:r>
      <w:r w:rsidRPr="00C90B16">
        <w:t>oag.parliament.nz/2006/funding-ngos</w:t>
      </w:r>
    </w:p>
  </w:footnote>
  <w:footnote w:id="19">
    <w:p w14:paraId="25F90B39" w14:textId="77777777" w:rsidR="00D87FAF" w:rsidRDefault="00D87FAF" w:rsidP="00D87FAF">
      <w:pPr>
        <w:pStyle w:val="FootnoteText"/>
      </w:pPr>
      <w:r>
        <w:rPr>
          <w:rStyle w:val="FootnoteReference"/>
        </w:rPr>
        <w:footnoteRef/>
      </w:r>
      <w:r>
        <w:t xml:space="preserve"> </w:t>
      </w:r>
      <w:r w:rsidRPr="006F7F1A">
        <w:t>https://www.procurement.govt.nz/procurement/specialised-procurement/social-services-procurement/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3EEB" w14:textId="264AB44A" w:rsidR="001217CB" w:rsidRDefault="00121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0F98" w14:textId="1AF33C13" w:rsidR="003807A6" w:rsidRDefault="003807A6" w:rsidP="002022F4">
    <w:pPr>
      <w:pStyle w:val="Header"/>
      <w:numPr>
        <w:ilvl w:val="0"/>
        <w:numId w:val="0"/>
      </w:numPr>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7732" w14:textId="37CF49B0" w:rsidR="001217CB" w:rsidRDefault="00121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B3F"/>
    <w:multiLevelType w:val="multilevel"/>
    <w:tmpl w:val="224C06B2"/>
    <w:lvl w:ilvl="0">
      <w:start w:val="1"/>
      <w:numFmt w:val="decimal"/>
      <w:lvlText w:val="%1"/>
      <w:lvlJc w:val="left"/>
      <w:pPr>
        <w:ind w:left="1418" w:hanging="1418"/>
      </w:pPr>
      <w:rPr>
        <w:rFonts w:hint="default"/>
      </w:rPr>
    </w:lvl>
    <w:lvl w:ilvl="1">
      <w:start w:val="1"/>
      <w:numFmt w:val="decimal"/>
      <w:lvlText w:val="%1.%2"/>
      <w:lvlJc w:val="left"/>
      <w:pPr>
        <w:ind w:left="1986" w:hanging="1418"/>
      </w:pPr>
      <w:rPr>
        <w:rFonts w:hint="default"/>
      </w:rPr>
    </w:lvl>
    <w:lvl w:ilvl="2">
      <w:start w:val="1"/>
      <w:numFmt w:val="decimal"/>
      <w:lvlText w:val="%1.%2.%3"/>
      <w:lvlJc w:val="left"/>
      <w:pPr>
        <w:ind w:left="2411" w:hanging="851"/>
      </w:pPr>
      <w:rPr>
        <w:rFonts w:hint="default"/>
      </w:rPr>
    </w:lvl>
    <w:lvl w:ilvl="3">
      <w:start w:val="1"/>
      <w:numFmt w:val="lowerLetter"/>
      <w:lvlText w:val="%4."/>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092475"/>
    <w:multiLevelType w:val="hybridMultilevel"/>
    <w:tmpl w:val="BB0EA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DB05D4"/>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F103E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3248D1"/>
    <w:multiLevelType w:val="hybridMultilevel"/>
    <w:tmpl w:val="58CA951E"/>
    <w:lvl w:ilvl="0" w:tplc="3B2A4114">
      <w:start w:val="1"/>
      <w:numFmt w:val="lowerLetter"/>
      <w:lvlText w:val="%1."/>
      <w:lvlJc w:val="left"/>
      <w:pPr>
        <w:ind w:left="2934" w:hanging="360"/>
      </w:pPr>
      <w:rPr>
        <w:rFonts w:ascii="Segoe UI" w:eastAsia="Times New Roman" w:hAnsi="Segoe UI" w:cs="Times New Roman"/>
      </w:rPr>
    </w:lvl>
    <w:lvl w:ilvl="1" w:tplc="14090003" w:tentative="1">
      <w:start w:val="1"/>
      <w:numFmt w:val="bullet"/>
      <w:lvlText w:val="o"/>
      <w:lvlJc w:val="left"/>
      <w:pPr>
        <w:ind w:left="3654" w:hanging="360"/>
      </w:pPr>
      <w:rPr>
        <w:rFonts w:ascii="Courier New" w:hAnsi="Courier New" w:cs="Courier New" w:hint="default"/>
      </w:rPr>
    </w:lvl>
    <w:lvl w:ilvl="2" w:tplc="14090005" w:tentative="1">
      <w:start w:val="1"/>
      <w:numFmt w:val="bullet"/>
      <w:lvlText w:val=""/>
      <w:lvlJc w:val="left"/>
      <w:pPr>
        <w:ind w:left="4374" w:hanging="360"/>
      </w:pPr>
      <w:rPr>
        <w:rFonts w:ascii="Wingdings" w:hAnsi="Wingdings" w:cs="Wingdings" w:hint="default"/>
      </w:rPr>
    </w:lvl>
    <w:lvl w:ilvl="3" w:tplc="14090001" w:tentative="1">
      <w:start w:val="1"/>
      <w:numFmt w:val="bullet"/>
      <w:lvlText w:val=""/>
      <w:lvlJc w:val="left"/>
      <w:pPr>
        <w:ind w:left="5094" w:hanging="360"/>
      </w:pPr>
      <w:rPr>
        <w:rFonts w:ascii="Symbol" w:hAnsi="Symbol" w:cs="Symbol" w:hint="default"/>
      </w:rPr>
    </w:lvl>
    <w:lvl w:ilvl="4" w:tplc="14090003" w:tentative="1">
      <w:start w:val="1"/>
      <w:numFmt w:val="bullet"/>
      <w:lvlText w:val="o"/>
      <w:lvlJc w:val="left"/>
      <w:pPr>
        <w:ind w:left="5814" w:hanging="360"/>
      </w:pPr>
      <w:rPr>
        <w:rFonts w:ascii="Courier New" w:hAnsi="Courier New" w:cs="Courier New" w:hint="default"/>
      </w:rPr>
    </w:lvl>
    <w:lvl w:ilvl="5" w:tplc="14090005" w:tentative="1">
      <w:start w:val="1"/>
      <w:numFmt w:val="bullet"/>
      <w:lvlText w:val=""/>
      <w:lvlJc w:val="left"/>
      <w:pPr>
        <w:ind w:left="6534" w:hanging="360"/>
      </w:pPr>
      <w:rPr>
        <w:rFonts w:ascii="Wingdings" w:hAnsi="Wingdings" w:cs="Wingdings" w:hint="default"/>
      </w:rPr>
    </w:lvl>
    <w:lvl w:ilvl="6" w:tplc="14090001" w:tentative="1">
      <w:start w:val="1"/>
      <w:numFmt w:val="bullet"/>
      <w:lvlText w:val=""/>
      <w:lvlJc w:val="left"/>
      <w:pPr>
        <w:ind w:left="7254" w:hanging="360"/>
      </w:pPr>
      <w:rPr>
        <w:rFonts w:ascii="Symbol" w:hAnsi="Symbol" w:cs="Symbol" w:hint="default"/>
      </w:rPr>
    </w:lvl>
    <w:lvl w:ilvl="7" w:tplc="14090003" w:tentative="1">
      <w:start w:val="1"/>
      <w:numFmt w:val="bullet"/>
      <w:lvlText w:val="o"/>
      <w:lvlJc w:val="left"/>
      <w:pPr>
        <w:ind w:left="7974" w:hanging="360"/>
      </w:pPr>
      <w:rPr>
        <w:rFonts w:ascii="Courier New" w:hAnsi="Courier New" w:cs="Courier New" w:hint="default"/>
      </w:rPr>
    </w:lvl>
    <w:lvl w:ilvl="8" w:tplc="14090005" w:tentative="1">
      <w:start w:val="1"/>
      <w:numFmt w:val="bullet"/>
      <w:lvlText w:val=""/>
      <w:lvlJc w:val="left"/>
      <w:pPr>
        <w:ind w:left="8694" w:hanging="360"/>
      </w:pPr>
      <w:rPr>
        <w:rFonts w:ascii="Wingdings" w:hAnsi="Wingdings" w:cs="Wingdings" w:hint="default"/>
      </w:rPr>
    </w:lvl>
  </w:abstractNum>
  <w:abstractNum w:abstractNumId="5" w15:restartNumberingAfterBreak="0">
    <w:nsid w:val="0F817D2D"/>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E0373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9F6264"/>
    <w:multiLevelType w:val="hybridMultilevel"/>
    <w:tmpl w:val="D1A4FF80"/>
    <w:lvl w:ilvl="0" w:tplc="77E04C1C">
      <w:start w:val="1"/>
      <w:numFmt w:val="decimal"/>
      <w:lvlText w:val="%1."/>
      <w:lvlJc w:val="left"/>
      <w:pPr>
        <w:ind w:left="927" w:hanging="360"/>
      </w:p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8" w15:restartNumberingAfterBreak="0">
    <w:nsid w:val="1E683E52"/>
    <w:multiLevelType w:val="multilevel"/>
    <w:tmpl w:val="95FEBF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5"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CD12FC"/>
    <w:multiLevelType w:val="hybridMultilevel"/>
    <w:tmpl w:val="E7205E58"/>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B1A4765"/>
    <w:multiLevelType w:val="hybridMultilevel"/>
    <w:tmpl w:val="FD0A18F8"/>
    <w:lvl w:ilvl="0" w:tplc="1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6DB28AF"/>
    <w:multiLevelType w:val="hybridMultilevel"/>
    <w:tmpl w:val="174AB622"/>
    <w:lvl w:ilvl="0" w:tplc="14090019">
      <w:start w:val="1"/>
      <w:numFmt w:val="lowerLetter"/>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380315C3"/>
    <w:multiLevelType w:val="hybridMultilevel"/>
    <w:tmpl w:val="0BC02A04"/>
    <w:lvl w:ilvl="0" w:tplc="14090019">
      <w:start w:val="1"/>
      <w:numFmt w:val="lowerLetter"/>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8875052"/>
    <w:multiLevelType w:val="hybridMultilevel"/>
    <w:tmpl w:val="D8C0C9BC"/>
    <w:lvl w:ilvl="0" w:tplc="FFFFFFFF">
      <w:start w:val="1"/>
      <w:numFmt w:val="lowerLetter"/>
      <w:lvlText w:val="%1."/>
      <w:lvlJc w:val="left"/>
      <w:pPr>
        <w:ind w:left="360" w:hanging="360"/>
      </w:pPr>
      <w:rPr>
        <w:rFonts w:hint="default"/>
      </w:rPr>
    </w:lvl>
    <w:lvl w:ilvl="1" w:tplc="14090013">
      <w:start w:val="1"/>
      <w:numFmt w:val="upperRoman"/>
      <w:lvlText w:val="%2."/>
      <w:lvlJc w:val="righ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BCB0CE3"/>
    <w:multiLevelType w:val="hybridMultilevel"/>
    <w:tmpl w:val="FF04D830"/>
    <w:lvl w:ilvl="0" w:tplc="14090019">
      <w:start w:val="1"/>
      <w:numFmt w:val="lowerLetter"/>
      <w:lvlText w:val="%1."/>
      <w:lvlJc w:val="left"/>
      <w:pPr>
        <w:ind w:left="502"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3E882CF7"/>
    <w:multiLevelType w:val="hybridMultilevel"/>
    <w:tmpl w:val="90E29642"/>
    <w:lvl w:ilvl="0" w:tplc="14090019">
      <w:start w:val="1"/>
      <w:numFmt w:val="lowerLetter"/>
      <w:lvlText w:val="%1."/>
      <w:lvlJc w:val="left"/>
      <w:pPr>
        <w:ind w:left="360" w:hanging="360"/>
      </w:pPr>
      <w:rPr>
        <w:rFonts w:hint="default"/>
      </w:rPr>
    </w:lvl>
    <w:lvl w:ilvl="1" w:tplc="648227D6">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ECC69F0"/>
    <w:multiLevelType w:val="multilevel"/>
    <w:tmpl w:val="E55A69BC"/>
    <w:lvl w:ilvl="0">
      <w:start w:val="1"/>
      <w:numFmt w:val="decimal"/>
      <w:pStyle w:val="Heading1"/>
      <w:lvlText w:val="%1"/>
      <w:lvlJc w:val="left"/>
      <w:pPr>
        <w:ind w:left="1418" w:hanging="1418"/>
      </w:pPr>
      <w:rPr>
        <w:rFonts w:hint="default"/>
      </w:rPr>
    </w:lvl>
    <w:lvl w:ilvl="1">
      <w:start w:val="1"/>
      <w:numFmt w:val="decimal"/>
      <w:pStyle w:val="Heading2"/>
      <w:lvlText w:val="%1.%2"/>
      <w:lvlJc w:val="left"/>
      <w:pPr>
        <w:ind w:left="3120" w:hanging="1418"/>
      </w:pPr>
      <w:rPr>
        <w:rFonts w:hint="default"/>
      </w:rPr>
    </w:lvl>
    <w:lvl w:ilvl="2">
      <w:start w:val="1"/>
      <w:numFmt w:val="decimal"/>
      <w:pStyle w:val="Header"/>
      <w:lvlText w:val="%1.%2.%3"/>
      <w:lvlJc w:val="left"/>
      <w:pPr>
        <w:ind w:left="851" w:hanging="851"/>
      </w:pPr>
      <w:rPr>
        <w:rFonts w:hint="default"/>
      </w:rPr>
    </w:lvl>
    <w:lvl w:ilvl="3">
      <w:start w:val="1"/>
      <w:numFmt w:val="lowerLetter"/>
      <w:pStyle w:val="Footer"/>
      <w:lvlText w:val="%4."/>
      <w:lvlJc w:val="left"/>
      <w:pPr>
        <w:ind w:left="127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3A32A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996490"/>
    <w:multiLevelType w:val="multilevel"/>
    <w:tmpl w:val="5F56D774"/>
    <w:lvl w:ilvl="0">
      <w:start w:val="11"/>
      <w:numFmt w:val="decimal"/>
      <w:lvlText w:val="%1"/>
      <w:lvlJc w:val="left"/>
      <w:pPr>
        <w:ind w:left="588" w:hanging="588"/>
      </w:pPr>
      <w:rPr>
        <w:rFonts w:hint="default"/>
      </w:rPr>
    </w:lvl>
    <w:lvl w:ilvl="1">
      <w:start w:val="11"/>
      <w:numFmt w:val="decimal"/>
      <w:lvlText w:val="%1.%2"/>
      <w:lvlJc w:val="left"/>
      <w:pPr>
        <w:ind w:left="588" w:hanging="5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391D83"/>
    <w:multiLevelType w:val="hybridMultilevel"/>
    <w:tmpl w:val="69C29A64"/>
    <w:lvl w:ilvl="0" w:tplc="FFFFFFFF">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5FB18DE"/>
    <w:multiLevelType w:val="hybridMultilevel"/>
    <w:tmpl w:val="1C94CA18"/>
    <w:lvl w:ilvl="0" w:tplc="14090019">
      <w:start w:val="1"/>
      <w:numFmt w:val="lowerLetter"/>
      <w:lvlText w:val="%1."/>
      <w:lvlJc w:val="left"/>
      <w:pPr>
        <w:ind w:left="360" w:hanging="360"/>
      </w:pPr>
    </w:lvl>
    <w:lvl w:ilvl="1" w:tplc="14090013">
      <w:start w:val="1"/>
      <w:numFmt w:val="upperRoman"/>
      <w:lvlText w:val="%2."/>
      <w:lvlJc w:val="righ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6EE64CC7"/>
    <w:multiLevelType w:val="hybridMultilevel"/>
    <w:tmpl w:val="69C29A64"/>
    <w:lvl w:ilvl="0" w:tplc="14090019">
      <w:start w:val="1"/>
      <w:numFmt w:val="lowerLetter"/>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74A81F76"/>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B240BD"/>
    <w:multiLevelType w:val="hybridMultilevel"/>
    <w:tmpl w:val="A2CE506C"/>
    <w:lvl w:ilvl="0" w:tplc="14090019">
      <w:start w:val="1"/>
      <w:numFmt w:val="lowerLetter"/>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E5E33D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6742946">
    <w:abstractNumId w:val="7"/>
  </w:num>
  <w:num w:numId="2" w16cid:durableId="1666087887">
    <w:abstractNumId w:val="12"/>
  </w:num>
  <w:num w:numId="3" w16cid:durableId="1528954949">
    <w:abstractNumId w:val="1"/>
  </w:num>
  <w:num w:numId="4" w16cid:durableId="1690523626">
    <w:abstractNumId w:val="14"/>
  </w:num>
  <w:num w:numId="5" w16cid:durableId="824512672">
    <w:abstractNumId w:val="23"/>
  </w:num>
  <w:num w:numId="6" w16cid:durableId="1983608605">
    <w:abstractNumId w:val="21"/>
  </w:num>
  <w:num w:numId="7" w16cid:durableId="1807818978">
    <w:abstractNumId w:val="20"/>
  </w:num>
  <w:num w:numId="8" w16cid:durableId="1180388705">
    <w:abstractNumId w:val="15"/>
  </w:num>
  <w:num w:numId="9" w16cid:durableId="1300069535">
    <w:abstractNumId w:val="9"/>
  </w:num>
  <w:num w:numId="10" w16cid:durableId="1835532659">
    <w:abstractNumId w:val="11"/>
  </w:num>
  <w:num w:numId="11" w16cid:durableId="1548571141">
    <w:abstractNumId w:val="19"/>
  </w:num>
  <w:num w:numId="12" w16cid:durableId="574362407">
    <w:abstractNumId w:val="16"/>
  </w:num>
  <w:num w:numId="13" w16cid:durableId="247858245">
    <w:abstractNumId w:val="18"/>
  </w:num>
  <w:num w:numId="14" w16cid:durableId="870337417">
    <w:abstractNumId w:val="4"/>
  </w:num>
  <w:num w:numId="15" w16cid:durableId="4791009">
    <w:abstractNumId w:val="0"/>
  </w:num>
  <w:num w:numId="16" w16cid:durableId="2121027419">
    <w:abstractNumId w:val="8"/>
  </w:num>
  <w:num w:numId="17" w16cid:durableId="406607959">
    <w:abstractNumId w:val="17"/>
  </w:num>
  <w:num w:numId="18" w16cid:durableId="2034719018">
    <w:abstractNumId w:val="16"/>
    <w:lvlOverride w:ilvl="0">
      <w:startOverride w:val="1"/>
    </w:lvlOverride>
    <w:lvlOverride w:ilvl="1">
      <w:startOverride w:val="1"/>
    </w:lvlOverride>
    <w:lvlOverride w:ilvl="2">
      <w:startOverride w:val="1"/>
    </w:lvlOverride>
    <w:lvlOverride w:ilvl="3">
      <w:startOverride w:val="2"/>
    </w:lvlOverride>
  </w:num>
  <w:num w:numId="19" w16cid:durableId="1033190033">
    <w:abstractNumId w:val="6"/>
  </w:num>
  <w:num w:numId="20" w16cid:durableId="2110856657">
    <w:abstractNumId w:val="5"/>
  </w:num>
  <w:num w:numId="21" w16cid:durableId="1715428221">
    <w:abstractNumId w:val="24"/>
  </w:num>
  <w:num w:numId="22" w16cid:durableId="333192359">
    <w:abstractNumId w:val="3"/>
  </w:num>
  <w:num w:numId="23" w16cid:durableId="854805630">
    <w:abstractNumId w:val="22"/>
  </w:num>
  <w:num w:numId="24" w16cid:durableId="881281972">
    <w:abstractNumId w:val="2"/>
  </w:num>
  <w:num w:numId="25" w16cid:durableId="808521431">
    <w:abstractNumId w:val="10"/>
  </w:num>
  <w:num w:numId="26" w16cid:durableId="4369454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9ADE14"/>
    <w:rsid w:val="000011B7"/>
    <w:rsid w:val="000016AA"/>
    <w:rsid w:val="0000400A"/>
    <w:rsid w:val="00007398"/>
    <w:rsid w:val="0000781E"/>
    <w:rsid w:val="000078C8"/>
    <w:rsid w:val="0001602F"/>
    <w:rsid w:val="00025314"/>
    <w:rsid w:val="000344B1"/>
    <w:rsid w:val="00037806"/>
    <w:rsid w:val="00043CEE"/>
    <w:rsid w:val="000479D9"/>
    <w:rsid w:val="00047AF3"/>
    <w:rsid w:val="00052110"/>
    <w:rsid w:val="00066384"/>
    <w:rsid w:val="00072B55"/>
    <w:rsid w:val="000735EA"/>
    <w:rsid w:val="00075CB8"/>
    <w:rsid w:val="000760DD"/>
    <w:rsid w:val="00076264"/>
    <w:rsid w:val="000777A4"/>
    <w:rsid w:val="000852F7"/>
    <w:rsid w:val="00086174"/>
    <w:rsid w:val="000878AA"/>
    <w:rsid w:val="00087CF5"/>
    <w:rsid w:val="00091AA6"/>
    <w:rsid w:val="000A3779"/>
    <w:rsid w:val="000A4D92"/>
    <w:rsid w:val="000A7590"/>
    <w:rsid w:val="000B60B5"/>
    <w:rsid w:val="000B6FAE"/>
    <w:rsid w:val="000C0E46"/>
    <w:rsid w:val="000C11D7"/>
    <w:rsid w:val="000C1E95"/>
    <w:rsid w:val="000C314E"/>
    <w:rsid w:val="000C3BAE"/>
    <w:rsid w:val="000D4433"/>
    <w:rsid w:val="000E1835"/>
    <w:rsid w:val="000E6D4B"/>
    <w:rsid w:val="000F25AE"/>
    <w:rsid w:val="000F5B09"/>
    <w:rsid w:val="0010112E"/>
    <w:rsid w:val="00102046"/>
    <w:rsid w:val="001217CB"/>
    <w:rsid w:val="00124F90"/>
    <w:rsid w:val="001301E3"/>
    <w:rsid w:val="001334AC"/>
    <w:rsid w:val="00140EDE"/>
    <w:rsid w:val="00141E9F"/>
    <w:rsid w:val="00144C87"/>
    <w:rsid w:val="00144CDB"/>
    <w:rsid w:val="001459EC"/>
    <w:rsid w:val="001507C5"/>
    <w:rsid w:val="0015103E"/>
    <w:rsid w:val="0015275C"/>
    <w:rsid w:val="00155977"/>
    <w:rsid w:val="00163965"/>
    <w:rsid w:val="001710B8"/>
    <w:rsid w:val="00172BC6"/>
    <w:rsid w:val="001739B9"/>
    <w:rsid w:val="00180025"/>
    <w:rsid w:val="0018184E"/>
    <w:rsid w:val="001837D4"/>
    <w:rsid w:val="001860B2"/>
    <w:rsid w:val="001868AE"/>
    <w:rsid w:val="0018711E"/>
    <w:rsid w:val="00187870"/>
    <w:rsid w:val="001901E6"/>
    <w:rsid w:val="001907AF"/>
    <w:rsid w:val="00194074"/>
    <w:rsid w:val="001A6329"/>
    <w:rsid w:val="001A6C78"/>
    <w:rsid w:val="001B0140"/>
    <w:rsid w:val="001B3DE6"/>
    <w:rsid w:val="001C0D5D"/>
    <w:rsid w:val="001C4719"/>
    <w:rsid w:val="001D0B25"/>
    <w:rsid w:val="001D2682"/>
    <w:rsid w:val="001D5CDB"/>
    <w:rsid w:val="001E09CB"/>
    <w:rsid w:val="001E1D77"/>
    <w:rsid w:val="001F1966"/>
    <w:rsid w:val="001F4BD5"/>
    <w:rsid w:val="002022F4"/>
    <w:rsid w:val="00204DCC"/>
    <w:rsid w:val="00206CAF"/>
    <w:rsid w:val="002110B7"/>
    <w:rsid w:val="00211D0C"/>
    <w:rsid w:val="00212562"/>
    <w:rsid w:val="00213410"/>
    <w:rsid w:val="00214468"/>
    <w:rsid w:val="00217BB5"/>
    <w:rsid w:val="0022075E"/>
    <w:rsid w:val="00222973"/>
    <w:rsid w:val="002363C5"/>
    <w:rsid w:val="002370B2"/>
    <w:rsid w:val="00237741"/>
    <w:rsid w:val="0024312E"/>
    <w:rsid w:val="00246768"/>
    <w:rsid w:val="0024720B"/>
    <w:rsid w:val="00252B90"/>
    <w:rsid w:val="0025303B"/>
    <w:rsid w:val="002606D0"/>
    <w:rsid w:val="00265B54"/>
    <w:rsid w:val="00270F89"/>
    <w:rsid w:val="00271D70"/>
    <w:rsid w:val="0027469A"/>
    <w:rsid w:val="002829F8"/>
    <w:rsid w:val="00291601"/>
    <w:rsid w:val="002A34AC"/>
    <w:rsid w:val="002A482A"/>
    <w:rsid w:val="002B2C7D"/>
    <w:rsid w:val="002B36FE"/>
    <w:rsid w:val="002C647E"/>
    <w:rsid w:val="002D025F"/>
    <w:rsid w:val="002D661D"/>
    <w:rsid w:val="002F17D2"/>
    <w:rsid w:val="002F37DB"/>
    <w:rsid w:val="002F49DD"/>
    <w:rsid w:val="002F5EB0"/>
    <w:rsid w:val="0030182F"/>
    <w:rsid w:val="003041AB"/>
    <w:rsid w:val="003079B3"/>
    <w:rsid w:val="003228F1"/>
    <w:rsid w:val="00324919"/>
    <w:rsid w:val="00327DB5"/>
    <w:rsid w:val="003316D3"/>
    <w:rsid w:val="00331ABB"/>
    <w:rsid w:val="00332B92"/>
    <w:rsid w:val="00333452"/>
    <w:rsid w:val="003348C1"/>
    <w:rsid w:val="003348F6"/>
    <w:rsid w:val="003458E3"/>
    <w:rsid w:val="00346B0D"/>
    <w:rsid w:val="003504E4"/>
    <w:rsid w:val="0035185A"/>
    <w:rsid w:val="00355734"/>
    <w:rsid w:val="00361574"/>
    <w:rsid w:val="003679DF"/>
    <w:rsid w:val="00371735"/>
    <w:rsid w:val="00375E0D"/>
    <w:rsid w:val="003807A6"/>
    <w:rsid w:val="003834C1"/>
    <w:rsid w:val="00384E24"/>
    <w:rsid w:val="0039056F"/>
    <w:rsid w:val="00396DD4"/>
    <w:rsid w:val="00396E06"/>
    <w:rsid w:val="00397C68"/>
    <w:rsid w:val="003A1050"/>
    <w:rsid w:val="003A3AD9"/>
    <w:rsid w:val="003A4D5A"/>
    <w:rsid w:val="003B0A41"/>
    <w:rsid w:val="003B0DFD"/>
    <w:rsid w:val="003B1C9C"/>
    <w:rsid w:val="003B3553"/>
    <w:rsid w:val="003B5BDC"/>
    <w:rsid w:val="003B7635"/>
    <w:rsid w:val="003C55CD"/>
    <w:rsid w:val="003C5ED9"/>
    <w:rsid w:val="003D07F4"/>
    <w:rsid w:val="003D1520"/>
    <w:rsid w:val="003D5723"/>
    <w:rsid w:val="003D5C8E"/>
    <w:rsid w:val="003E7B48"/>
    <w:rsid w:val="003F2C9C"/>
    <w:rsid w:val="003F4664"/>
    <w:rsid w:val="003F5C11"/>
    <w:rsid w:val="003F6878"/>
    <w:rsid w:val="00400525"/>
    <w:rsid w:val="00403535"/>
    <w:rsid w:val="00410690"/>
    <w:rsid w:val="0041413A"/>
    <w:rsid w:val="00416DBA"/>
    <w:rsid w:val="004216CF"/>
    <w:rsid w:val="00423E05"/>
    <w:rsid w:val="0043206F"/>
    <w:rsid w:val="00436176"/>
    <w:rsid w:val="00436ED1"/>
    <w:rsid w:val="00440886"/>
    <w:rsid w:val="00442DF8"/>
    <w:rsid w:val="00443A5D"/>
    <w:rsid w:val="004445B8"/>
    <w:rsid w:val="00450247"/>
    <w:rsid w:val="00453943"/>
    <w:rsid w:val="0045716D"/>
    <w:rsid w:val="00457ABB"/>
    <w:rsid w:val="00461CF4"/>
    <w:rsid w:val="0046714B"/>
    <w:rsid w:val="004675AB"/>
    <w:rsid w:val="0046788B"/>
    <w:rsid w:val="00467CC5"/>
    <w:rsid w:val="004727E8"/>
    <w:rsid w:val="00477C44"/>
    <w:rsid w:val="00485535"/>
    <w:rsid w:val="00491198"/>
    <w:rsid w:val="0049708A"/>
    <w:rsid w:val="004A332C"/>
    <w:rsid w:val="004A3F2F"/>
    <w:rsid w:val="004A4B28"/>
    <w:rsid w:val="004A67F6"/>
    <w:rsid w:val="004B427D"/>
    <w:rsid w:val="004B46AA"/>
    <w:rsid w:val="004B4A19"/>
    <w:rsid w:val="004B7F1E"/>
    <w:rsid w:val="004C726C"/>
    <w:rsid w:val="004D127C"/>
    <w:rsid w:val="004D1AAA"/>
    <w:rsid w:val="004D3E9C"/>
    <w:rsid w:val="004D4014"/>
    <w:rsid w:val="004D442A"/>
    <w:rsid w:val="004D4B54"/>
    <w:rsid w:val="004D534D"/>
    <w:rsid w:val="004D6E66"/>
    <w:rsid w:val="004E2AD2"/>
    <w:rsid w:val="004F1029"/>
    <w:rsid w:val="004F68B6"/>
    <w:rsid w:val="004F7676"/>
    <w:rsid w:val="004F7978"/>
    <w:rsid w:val="00505CED"/>
    <w:rsid w:val="00510817"/>
    <w:rsid w:val="00510902"/>
    <w:rsid w:val="0051299A"/>
    <w:rsid w:val="00516478"/>
    <w:rsid w:val="00521858"/>
    <w:rsid w:val="00525734"/>
    <w:rsid w:val="00527664"/>
    <w:rsid w:val="00527DB1"/>
    <w:rsid w:val="005313EC"/>
    <w:rsid w:val="005325B1"/>
    <w:rsid w:val="0053439A"/>
    <w:rsid w:val="00537D6F"/>
    <w:rsid w:val="0054021C"/>
    <w:rsid w:val="00544F1A"/>
    <w:rsid w:val="00547AA4"/>
    <w:rsid w:val="00547D94"/>
    <w:rsid w:val="00553690"/>
    <w:rsid w:val="0056794C"/>
    <w:rsid w:val="005722D0"/>
    <w:rsid w:val="00573348"/>
    <w:rsid w:val="00581BB8"/>
    <w:rsid w:val="00582F92"/>
    <w:rsid w:val="005876F8"/>
    <w:rsid w:val="00593347"/>
    <w:rsid w:val="0059768A"/>
    <w:rsid w:val="005A2851"/>
    <w:rsid w:val="005A3F06"/>
    <w:rsid w:val="005A4391"/>
    <w:rsid w:val="005A6026"/>
    <w:rsid w:val="005A754C"/>
    <w:rsid w:val="005B04C3"/>
    <w:rsid w:val="005B22AA"/>
    <w:rsid w:val="005B7110"/>
    <w:rsid w:val="005C066F"/>
    <w:rsid w:val="005C4248"/>
    <w:rsid w:val="005C5652"/>
    <w:rsid w:val="005C7B28"/>
    <w:rsid w:val="005D3129"/>
    <w:rsid w:val="005D6C81"/>
    <w:rsid w:val="005E0889"/>
    <w:rsid w:val="005E0F31"/>
    <w:rsid w:val="005E2530"/>
    <w:rsid w:val="005E2E14"/>
    <w:rsid w:val="005E7E73"/>
    <w:rsid w:val="005F2331"/>
    <w:rsid w:val="005F38D2"/>
    <w:rsid w:val="005F54BF"/>
    <w:rsid w:val="005F6253"/>
    <w:rsid w:val="005F7177"/>
    <w:rsid w:val="00600208"/>
    <w:rsid w:val="00601CCF"/>
    <w:rsid w:val="00606E26"/>
    <w:rsid w:val="00606F81"/>
    <w:rsid w:val="00610E5F"/>
    <w:rsid w:val="00613D64"/>
    <w:rsid w:val="00615313"/>
    <w:rsid w:val="006212FD"/>
    <w:rsid w:val="00622BA5"/>
    <w:rsid w:val="00623951"/>
    <w:rsid w:val="006240AB"/>
    <w:rsid w:val="006255FA"/>
    <w:rsid w:val="00627217"/>
    <w:rsid w:val="00630A07"/>
    <w:rsid w:val="00632E60"/>
    <w:rsid w:val="00636BAF"/>
    <w:rsid w:val="0064316E"/>
    <w:rsid w:val="00647087"/>
    <w:rsid w:val="006471B3"/>
    <w:rsid w:val="00650DFE"/>
    <w:rsid w:val="00651637"/>
    <w:rsid w:val="0065190A"/>
    <w:rsid w:val="006524F9"/>
    <w:rsid w:val="00652874"/>
    <w:rsid w:val="00654573"/>
    <w:rsid w:val="0066340F"/>
    <w:rsid w:val="00663823"/>
    <w:rsid w:val="006704B0"/>
    <w:rsid w:val="006712FC"/>
    <w:rsid w:val="0067312F"/>
    <w:rsid w:val="00675C81"/>
    <w:rsid w:val="00676D56"/>
    <w:rsid w:val="0068153E"/>
    <w:rsid w:val="00682E7A"/>
    <w:rsid w:val="006846B9"/>
    <w:rsid w:val="0068484F"/>
    <w:rsid w:val="00693FDF"/>
    <w:rsid w:val="006A09C1"/>
    <w:rsid w:val="006A3580"/>
    <w:rsid w:val="006A3BDD"/>
    <w:rsid w:val="006A76EF"/>
    <w:rsid w:val="006B08E5"/>
    <w:rsid w:val="006B431F"/>
    <w:rsid w:val="006C0F37"/>
    <w:rsid w:val="006C4153"/>
    <w:rsid w:val="006D2273"/>
    <w:rsid w:val="006D2CE0"/>
    <w:rsid w:val="006D60B4"/>
    <w:rsid w:val="006D6DC2"/>
    <w:rsid w:val="006E1A3F"/>
    <w:rsid w:val="006E356B"/>
    <w:rsid w:val="006F7800"/>
    <w:rsid w:val="00704280"/>
    <w:rsid w:val="00707F2B"/>
    <w:rsid w:val="007104AD"/>
    <w:rsid w:val="0071318D"/>
    <w:rsid w:val="0072667F"/>
    <w:rsid w:val="0073274D"/>
    <w:rsid w:val="00735446"/>
    <w:rsid w:val="00735AE1"/>
    <w:rsid w:val="007421A8"/>
    <w:rsid w:val="00754E40"/>
    <w:rsid w:val="00756812"/>
    <w:rsid w:val="007574AB"/>
    <w:rsid w:val="00762230"/>
    <w:rsid w:val="00762AB0"/>
    <w:rsid w:val="00762C08"/>
    <w:rsid w:val="00763640"/>
    <w:rsid w:val="00776065"/>
    <w:rsid w:val="00776AF1"/>
    <w:rsid w:val="0078076F"/>
    <w:rsid w:val="00786DDE"/>
    <w:rsid w:val="007903CF"/>
    <w:rsid w:val="00793F20"/>
    <w:rsid w:val="00795673"/>
    <w:rsid w:val="00795BFC"/>
    <w:rsid w:val="0079707B"/>
    <w:rsid w:val="007A3D4D"/>
    <w:rsid w:val="007B0A59"/>
    <w:rsid w:val="007B2516"/>
    <w:rsid w:val="007B65AF"/>
    <w:rsid w:val="007C10DE"/>
    <w:rsid w:val="007C20B8"/>
    <w:rsid w:val="007C2973"/>
    <w:rsid w:val="007D3000"/>
    <w:rsid w:val="007D484C"/>
    <w:rsid w:val="007D60C7"/>
    <w:rsid w:val="007D7FE1"/>
    <w:rsid w:val="007E0F54"/>
    <w:rsid w:val="007E4094"/>
    <w:rsid w:val="007E40E5"/>
    <w:rsid w:val="007F48FE"/>
    <w:rsid w:val="007F7E83"/>
    <w:rsid w:val="00802A58"/>
    <w:rsid w:val="00805421"/>
    <w:rsid w:val="00806F6F"/>
    <w:rsid w:val="008125E5"/>
    <w:rsid w:val="0081331A"/>
    <w:rsid w:val="00813FBB"/>
    <w:rsid w:val="00814AF8"/>
    <w:rsid w:val="00815009"/>
    <w:rsid w:val="00817460"/>
    <w:rsid w:val="0082292E"/>
    <w:rsid w:val="00822EEF"/>
    <w:rsid w:val="00823FAD"/>
    <w:rsid w:val="008243B2"/>
    <w:rsid w:val="008323D8"/>
    <w:rsid w:val="0083465F"/>
    <w:rsid w:val="00835B66"/>
    <w:rsid w:val="00836F29"/>
    <w:rsid w:val="00846E98"/>
    <w:rsid w:val="00852331"/>
    <w:rsid w:val="0085316D"/>
    <w:rsid w:val="00854EED"/>
    <w:rsid w:val="008559F0"/>
    <w:rsid w:val="00857712"/>
    <w:rsid w:val="00864B06"/>
    <w:rsid w:val="008669A3"/>
    <w:rsid w:val="00871269"/>
    <w:rsid w:val="0087267C"/>
    <w:rsid w:val="00874200"/>
    <w:rsid w:val="0087436B"/>
    <w:rsid w:val="00874747"/>
    <w:rsid w:val="008759BD"/>
    <w:rsid w:val="008875C2"/>
    <w:rsid w:val="0089021B"/>
    <w:rsid w:val="00895695"/>
    <w:rsid w:val="00895F3D"/>
    <w:rsid w:val="008A53B8"/>
    <w:rsid w:val="008B4826"/>
    <w:rsid w:val="008B66A7"/>
    <w:rsid w:val="008C0875"/>
    <w:rsid w:val="008D13BA"/>
    <w:rsid w:val="008D7353"/>
    <w:rsid w:val="008E01AF"/>
    <w:rsid w:val="008E18CB"/>
    <w:rsid w:val="008E23C1"/>
    <w:rsid w:val="008E58D6"/>
    <w:rsid w:val="008E7D96"/>
    <w:rsid w:val="008F07E1"/>
    <w:rsid w:val="008F5580"/>
    <w:rsid w:val="008F72A1"/>
    <w:rsid w:val="009024F4"/>
    <w:rsid w:val="0090563A"/>
    <w:rsid w:val="0091589E"/>
    <w:rsid w:val="00916FC9"/>
    <w:rsid w:val="00921C13"/>
    <w:rsid w:val="00922FD0"/>
    <w:rsid w:val="00930B89"/>
    <w:rsid w:val="009324A9"/>
    <w:rsid w:val="009420A5"/>
    <w:rsid w:val="009420B9"/>
    <w:rsid w:val="00947255"/>
    <w:rsid w:val="0095240A"/>
    <w:rsid w:val="00953006"/>
    <w:rsid w:val="00962396"/>
    <w:rsid w:val="009637D8"/>
    <w:rsid w:val="0096686F"/>
    <w:rsid w:val="009700C2"/>
    <w:rsid w:val="00973BAD"/>
    <w:rsid w:val="00974753"/>
    <w:rsid w:val="00976748"/>
    <w:rsid w:val="00977697"/>
    <w:rsid w:val="009776F8"/>
    <w:rsid w:val="0098293A"/>
    <w:rsid w:val="00983044"/>
    <w:rsid w:val="00983D3F"/>
    <w:rsid w:val="00983FD1"/>
    <w:rsid w:val="00991535"/>
    <w:rsid w:val="009924AC"/>
    <w:rsid w:val="009959AD"/>
    <w:rsid w:val="009A0B9F"/>
    <w:rsid w:val="009A1AF3"/>
    <w:rsid w:val="009A2054"/>
    <w:rsid w:val="009A27E8"/>
    <w:rsid w:val="009A3840"/>
    <w:rsid w:val="009A596E"/>
    <w:rsid w:val="009B3E49"/>
    <w:rsid w:val="009C052A"/>
    <w:rsid w:val="009C084E"/>
    <w:rsid w:val="009C5F90"/>
    <w:rsid w:val="009D0530"/>
    <w:rsid w:val="009D3243"/>
    <w:rsid w:val="009D4C24"/>
    <w:rsid w:val="009D5E27"/>
    <w:rsid w:val="009D6F52"/>
    <w:rsid w:val="009E394F"/>
    <w:rsid w:val="009E5693"/>
    <w:rsid w:val="00A000FE"/>
    <w:rsid w:val="00A001AB"/>
    <w:rsid w:val="00A02951"/>
    <w:rsid w:val="00A029B8"/>
    <w:rsid w:val="00A05DDC"/>
    <w:rsid w:val="00A1420F"/>
    <w:rsid w:val="00A162B4"/>
    <w:rsid w:val="00A20DAC"/>
    <w:rsid w:val="00A21DF9"/>
    <w:rsid w:val="00A321E7"/>
    <w:rsid w:val="00A3403A"/>
    <w:rsid w:val="00A34CFC"/>
    <w:rsid w:val="00A4318E"/>
    <w:rsid w:val="00A46054"/>
    <w:rsid w:val="00A46740"/>
    <w:rsid w:val="00A467F8"/>
    <w:rsid w:val="00A46A4C"/>
    <w:rsid w:val="00A509E2"/>
    <w:rsid w:val="00A53A53"/>
    <w:rsid w:val="00A66322"/>
    <w:rsid w:val="00A66B30"/>
    <w:rsid w:val="00A66C33"/>
    <w:rsid w:val="00A7138E"/>
    <w:rsid w:val="00A72B18"/>
    <w:rsid w:val="00A73983"/>
    <w:rsid w:val="00A7663E"/>
    <w:rsid w:val="00A822C9"/>
    <w:rsid w:val="00A85BCC"/>
    <w:rsid w:val="00A94D70"/>
    <w:rsid w:val="00A95BC2"/>
    <w:rsid w:val="00AA02C4"/>
    <w:rsid w:val="00AA295B"/>
    <w:rsid w:val="00AB195E"/>
    <w:rsid w:val="00AB5B46"/>
    <w:rsid w:val="00AC081C"/>
    <w:rsid w:val="00AC18FD"/>
    <w:rsid w:val="00AC195D"/>
    <w:rsid w:val="00AC363A"/>
    <w:rsid w:val="00AD0657"/>
    <w:rsid w:val="00AD17E0"/>
    <w:rsid w:val="00AD60FC"/>
    <w:rsid w:val="00AE0AC9"/>
    <w:rsid w:val="00AE2337"/>
    <w:rsid w:val="00AE4DD6"/>
    <w:rsid w:val="00AE7097"/>
    <w:rsid w:val="00AE7526"/>
    <w:rsid w:val="00AE7B3E"/>
    <w:rsid w:val="00AF0487"/>
    <w:rsid w:val="00AF060D"/>
    <w:rsid w:val="00AF245C"/>
    <w:rsid w:val="00AF2E88"/>
    <w:rsid w:val="00AF362A"/>
    <w:rsid w:val="00AF5665"/>
    <w:rsid w:val="00B00551"/>
    <w:rsid w:val="00B013A0"/>
    <w:rsid w:val="00B018AD"/>
    <w:rsid w:val="00B033E8"/>
    <w:rsid w:val="00B04CAF"/>
    <w:rsid w:val="00B067D5"/>
    <w:rsid w:val="00B06F6D"/>
    <w:rsid w:val="00B11BA2"/>
    <w:rsid w:val="00B14AE1"/>
    <w:rsid w:val="00B16C85"/>
    <w:rsid w:val="00B17CF8"/>
    <w:rsid w:val="00B21707"/>
    <w:rsid w:val="00B25068"/>
    <w:rsid w:val="00B25DC5"/>
    <w:rsid w:val="00B26415"/>
    <w:rsid w:val="00B315E4"/>
    <w:rsid w:val="00B35849"/>
    <w:rsid w:val="00B404E6"/>
    <w:rsid w:val="00B43912"/>
    <w:rsid w:val="00B46BAC"/>
    <w:rsid w:val="00B47A93"/>
    <w:rsid w:val="00B502B8"/>
    <w:rsid w:val="00B547ED"/>
    <w:rsid w:val="00B56C90"/>
    <w:rsid w:val="00B57539"/>
    <w:rsid w:val="00B61178"/>
    <w:rsid w:val="00B632FE"/>
    <w:rsid w:val="00B71231"/>
    <w:rsid w:val="00B73421"/>
    <w:rsid w:val="00B77691"/>
    <w:rsid w:val="00B8059F"/>
    <w:rsid w:val="00B843FE"/>
    <w:rsid w:val="00B9137C"/>
    <w:rsid w:val="00B95FA2"/>
    <w:rsid w:val="00B9667B"/>
    <w:rsid w:val="00BA1CEF"/>
    <w:rsid w:val="00BA40B9"/>
    <w:rsid w:val="00BA7D34"/>
    <w:rsid w:val="00BB0CD5"/>
    <w:rsid w:val="00BC0ECF"/>
    <w:rsid w:val="00BC14B3"/>
    <w:rsid w:val="00BC14CF"/>
    <w:rsid w:val="00BC16EB"/>
    <w:rsid w:val="00BC18AA"/>
    <w:rsid w:val="00BC5F55"/>
    <w:rsid w:val="00BC7B9B"/>
    <w:rsid w:val="00BD0BCD"/>
    <w:rsid w:val="00BD133D"/>
    <w:rsid w:val="00BD3EE7"/>
    <w:rsid w:val="00BD5F99"/>
    <w:rsid w:val="00BD6A7A"/>
    <w:rsid w:val="00BE4180"/>
    <w:rsid w:val="00BE55A5"/>
    <w:rsid w:val="00BE5ED6"/>
    <w:rsid w:val="00BF1910"/>
    <w:rsid w:val="00BF29D9"/>
    <w:rsid w:val="00C00E43"/>
    <w:rsid w:val="00C04599"/>
    <w:rsid w:val="00C05DE1"/>
    <w:rsid w:val="00C10371"/>
    <w:rsid w:val="00C123B1"/>
    <w:rsid w:val="00C137B9"/>
    <w:rsid w:val="00C20435"/>
    <w:rsid w:val="00C234C3"/>
    <w:rsid w:val="00C26948"/>
    <w:rsid w:val="00C30754"/>
    <w:rsid w:val="00C30DC5"/>
    <w:rsid w:val="00C31DC9"/>
    <w:rsid w:val="00C35836"/>
    <w:rsid w:val="00C36E04"/>
    <w:rsid w:val="00C43921"/>
    <w:rsid w:val="00C47EBD"/>
    <w:rsid w:val="00C501ED"/>
    <w:rsid w:val="00C51633"/>
    <w:rsid w:val="00C53D76"/>
    <w:rsid w:val="00C557D7"/>
    <w:rsid w:val="00C60C09"/>
    <w:rsid w:val="00C60F1A"/>
    <w:rsid w:val="00C610B8"/>
    <w:rsid w:val="00C618E8"/>
    <w:rsid w:val="00C62DF5"/>
    <w:rsid w:val="00C66705"/>
    <w:rsid w:val="00C722CD"/>
    <w:rsid w:val="00C73773"/>
    <w:rsid w:val="00C8505E"/>
    <w:rsid w:val="00C86A1D"/>
    <w:rsid w:val="00C90EB0"/>
    <w:rsid w:val="00C942D7"/>
    <w:rsid w:val="00CA0D8C"/>
    <w:rsid w:val="00CB5759"/>
    <w:rsid w:val="00CC4CDC"/>
    <w:rsid w:val="00CD1FC0"/>
    <w:rsid w:val="00CD2BA3"/>
    <w:rsid w:val="00CD2F58"/>
    <w:rsid w:val="00CE1409"/>
    <w:rsid w:val="00CE528E"/>
    <w:rsid w:val="00CE564C"/>
    <w:rsid w:val="00CE6C73"/>
    <w:rsid w:val="00CF34AC"/>
    <w:rsid w:val="00D00C8D"/>
    <w:rsid w:val="00D0218E"/>
    <w:rsid w:val="00D0325D"/>
    <w:rsid w:val="00D0536E"/>
    <w:rsid w:val="00D104C4"/>
    <w:rsid w:val="00D11CC1"/>
    <w:rsid w:val="00D13E06"/>
    <w:rsid w:val="00D168CE"/>
    <w:rsid w:val="00D2052A"/>
    <w:rsid w:val="00D31D5C"/>
    <w:rsid w:val="00D34D19"/>
    <w:rsid w:val="00D37A56"/>
    <w:rsid w:val="00D45583"/>
    <w:rsid w:val="00D472B0"/>
    <w:rsid w:val="00D50834"/>
    <w:rsid w:val="00D5102F"/>
    <w:rsid w:val="00D51CB8"/>
    <w:rsid w:val="00D53153"/>
    <w:rsid w:val="00D5408E"/>
    <w:rsid w:val="00D547AC"/>
    <w:rsid w:val="00D55F1C"/>
    <w:rsid w:val="00D64F32"/>
    <w:rsid w:val="00D64F7F"/>
    <w:rsid w:val="00D650D9"/>
    <w:rsid w:val="00D70CB2"/>
    <w:rsid w:val="00D722B3"/>
    <w:rsid w:val="00D72639"/>
    <w:rsid w:val="00D73E96"/>
    <w:rsid w:val="00D760BA"/>
    <w:rsid w:val="00D765A8"/>
    <w:rsid w:val="00D82D2C"/>
    <w:rsid w:val="00D87347"/>
    <w:rsid w:val="00D87FAF"/>
    <w:rsid w:val="00D90D75"/>
    <w:rsid w:val="00D91503"/>
    <w:rsid w:val="00DA3C95"/>
    <w:rsid w:val="00DA4564"/>
    <w:rsid w:val="00DB0397"/>
    <w:rsid w:val="00DB3C54"/>
    <w:rsid w:val="00DD0A43"/>
    <w:rsid w:val="00DD1BD5"/>
    <w:rsid w:val="00DD37F6"/>
    <w:rsid w:val="00DD5819"/>
    <w:rsid w:val="00DD795D"/>
    <w:rsid w:val="00DE53F9"/>
    <w:rsid w:val="00DE6430"/>
    <w:rsid w:val="00DF5360"/>
    <w:rsid w:val="00DF7A4F"/>
    <w:rsid w:val="00DF7B8A"/>
    <w:rsid w:val="00E01876"/>
    <w:rsid w:val="00E025F7"/>
    <w:rsid w:val="00E05D96"/>
    <w:rsid w:val="00E06AD9"/>
    <w:rsid w:val="00E11B9A"/>
    <w:rsid w:val="00E12A6D"/>
    <w:rsid w:val="00E12AF2"/>
    <w:rsid w:val="00E1349B"/>
    <w:rsid w:val="00E164C6"/>
    <w:rsid w:val="00E20129"/>
    <w:rsid w:val="00E2177D"/>
    <w:rsid w:val="00E274E9"/>
    <w:rsid w:val="00E300CE"/>
    <w:rsid w:val="00E3665D"/>
    <w:rsid w:val="00E40882"/>
    <w:rsid w:val="00E44E07"/>
    <w:rsid w:val="00E50454"/>
    <w:rsid w:val="00E504FF"/>
    <w:rsid w:val="00E552DD"/>
    <w:rsid w:val="00E5728B"/>
    <w:rsid w:val="00E57D86"/>
    <w:rsid w:val="00E62983"/>
    <w:rsid w:val="00E6465A"/>
    <w:rsid w:val="00E65E19"/>
    <w:rsid w:val="00E66F27"/>
    <w:rsid w:val="00E67ACF"/>
    <w:rsid w:val="00E7104C"/>
    <w:rsid w:val="00E727ED"/>
    <w:rsid w:val="00E75AB0"/>
    <w:rsid w:val="00E75E7F"/>
    <w:rsid w:val="00E76329"/>
    <w:rsid w:val="00E764CF"/>
    <w:rsid w:val="00E8131F"/>
    <w:rsid w:val="00E81955"/>
    <w:rsid w:val="00E823F2"/>
    <w:rsid w:val="00E834B8"/>
    <w:rsid w:val="00E85827"/>
    <w:rsid w:val="00E900C9"/>
    <w:rsid w:val="00E905AC"/>
    <w:rsid w:val="00E921BD"/>
    <w:rsid w:val="00E9285C"/>
    <w:rsid w:val="00EA2B80"/>
    <w:rsid w:val="00EA6E53"/>
    <w:rsid w:val="00EB6524"/>
    <w:rsid w:val="00EB7E82"/>
    <w:rsid w:val="00EC1951"/>
    <w:rsid w:val="00EC3582"/>
    <w:rsid w:val="00EC5DFB"/>
    <w:rsid w:val="00ED250A"/>
    <w:rsid w:val="00ED6FE0"/>
    <w:rsid w:val="00EE2A7C"/>
    <w:rsid w:val="00EE3972"/>
    <w:rsid w:val="00EE7303"/>
    <w:rsid w:val="00EF1C89"/>
    <w:rsid w:val="00EF41A2"/>
    <w:rsid w:val="00F12531"/>
    <w:rsid w:val="00F16444"/>
    <w:rsid w:val="00F201A0"/>
    <w:rsid w:val="00F243C6"/>
    <w:rsid w:val="00F25634"/>
    <w:rsid w:val="00F30C4A"/>
    <w:rsid w:val="00F34BA6"/>
    <w:rsid w:val="00F36DBE"/>
    <w:rsid w:val="00F4184E"/>
    <w:rsid w:val="00F41A08"/>
    <w:rsid w:val="00F42803"/>
    <w:rsid w:val="00F4313A"/>
    <w:rsid w:val="00F437AB"/>
    <w:rsid w:val="00F455A6"/>
    <w:rsid w:val="00F45D79"/>
    <w:rsid w:val="00F45EDB"/>
    <w:rsid w:val="00F52DDB"/>
    <w:rsid w:val="00F52FA7"/>
    <w:rsid w:val="00F550B3"/>
    <w:rsid w:val="00F566D9"/>
    <w:rsid w:val="00F5687A"/>
    <w:rsid w:val="00F656A5"/>
    <w:rsid w:val="00F72E60"/>
    <w:rsid w:val="00F748DA"/>
    <w:rsid w:val="00F750C7"/>
    <w:rsid w:val="00F85800"/>
    <w:rsid w:val="00F90149"/>
    <w:rsid w:val="00F90A89"/>
    <w:rsid w:val="00F90B3C"/>
    <w:rsid w:val="00F93488"/>
    <w:rsid w:val="00F95942"/>
    <w:rsid w:val="00FA1CC3"/>
    <w:rsid w:val="00FA22FD"/>
    <w:rsid w:val="00FA4A89"/>
    <w:rsid w:val="00FB2979"/>
    <w:rsid w:val="00FC0229"/>
    <w:rsid w:val="00FC3479"/>
    <w:rsid w:val="00FC4B2E"/>
    <w:rsid w:val="00FC5180"/>
    <w:rsid w:val="00FC53D4"/>
    <w:rsid w:val="00FD5CD9"/>
    <w:rsid w:val="00FE27FF"/>
    <w:rsid w:val="00FE519A"/>
    <w:rsid w:val="00FF23BA"/>
    <w:rsid w:val="00FF415A"/>
    <w:rsid w:val="00FF474D"/>
    <w:rsid w:val="00FF5DD9"/>
    <w:rsid w:val="0845FE60"/>
    <w:rsid w:val="1627DD1A"/>
    <w:rsid w:val="174E3CA1"/>
    <w:rsid w:val="18DD399F"/>
    <w:rsid w:val="1DEC1B33"/>
    <w:rsid w:val="21D2ACEF"/>
    <w:rsid w:val="252FBADE"/>
    <w:rsid w:val="269ADE14"/>
    <w:rsid w:val="3998A4A8"/>
    <w:rsid w:val="3B0D4070"/>
    <w:rsid w:val="417E6F31"/>
    <w:rsid w:val="4365C5DA"/>
    <w:rsid w:val="437A71CE"/>
    <w:rsid w:val="43CB5AB9"/>
    <w:rsid w:val="4A022D19"/>
    <w:rsid w:val="4AB3FD76"/>
    <w:rsid w:val="4B9DFD7A"/>
    <w:rsid w:val="4BCD9BA5"/>
    <w:rsid w:val="50584640"/>
    <w:rsid w:val="57DBA0E9"/>
    <w:rsid w:val="672312B7"/>
    <w:rsid w:val="68816975"/>
    <w:rsid w:val="6D27DD16"/>
    <w:rsid w:val="6E60C479"/>
    <w:rsid w:val="76FAAE29"/>
    <w:rsid w:val="77A9FC02"/>
    <w:rsid w:val="77D1C8F0"/>
    <w:rsid w:val="78F0F3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ADE14"/>
  <w15:chartTrackingRefBased/>
  <w15:docId w15:val="{4213F635-DDB6-4604-8D92-A3FF5DE5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AF3"/>
    <w:rPr>
      <w:lang w:val="en-NZ"/>
    </w:rPr>
  </w:style>
  <w:style w:type="paragraph" w:styleId="Heading1">
    <w:name w:val="heading 1"/>
    <w:basedOn w:val="Normal"/>
    <w:next w:val="Normal"/>
    <w:link w:val="Heading1Char"/>
    <w:autoRedefine/>
    <w:qFormat/>
    <w:rsid w:val="00EF1C89"/>
    <w:pPr>
      <w:numPr>
        <w:numId w:val="12"/>
      </w:numPr>
      <w:tabs>
        <w:tab w:val="left" w:pos="567"/>
      </w:tabs>
      <w:spacing w:before="360" w:after="0"/>
      <w:ind w:left="567" w:right="107" w:hanging="567"/>
      <w:outlineLvl w:val="0"/>
    </w:pPr>
    <w:rPr>
      <w:rFonts w:ascii="Arial" w:hAnsi="Arial" w:cs="Arial"/>
      <w:b/>
      <w:bCs/>
      <w:color w:val="4472C4" w:themeColor="accent1"/>
      <w:sz w:val="36"/>
      <w:szCs w:val="36"/>
    </w:rPr>
  </w:style>
  <w:style w:type="paragraph" w:styleId="Heading2">
    <w:name w:val="heading 2"/>
    <w:basedOn w:val="Normal"/>
    <w:next w:val="Normal"/>
    <w:link w:val="Heading2Char"/>
    <w:unhideWhenUsed/>
    <w:qFormat/>
    <w:rsid w:val="0089021B"/>
    <w:pPr>
      <w:keepNext/>
      <w:keepLines/>
      <w:numPr>
        <w:ilvl w:val="1"/>
        <w:numId w:val="12"/>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C89"/>
    <w:rPr>
      <w:rFonts w:ascii="Arial" w:hAnsi="Arial" w:cs="Arial"/>
      <w:b/>
      <w:bCs/>
      <w:color w:val="4472C4" w:themeColor="accent1"/>
      <w:sz w:val="36"/>
      <w:szCs w:val="36"/>
      <w:lang w:val="en-NZ"/>
    </w:rPr>
  </w:style>
  <w:style w:type="paragraph" w:styleId="ListParagraph">
    <w:name w:val="List Paragraph"/>
    <w:basedOn w:val="Normal"/>
    <w:uiPriority w:val="34"/>
    <w:qFormat/>
    <w:rsid w:val="00047AF3"/>
    <w:pPr>
      <w:ind w:left="720"/>
      <w:contextualSpacing/>
    </w:pPr>
  </w:style>
  <w:style w:type="character" w:styleId="Hyperlink">
    <w:name w:val="Hyperlink"/>
    <w:basedOn w:val="DefaultParagraphFont"/>
    <w:uiPriority w:val="99"/>
    <w:unhideWhenUsed/>
    <w:rsid w:val="00047AF3"/>
    <w:rPr>
      <w:color w:val="0563C1" w:themeColor="hyperlink"/>
      <w:u w:val="single"/>
    </w:rPr>
  </w:style>
  <w:style w:type="paragraph" w:styleId="Header">
    <w:name w:val="header"/>
    <w:basedOn w:val="Normal"/>
    <w:link w:val="HeaderChar"/>
    <w:uiPriority w:val="99"/>
    <w:unhideWhenUsed/>
    <w:rsid w:val="00047AF3"/>
    <w:pPr>
      <w:numPr>
        <w:ilvl w:val="2"/>
        <w:numId w:val="12"/>
      </w:numPr>
      <w:tabs>
        <w:tab w:val="center" w:pos="4513"/>
        <w:tab w:val="right" w:pos="9026"/>
      </w:tabs>
      <w:spacing w:after="0" w:line="240" w:lineRule="auto"/>
    </w:pPr>
  </w:style>
  <w:style w:type="character" w:customStyle="1" w:styleId="HeaderChar">
    <w:name w:val="Header Char"/>
    <w:basedOn w:val="DefaultParagraphFont"/>
    <w:link w:val="Header"/>
    <w:uiPriority w:val="99"/>
    <w:rsid w:val="00047AF3"/>
    <w:rPr>
      <w:lang w:val="en-NZ"/>
    </w:rPr>
  </w:style>
  <w:style w:type="paragraph" w:styleId="Footer">
    <w:name w:val="footer"/>
    <w:basedOn w:val="Normal"/>
    <w:link w:val="FooterChar"/>
    <w:uiPriority w:val="99"/>
    <w:unhideWhenUsed/>
    <w:rsid w:val="00047AF3"/>
    <w:pPr>
      <w:numPr>
        <w:ilvl w:val="3"/>
        <w:numId w:val="12"/>
      </w:numPr>
      <w:tabs>
        <w:tab w:val="center" w:pos="4513"/>
        <w:tab w:val="right" w:pos="9026"/>
      </w:tabs>
      <w:spacing w:after="0" w:line="240" w:lineRule="auto"/>
    </w:pPr>
  </w:style>
  <w:style w:type="character" w:customStyle="1" w:styleId="FooterChar">
    <w:name w:val="Footer Char"/>
    <w:basedOn w:val="DefaultParagraphFont"/>
    <w:link w:val="Footer"/>
    <w:uiPriority w:val="99"/>
    <w:rsid w:val="00047AF3"/>
    <w:rPr>
      <w:lang w:val="en-NZ"/>
    </w:rPr>
  </w:style>
  <w:style w:type="character" w:styleId="CommentReference">
    <w:name w:val="annotation reference"/>
    <w:basedOn w:val="DefaultParagraphFont"/>
    <w:uiPriority w:val="99"/>
    <w:semiHidden/>
    <w:unhideWhenUsed/>
    <w:rsid w:val="00047AF3"/>
    <w:rPr>
      <w:sz w:val="16"/>
      <w:szCs w:val="16"/>
    </w:rPr>
  </w:style>
  <w:style w:type="paragraph" w:styleId="CommentText">
    <w:name w:val="annotation text"/>
    <w:basedOn w:val="Normal"/>
    <w:link w:val="CommentTextChar"/>
    <w:uiPriority w:val="99"/>
    <w:unhideWhenUsed/>
    <w:rsid w:val="00047AF3"/>
    <w:pPr>
      <w:spacing w:line="240" w:lineRule="auto"/>
    </w:pPr>
    <w:rPr>
      <w:sz w:val="20"/>
      <w:szCs w:val="20"/>
    </w:rPr>
  </w:style>
  <w:style w:type="character" w:customStyle="1" w:styleId="CommentTextChar">
    <w:name w:val="Comment Text Char"/>
    <w:basedOn w:val="DefaultParagraphFont"/>
    <w:link w:val="CommentText"/>
    <w:uiPriority w:val="99"/>
    <w:rsid w:val="00047AF3"/>
    <w:rPr>
      <w:sz w:val="20"/>
      <w:szCs w:val="20"/>
      <w:lang w:val="en-NZ"/>
    </w:rPr>
  </w:style>
  <w:style w:type="paragraph" w:styleId="FootnoteText">
    <w:name w:val="footnote text"/>
    <w:basedOn w:val="Normal"/>
    <w:link w:val="FootnoteTextChar"/>
    <w:uiPriority w:val="99"/>
    <w:semiHidden/>
    <w:unhideWhenUsed/>
    <w:rsid w:val="00047A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7AF3"/>
    <w:rPr>
      <w:sz w:val="20"/>
      <w:szCs w:val="20"/>
      <w:lang w:val="en-NZ"/>
    </w:rPr>
  </w:style>
  <w:style w:type="character" w:styleId="FootnoteReference">
    <w:name w:val="footnote reference"/>
    <w:basedOn w:val="DefaultParagraphFont"/>
    <w:uiPriority w:val="99"/>
    <w:unhideWhenUsed/>
    <w:qFormat/>
    <w:rsid w:val="00047AF3"/>
    <w:rPr>
      <w:vertAlign w:val="superscript"/>
    </w:rPr>
  </w:style>
  <w:style w:type="character" w:styleId="Mention">
    <w:name w:val="Mention"/>
    <w:basedOn w:val="DefaultParagraphFont"/>
    <w:uiPriority w:val="99"/>
    <w:unhideWhenUsed/>
    <w:rsid w:val="00047AF3"/>
    <w:rPr>
      <w:color w:val="2B579A"/>
      <w:shd w:val="clear" w:color="auto" w:fill="E1DFDD"/>
    </w:rPr>
  </w:style>
  <w:style w:type="character" w:customStyle="1" w:styleId="normaltextrun">
    <w:name w:val="normaltextrun"/>
    <w:basedOn w:val="DefaultParagraphFont"/>
    <w:rsid w:val="00047AF3"/>
  </w:style>
  <w:style w:type="paragraph" w:styleId="CommentSubject">
    <w:name w:val="annotation subject"/>
    <w:basedOn w:val="CommentText"/>
    <w:next w:val="CommentText"/>
    <w:link w:val="CommentSubjectChar"/>
    <w:uiPriority w:val="99"/>
    <w:semiHidden/>
    <w:unhideWhenUsed/>
    <w:rsid w:val="00CC4CDC"/>
    <w:rPr>
      <w:b/>
      <w:bCs/>
    </w:rPr>
  </w:style>
  <w:style w:type="character" w:customStyle="1" w:styleId="CommentSubjectChar">
    <w:name w:val="Comment Subject Char"/>
    <w:basedOn w:val="CommentTextChar"/>
    <w:link w:val="CommentSubject"/>
    <w:uiPriority w:val="99"/>
    <w:semiHidden/>
    <w:rsid w:val="00CC4CDC"/>
    <w:rPr>
      <w:b/>
      <w:bCs/>
      <w:sz w:val="20"/>
      <w:szCs w:val="20"/>
      <w:lang w:val="en-NZ"/>
    </w:rPr>
  </w:style>
  <w:style w:type="character" w:customStyle="1" w:styleId="Heading2Char">
    <w:name w:val="Heading 2 Char"/>
    <w:basedOn w:val="DefaultParagraphFont"/>
    <w:link w:val="Heading2"/>
    <w:uiPriority w:val="9"/>
    <w:semiHidden/>
    <w:rsid w:val="0089021B"/>
    <w:rPr>
      <w:rFonts w:asciiTheme="majorHAnsi" w:eastAsiaTheme="majorEastAsia" w:hAnsiTheme="majorHAnsi" w:cstheme="majorBidi"/>
      <w:color w:val="2F5496" w:themeColor="accent1" w:themeShade="BF"/>
      <w:sz w:val="26"/>
      <w:szCs w:val="26"/>
      <w:lang w:val="en-NZ"/>
    </w:rPr>
  </w:style>
  <w:style w:type="paragraph" w:customStyle="1" w:styleId="Number">
    <w:name w:val="Number"/>
    <w:basedOn w:val="Normal"/>
    <w:link w:val="NumberChar"/>
    <w:qFormat/>
    <w:rsid w:val="0089021B"/>
    <w:pPr>
      <w:spacing w:before="180" w:after="0" w:line="240" w:lineRule="auto"/>
      <w:ind w:left="851" w:hanging="851"/>
    </w:pPr>
    <w:rPr>
      <w:rFonts w:ascii="Segoe UI" w:eastAsia="Times New Roman" w:hAnsi="Segoe UI" w:cs="Times New Roman"/>
      <w:sz w:val="21"/>
      <w:szCs w:val="24"/>
      <w:lang w:eastAsia="en-GB"/>
    </w:rPr>
  </w:style>
  <w:style w:type="character" w:customStyle="1" w:styleId="NumberChar">
    <w:name w:val="Number Char"/>
    <w:basedOn w:val="DefaultParagraphFont"/>
    <w:link w:val="Number"/>
    <w:rsid w:val="0089021B"/>
    <w:rPr>
      <w:rFonts w:ascii="Segoe UI" w:eastAsia="Times New Roman" w:hAnsi="Segoe UI" w:cs="Times New Roman"/>
      <w:sz w:val="21"/>
      <w:szCs w:val="24"/>
      <w:lang w:val="en-NZ" w:eastAsia="en-GB"/>
    </w:rPr>
  </w:style>
  <w:style w:type="paragraph" w:customStyle="1" w:styleId="Letter">
    <w:name w:val="Letter"/>
    <w:basedOn w:val="Normal"/>
    <w:link w:val="LetterChar"/>
    <w:qFormat/>
    <w:rsid w:val="0089021B"/>
    <w:pPr>
      <w:spacing w:before="90" w:after="0" w:line="240" w:lineRule="auto"/>
      <w:ind w:left="1276" w:hanging="425"/>
    </w:pPr>
    <w:rPr>
      <w:rFonts w:ascii="Segoe UI" w:eastAsia="Times New Roman" w:hAnsi="Segoe UI" w:cs="Times New Roman"/>
      <w:sz w:val="21"/>
      <w:szCs w:val="20"/>
      <w:lang w:eastAsia="en-GB"/>
    </w:rPr>
  </w:style>
  <w:style w:type="character" w:customStyle="1" w:styleId="LetterChar">
    <w:name w:val="Letter Char"/>
    <w:link w:val="Letter"/>
    <w:rsid w:val="0089021B"/>
    <w:rPr>
      <w:rFonts w:ascii="Segoe UI" w:eastAsia="Times New Roman" w:hAnsi="Segoe UI" w:cs="Times New Roman"/>
      <w:sz w:val="21"/>
      <w:szCs w:val="20"/>
      <w:lang w:val="en-NZ" w:eastAsia="en-GB"/>
    </w:rPr>
  </w:style>
  <w:style w:type="paragraph" w:customStyle="1" w:styleId="Roman">
    <w:name w:val="Roman"/>
    <w:basedOn w:val="Normal"/>
    <w:qFormat/>
    <w:rsid w:val="0089021B"/>
    <w:pPr>
      <w:spacing w:before="90" w:after="0" w:line="240" w:lineRule="auto"/>
      <w:ind w:left="1701" w:hanging="425"/>
    </w:pPr>
    <w:rPr>
      <w:rFonts w:ascii="Segoe UI" w:eastAsia="Arial Unicode MS" w:hAnsi="Segoe UI" w:cs="Times New Roman"/>
      <w:sz w:val="21"/>
      <w:szCs w:val="20"/>
      <w:lang w:eastAsia="en-GB"/>
    </w:rPr>
  </w:style>
  <w:style w:type="paragraph" w:styleId="Revision">
    <w:name w:val="Revision"/>
    <w:hidden/>
    <w:uiPriority w:val="99"/>
    <w:semiHidden/>
    <w:rsid w:val="004727E8"/>
    <w:pPr>
      <w:spacing w:after="0" w:line="240" w:lineRule="auto"/>
    </w:pPr>
    <w:rPr>
      <w:lang w:val="en-NZ"/>
    </w:rPr>
  </w:style>
  <w:style w:type="character" w:customStyle="1" w:styleId="ui-provider">
    <w:name w:val="ui-provider"/>
    <w:basedOn w:val="DefaultParagraphFont"/>
    <w:rsid w:val="00802A58"/>
  </w:style>
  <w:style w:type="character" w:styleId="UnresolvedMention">
    <w:name w:val="Unresolved Mention"/>
    <w:basedOn w:val="DefaultParagraphFont"/>
    <w:uiPriority w:val="99"/>
    <w:semiHidden/>
    <w:unhideWhenUsed/>
    <w:rsid w:val="00E57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846">
      <w:bodyDiv w:val="1"/>
      <w:marLeft w:val="0"/>
      <w:marRight w:val="0"/>
      <w:marTop w:val="0"/>
      <w:marBottom w:val="0"/>
      <w:divBdr>
        <w:top w:val="none" w:sz="0" w:space="0" w:color="auto"/>
        <w:left w:val="none" w:sz="0" w:space="0" w:color="auto"/>
        <w:bottom w:val="none" w:sz="0" w:space="0" w:color="auto"/>
        <w:right w:val="none" w:sz="0" w:space="0" w:color="auto"/>
      </w:divBdr>
    </w:div>
    <w:div w:id="601842905">
      <w:bodyDiv w:val="1"/>
      <w:marLeft w:val="0"/>
      <w:marRight w:val="0"/>
      <w:marTop w:val="0"/>
      <w:marBottom w:val="0"/>
      <w:divBdr>
        <w:top w:val="none" w:sz="0" w:space="0" w:color="auto"/>
        <w:left w:val="none" w:sz="0" w:space="0" w:color="auto"/>
        <w:bottom w:val="none" w:sz="0" w:space="0" w:color="auto"/>
        <w:right w:val="none" w:sz="0" w:space="0" w:color="auto"/>
      </w:divBdr>
    </w:div>
    <w:div w:id="688918269">
      <w:bodyDiv w:val="1"/>
      <w:marLeft w:val="0"/>
      <w:marRight w:val="0"/>
      <w:marTop w:val="0"/>
      <w:marBottom w:val="0"/>
      <w:divBdr>
        <w:top w:val="none" w:sz="0" w:space="0" w:color="auto"/>
        <w:left w:val="none" w:sz="0" w:space="0" w:color="auto"/>
        <w:bottom w:val="none" w:sz="0" w:space="0" w:color="auto"/>
        <w:right w:val="none" w:sz="0" w:space="0" w:color="auto"/>
      </w:divBdr>
    </w:div>
    <w:div w:id="753822969">
      <w:bodyDiv w:val="1"/>
      <w:marLeft w:val="0"/>
      <w:marRight w:val="0"/>
      <w:marTop w:val="0"/>
      <w:marBottom w:val="0"/>
      <w:divBdr>
        <w:top w:val="none" w:sz="0" w:space="0" w:color="auto"/>
        <w:left w:val="none" w:sz="0" w:space="0" w:color="auto"/>
        <w:bottom w:val="none" w:sz="0" w:space="0" w:color="auto"/>
        <w:right w:val="none" w:sz="0" w:space="0" w:color="auto"/>
      </w:divBdr>
    </w:div>
    <w:div w:id="1206986911">
      <w:bodyDiv w:val="1"/>
      <w:marLeft w:val="0"/>
      <w:marRight w:val="0"/>
      <w:marTop w:val="0"/>
      <w:marBottom w:val="0"/>
      <w:divBdr>
        <w:top w:val="none" w:sz="0" w:space="0" w:color="auto"/>
        <w:left w:val="none" w:sz="0" w:space="0" w:color="auto"/>
        <w:bottom w:val="none" w:sz="0" w:space="0" w:color="auto"/>
        <w:right w:val="none" w:sz="0" w:space="0" w:color="auto"/>
      </w:divBdr>
    </w:div>
    <w:div w:id="135164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mohgovtnz.sharepoint.com/sites/moh-ecm-CrEntPG/Shared%20Documents/General/SCS%20and%20OPF/2023-24%20Schedules%20to%20the%20Output%20Agreement%20(SCS-OPF)/TP-slides%20SCS&amp;OPF%2023-24%20and%20GPS24-27.ppt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procurement.govt.nz/procurement/specialised-procurement/social-services-procur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tewhatuora.govt.nz/our-health-system/nationwide-service-framework-library/about-nationwide-service-specifications/specialist-medical-services-specific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PRAText2 xmlns="4f9c820c-e7e2-444d-97ee-45f2b3485c1d" xsi:nil="true"/>
    <Subactivity xmlns="4f9c820c-e7e2-444d-97ee-45f2b3485c1d">NA</Subactivity>
    <Activity xmlns="4f9c820c-e7e2-444d-97ee-45f2b3485c1d">Crown Entity Planning and Guidance</Activity>
    <CategoryName xmlns="4f9c820c-e7e2-444d-97ee-45f2b3485c1d">SCS and OPF</CategoryName>
    <FunctionGroup xmlns="4f9c820c-e7e2-444d-97ee-45f2b3485c1d">Monitor and Support Health System</FunctionGroup>
    <_dlc_DocId xmlns="c5b47098-0215-444c-9096-523bda4ac5c6">MOHECM-1044321484-2541</_dlc_DocId>
    <Endorsements xmlns="184c05c4-c568-455d-94a4-7e009b164348">N/A</Endorsements>
    <SecurityClassification xmlns="15ffb055-6eb4-45a1-bc20-bf2ac0d420da">UNCLASSIFIED</SecurityClassification>
    <Attachment xmlns="54904628-6268-4ac5-9416-97794f1d508d" xsi:nil="true"/>
    <Narrative xmlns="4f9c820c-e7e2-444d-97ee-45f2b3485c1d" xsi:nil="true"/>
    <zLegacyJSON xmlns="184c05c4-c568-455d-94a4-7e009b164348" xsi:nil="true"/>
    <PRADate1 xmlns="4f9c820c-e7e2-444d-97ee-45f2b3485c1d" xsi:nil="true"/>
    <PRADateTrigger xmlns="4f9c820c-e7e2-444d-97ee-45f2b3485c1d" xsi:nil="true"/>
    <PRAText3 xmlns="4f9c820c-e7e2-444d-97ee-45f2b3485c1d" xsi:nil="true"/>
    <OverrideLabel xmlns="d0b61010-d6f3-4072-b934-7bbb13e97771" xsi:nil="true"/>
    <Case xmlns="4f9c820c-e7e2-444d-97ee-45f2b3485c1d">NA</Case>
    <PRADateDisposal xmlns="4f9c820c-e7e2-444d-97ee-45f2b3485c1d" xsi:nil="true"/>
    <CategoryValue xmlns="4f9c820c-e7e2-444d-97ee-45f2b3485c1d">2024_25 updates to the SCS and OPF</CategoryValue>
    <PRADate2 xmlns="4f9c820c-e7e2-444d-97ee-45f2b3485c1d" xsi:nil="true"/>
    <PRAText4 xmlns="4f9c820c-e7e2-444d-97ee-45f2b3485c1d" xsi:nil="true"/>
    <_dlc_DocIdUrl xmlns="c5b47098-0215-444c-9096-523bda4ac5c6">
      <Url>https://mohgovtnz.sharepoint.com/sites/moh-ecm-CrEntPG/_layouts/15/DocIdRedir.aspx?ID=MOHECM-1044321484-2541</Url>
      <Description>MOHECM-1044321484-2541</Description>
    </_dlc_DocIdUrl>
    <Level2 xmlns="c91a514c-9034-4fa3-897a-8352025b26ed">NA</Level2>
    <Channel xmlns="c91a514c-9034-4fa3-897a-8352025b26ed">General</Channel>
    <PRAType xmlns="4f9c820c-e7e2-444d-97ee-45f2b3485c1d">Doc</PRAType>
    <KeyWords xmlns="15ffb055-6eb4-45a1-bc20-bf2ac0d420da" xsi:nil="true"/>
    <PRADate3 xmlns="4f9c820c-e7e2-444d-97ee-45f2b3485c1d" xsi:nil="true"/>
    <zLegacyID xmlns="184c05c4-c568-455d-94a4-7e009b164348" xsi:nil="true"/>
    <Year xmlns="c91a514c-9034-4fa3-897a-8352025b26ed">NA</Year>
    <HasNHI xmlns="184c05c4-c568-455d-94a4-7e009b164348">false</HasNHI>
    <PRAText5 xmlns="4f9c820c-e7e2-444d-97ee-45f2b3485c1d" xsi:nil="true"/>
    <Level3 xmlns="c91a514c-9034-4fa3-897a-8352025b26ed">NA</Level3>
    <BusinessValue xmlns="4f9c820c-e7e2-444d-97ee-45f2b3485c1d" xsi:nil="true"/>
    <Team xmlns="c91a514c-9034-4fa3-897a-8352025b26ed">Crown Entity Planning and Guidance</Team>
    <RelatedPeople xmlns="4f9c820c-e7e2-444d-97ee-45f2b3485c1d">
      <UserInfo>
        <DisplayName/>
        <AccountId xsi:nil="true"/>
        <AccountType/>
      </UserInfo>
    </RelatedPeople>
    <SetLabel xmlns="d0b61010-d6f3-4072-b934-7bbb13e97771">Retain</SetLabel>
    <Function xmlns="4f9c820c-e7e2-444d-97ee-45f2b3485c1d">Planning and Guidance</Function>
    <CopiedFrom xmlns="184c05c4-c568-455d-94a4-7e009b164348" xsi:nil="true"/>
    <AggregationStatus xmlns="4f9c820c-e7e2-444d-97ee-45f2b3485c1d">Normal</AggregationStatus>
    <AggregationNarrative xmlns="725c79e5-42ce-4aa0-ac78-b6418001f0d2" xsi:nil="true"/>
    <zLegacy xmlns="184c05c4-c568-455d-94a4-7e009b164348" xsi:nil="true"/>
    <DocumentType xmlns="4f9c820c-e7e2-444d-97ee-45f2b3485c1d" xsi:nil="true"/>
    <PRAText1 xmlns="4f9c820c-e7e2-444d-97ee-45f2b3485c1d" xsi:nil="true"/>
    <Folderdescription xmlns="54904628-6268-4ac5-9416-97794f1d50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A28230263C7D7A4FB197614F88F6A462" ma:contentTypeVersion="194" ma:contentTypeDescription="Create a new document." ma:contentTypeScope="" ma:versionID="672c2b21daf9031f006e16d23444aa71">
  <xsd:schema xmlns:xsd="http://www.w3.org/2001/XMLSchema" xmlns:xs="http://www.w3.org/2001/XMLSchema" xmlns:p="http://schemas.microsoft.com/office/2006/metadata/properties" xmlns:ns2="c5b47098-0215-444c-9096-523bda4ac5c6" xmlns:ns3="4f9c820c-e7e2-444d-97ee-45f2b3485c1d" xmlns:ns4="15ffb055-6eb4-45a1-bc20-bf2ac0d420da" xmlns:ns5="725c79e5-42ce-4aa0-ac78-b6418001f0d2" xmlns:ns6="c91a514c-9034-4fa3-897a-8352025b26ed" xmlns:ns7="d0b61010-d6f3-4072-b934-7bbb13e97771" xmlns:ns8="184c05c4-c568-455d-94a4-7e009b164348" xmlns:ns9="54904628-6268-4ac5-9416-97794f1d508d" targetNamespace="http://schemas.microsoft.com/office/2006/metadata/properties" ma:root="true" ma:fieldsID="f5a5171c0d65516ac43a4e70b805d33d" ns2:_="" ns3:_="" ns4:_="" ns5:_="" ns6:_="" ns7:_="" ns8:_="" ns9:_="">
    <xsd:import namespace="c5b47098-0215-444c-9096-523bda4ac5c6"/>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54904628-6268-4ac5-9416-97794f1d508d"/>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MediaServiceObjectDetectorVersions" minOccurs="0"/>
                <xsd:element ref="ns9:Attachment" minOccurs="0"/>
                <xsd:element ref="ns9:MediaServiceDateTaken" minOccurs="0"/>
                <xsd:element ref="ns9:MediaServiceGenerationTime" minOccurs="0"/>
                <xsd:element ref="ns9:MediaServiceEventHashCode" minOccurs="0"/>
                <xsd:element ref="ns9:MediaLengthInSeconds" minOccurs="0"/>
                <xsd:element ref="ns9:MediaServiceSearchProperties" minOccurs="0"/>
                <xsd:element ref="ns9:Folder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Monitor and Support Health System" ma:hidden="true" ma:internalName="FunctionGroup" ma:readOnly="false">
      <xsd:simpleType>
        <xsd:restriction base="dms:Text">
          <xsd:maxLength value="255"/>
        </xsd:restriction>
      </xsd:simpleType>
    </xsd:element>
    <xsd:element name="Function" ma:index="22" nillable="true" ma:displayName="Function" ma:default="Planning and Guidance"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Crown Entity Planning and Guidance"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Crown Entity Planning and Guidance"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Retain"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54904628-6268-4ac5-9416-97794f1d508d"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ObjectDetectorVersions" ma:index="55" nillable="true" ma:displayName="MediaServiceObjectDetectorVersions" ma:hidden="true" ma:indexed="true" ma:internalName="MediaServiceObjectDetectorVersions" ma:readOnly="true">
      <xsd:simpleType>
        <xsd:restriction base="dms:Text"/>
      </xsd:simpleType>
    </xsd:element>
    <xsd:element name="Attachment" ma:index="56" nillable="true" ma:displayName="Attachment" ma:format="Dropdown" ma:internalName="Attachment">
      <xsd:simpleType>
        <xsd:restriction base="dms:Text">
          <xsd:maxLength value="255"/>
        </xsd:restriction>
      </xsd:simpleType>
    </xsd:element>
    <xsd:element name="MediaServiceDateTaken" ma:index="57" nillable="true" ma:displayName="MediaServiceDateTaken" ma:hidden="true" ma:indexed="true" ma:internalName="MediaServiceDateTaken" ma:readOnly="true">
      <xsd:simpleType>
        <xsd:restriction base="dms:Text"/>
      </xsd:simple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element name="MediaServiceSearchProperties" ma:index="61" nillable="true" ma:displayName="MediaServiceSearchProperties" ma:hidden="true" ma:internalName="MediaServiceSearchProperties" ma:readOnly="true">
      <xsd:simpleType>
        <xsd:restriction base="dms:Note"/>
      </xsd:simpleType>
    </xsd:element>
    <xsd:element name="Folderdescription" ma:index="62" nillable="true" ma:displayName="Folder description" ma:format="Dropdown" ma:internalName="Folder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51614-8DFB-4D04-BC9D-041E55820566}">
  <ds:schemaRefs>
    <ds:schemaRef ds:uri="http://schemas.microsoft.com/sharepoint/events"/>
  </ds:schemaRefs>
</ds:datastoreItem>
</file>

<file path=customXml/itemProps2.xml><?xml version="1.0" encoding="utf-8"?>
<ds:datastoreItem xmlns:ds="http://schemas.openxmlformats.org/officeDocument/2006/customXml" ds:itemID="{9F162E2C-6217-4D8D-A139-786C09E5FFF7}">
  <ds:schemaRefs>
    <ds:schemaRef ds:uri="http://schemas.microsoft.com/office/infopath/2007/PartnerControls"/>
    <ds:schemaRef ds:uri="184c05c4-c568-455d-94a4-7e009b164348"/>
    <ds:schemaRef ds:uri="http://schemas.microsoft.com/office/2006/metadata/properties"/>
    <ds:schemaRef ds:uri="4f9c820c-e7e2-444d-97ee-45f2b3485c1d"/>
    <ds:schemaRef ds:uri="c5b47098-0215-444c-9096-523bda4ac5c6"/>
    <ds:schemaRef ds:uri="c91a514c-9034-4fa3-897a-8352025b26ed"/>
    <ds:schemaRef ds:uri="15ffb055-6eb4-45a1-bc20-bf2ac0d420da"/>
    <ds:schemaRef ds:uri="http://schemas.openxmlformats.org/package/2006/metadata/core-properties"/>
    <ds:schemaRef ds:uri="725c79e5-42ce-4aa0-ac78-b6418001f0d2"/>
    <ds:schemaRef ds:uri="http://purl.org/dc/elements/1.1/"/>
    <ds:schemaRef ds:uri="d0b61010-d6f3-4072-b934-7bbb13e97771"/>
    <ds:schemaRef ds:uri="http://purl.org/dc/dcmitype/"/>
    <ds:schemaRef ds:uri="http://www.w3.org/XML/1998/namespace"/>
    <ds:schemaRef ds:uri="http://schemas.microsoft.com/office/2006/documentManagement/types"/>
    <ds:schemaRef ds:uri="http://purl.org/dc/terms/"/>
    <ds:schemaRef ds:uri="54904628-6268-4ac5-9416-97794f1d508d"/>
  </ds:schemaRefs>
</ds:datastoreItem>
</file>

<file path=customXml/itemProps3.xml><?xml version="1.0" encoding="utf-8"?>
<ds:datastoreItem xmlns:ds="http://schemas.openxmlformats.org/officeDocument/2006/customXml" ds:itemID="{C35C1036-E4CF-4BD6-A038-DEE1236D9E82}">
  <ds:schemaRefs>
    <ds:schemaRef ds:uri="http://schemas.microsoft.com/sharepoint/v3/contenttype/forms"/>
  </ds:schemaRefs>
</ds:datastoreItem>
</file>

<file path=customXml/itemProps4.xml><?xml version="1.0" encoding="utf-8"?>
<ds:datastoreItem xmlns:ds="http://schemas.openxmlformats.org/officeDocument/2006/customXml" ds:itemID="{548DF044-ACA4-4F7D-907B-4575C48E5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47098-0215-444c-9096-523bda4ac5c6"/>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54904628-6268-4ac5-9416-97794f1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67509B-A485-49D6-BB54-8EECF576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5636</Words>
  <Characters>32128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Stirling</dc:creator>
  <cp:keywords/>
  <dc:description/>
  <cp:lastModifiedBy>Liz Stirling</cp:lastModifiedBy>
  <cp:revision>2</cp:revision>
  <dcterms:created xsi:type="dcterms:W3CDTF">2024-07-19T01:59:00Z</dcterms:created>
  <dcterms:modified xsi:type="dcterms:W3CDTF">2024-07-19T01:59:00Z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0x010100A28230263C7D7A4FB197614F88F6A462</vt:lpwstr>
  </property>
  <property fmtid="{D5CDD505-2E9C-101B-9397-08002B2CF9AE}" pid="3" name="_dlc_DocIdItemGuid">
    <vt:lpwstr>183f2c27-aa10-4cd6-999f-2f489e356c0d</vt:lpwstr>
  </property>
</Properties>
</file>