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904F" w14:textId="2FB8645D" w:rsidR="00A83DC0" w:rsidRPr="00F02C62" w:rsidRDefault="00813BE2" w:rsidP="005731A2">
      <w:pPr>
        <w:pStyle w:val="Title"/>
        <w:jc w:val="both"/>
      </w:pPr>
      <w:r w:rsidRPr="00F02C62">
        <w:t xml:space="preserve">Acute </w:t>
      </w:r>
      <w:r w:rsidR="00CC192E" w:rsidRPr="00F02C62">
        <w:t>Readmissions</w:t>
      </w:r>
    </w:p>
    <w:p w14:paraId="2C00D8FA" w14:textId="77777777" w:rsidR="00354FB4" w:rsidRPr="00F02C62" w:rsidRDefault="00354FB4" w:rsidP="005731A2">
      <w:pPr>
        <w:pStyle w:val="Subtitle"/>
        <w:jc w:val="both"/>
      </w:pPr>
      <w:r w:rsidRPr="00F02C62">
        <w:t>Analytical Definition Document</w:t>
      </w:r>
    </w:p>
    <w:p w14:paraId="3790C417" w14:textId="77777777" w:rsidR="00354FB4" w:rsidRPr="00F02C62" w:rsidRDefault="00354FB4" w:rsidP="005731A2">
      <w:pPr>
        <w:jc w:val="both"/>
      </w:pPr>
    </w:p>
    <w:p w14:paraId="2B670E4B" w14:textId="1016321F" w:rsidR="00CC192E" w:rsidRPr="00F02C62" w:rsidRDefault="00CC192E" w:rsidP="005731A2">
      <w:pPr>
        <w:jc w:val="both"/>
        <w:rPr>
          <w:b/>
        </w:rPr>
      </w:pPr>
      <w:r w:rsidRPr="00F02C62">
        <w:rPr>
          <w:b/>
        </w:rPr>
        <w:t>By Acute Readmission Technical Working Group</w:t>
      </w:r>
    </w:p>
    <w:p w14:paraId="2B9C0CCB" w14:textId="77777777" w:rsidR="00CC192E" w:rsidRPr="00F02C62" w:rsidRDefault="00CC192E" w:rsidP="005731A2">
      <w:pPr>
        <w:jc w:val="both"/>
      </w:pPr>
    </w:p>
    <w:p w14:paraId="6B90CE29" w14:textId="77777777" w:rsidR="00354FB4" w:rsidRPr="00F02C62" w:rsidRDefault="00354FB4" w:rsidP="005731A2">
      <w:pPr>
        <w:jc w:val="both"/>
      </w:pPr>
      <w:r w:rsidRPr="00F02C62">
        <w:t>Document Version Management</w:t>
      </w:r>
    </w:p>
    <w:tbl>
      <w:tblPr>
        <w:tblStyle w:val="TableGrid"/>
        <w:tblW w:w="9634" w:type="dxa"/>
        <w:tblLook w:val="04A0" w:firstRow="1" w:lastRow="0" w:firstColumn="1" w:lastColumn="0" w:noHBand="0" w:noVBand="1"/>
      </w:tblPr>
      <w:tblGrid>
        <w:gridCol w:w="1124"/>
        <w:gridCol w:w="1423"/>
        <w:gridCol w:w="3827"/>
        <w:gridCol w:w="3260"/>
      </w:tblGrid>
      <w:tr w:rsidR="00354FB4" w:rsidRPr="00F02C62" w14:paraId="383AA526" w14:textId="77777777" w:rsidTr="00D85A2C">
        <w:tc>
          <w:tcPr>
            <w:tcW w:w="1124" w:type="dxa"/>
          </w:tcPr>
          <w:p w14:paraId="53DB2767" w14:textId="77777777" w:rsidR="00354FB4" w:rsidRPr="00F02C62" w:rsidRDefault="00354FB4" w:rsidP="005731A2">
            <w:pPr>
              <w:pStyle w:val="NoSpacing"/>
              <w:jc w:val="both"/>
              <w:rPr>
                <w:rStyle w:val="Strong"/>
              </w:rPr>
            </w:pPr>
            <w:r w:rsidRPr="00F02C62">
              <w:rPr>
                <w:rStyle w:val="Strong"/>
              </w:rPr>
              <w:t>Version</w:t>
            </w:r>
          </w:p>
        </w:tc>
        <w:tc>
          <w:tcPr>
            <w:tcW w:w="1423" w:type="dxa"/>
          </w:tcPr>
          <w:p w14:paraId="198375D5" w14:textId="77777777" w:rsidR="00354FB4" w:rsidRPr="00F02C62" w:rsidRDefault="00354FB4" w:rsidP="005731A2">
            <w:pPr>
              <w:pStyle w:val="NoSpacing"/>
              <w:jc w:val="both"/>
              <w:rPr>
                <w:rStyle w:val="Strong"/>
              </w:rPr>
            </w:pPr>
            <w:r w:rsidRPr="00F02C62">
              <w:rPr>
                <w:rStyle w:val="Strong"/>
              </w:rPr>
              <w:t>Date</w:t>
            </w:r>
          </w:p>
        </w:tc>
        <w:tc>
          <w:tcPr>
            <w:tcW w:w="3827" w:type="dxa"/>
          </w:tcPr>
          <w:p w14:paraId="634C36EE" w14:textId="77777777" w:rsidR="00354FB4" w:rsidRPr="00F02C62" w:rsidRDefault="00354FB4" w:rsidP="001436E7">
            <w:pPr>
              <w:pStyle w:val="NoSpacing"/>
              <w:rPr>
                <w:rStyle w:val="Strong"/>
              </w:rPr>
            </w:pPr>
            <w:r w:rsidRPr="00F02C62">
              <w:rPr>
                <w:rStyle w:val="Strong"/>
              </w:rPr>
              <w:t>Update Description</w:t>
            </w:r>
          </w:p>
        </w:tc>
        <w:tc>
          <w:tcPr>
            <w:tcW w:w="3260" w:type="dxa"/>
          </w:tcPr>
          <w:p w14:paraId="7DE43E65" w14:textId="77777777" w:rsidR="00354FB4" w:rsidRPr="00F02C62" w:rsidRDefault="00354FB4" w:rsidP="00DB54A8">
            <w:pPr>
              <w:pStyle w:val="NoSpacing"/>
              <w:rPr>
                <w:rStyle w:val="Strong"/>
              </w:rPr>
            </w:pPr>
            <w:r w:rsidRPr="00F02C62">
              <w:rPr>
                <w:rStyle w:val="Strong"/>
              </w:rPr>
              <w:t>Author</w:t>
            </w:r>
          </w:p>
        </w:tc>
      </w:tr>
      <w:tr w:rsidR="00F96AFA" w:rsidRPr="00F02C62" w14:paraId="6AEBB179" w14:textId="77777777" w:rsidTr="00D85A2C">
        <w:tc>
          <w:tcPr>
            <w:tcW w:w="1124" w:type="dxa"/>
          </w:tcPr>
          <w:p w14:paraId="435B5638" w14:textId="7303C1A6" w:rsidR="00F96AFA" w:rsidRPr="00F96AFA" w:rsidRDefault="00F96AFA" w:rsidP="005731A2">
            <w:pPr>
              <w:pStyle w:val="NoSpacing"/>
              <w:jc w:val="both"/>
              <w:rPr>
                <w:rStyle w:val="Strong"/>
                <w:b w:val="0"/>
              </w:rPr>
            </w:pPr>
            <w:r w:rsidRPr="00F96AFA">
              <w:rPr>
                <w:rStyle w:val="Strong"/>
                <w:b w:val="0"/>
              </w:rPr>
              <w:t>v1.0</w:t>
            </w:r>
          </w:p>
        </w:tc>
        <w:tc>
          <w:tcPr>
            <w:tcW w:w="1423" w:type="dxa"/>
          </w:tcPr>
          <w:p w14:paraId="22076ACD" w14:textId="377AB49D" w:rsidR="00F96AFA" w:rsidRPr="00F96AFA" w:rsidRDefault="00F96AFA" w:rsidP="005731A2">
            <w:pPr>
              <w:pStyle w:val="NoSpacing"/>
              <w:jc w:val="both"/>
              <w:rPr>
                <w:rStyle w:val="Strong"/>
                <w:b w:val="0"/>
              </w:rPr>
            </w:pPr>
            <w:r w:rsidRPr="00F96AFA">
              <w:rPr>
                <w:rStyle w:val="Strong"/>
                <w:b w:val="0"/>
              </w:rPr>
              <w:t>16/08/</w:t>
            </w:r>
            <w:r w:rsidR="003A22CB">
              <w:rPr>
                <w:rStyle w:val="Strong"/>
                <w:b w:val="0"/>
              </w:rPr>
              <w:t>2</w:t>
            </w:r>
            <w:r w:rsidR="003A22CB" w:rsidRPr="00730C38">
              <w:rPr>
                <w:rStyle w:val="Strong"/>
                <w:b w:val="0"/>
                <w:bCs w:val="0"/>
              </w:rPr>
              <w:t>0</w:t>
            </w:r>
            <w:r w:rsidRPr="00F96AFA">
              <w:rPr>
                <w:rStyle w:val="Strong"/>
                <w:b w:val="0"/>
              </w:rPr>
              <w:t>17</w:t>
            </w:r>
          </w:p>
        </w:tc>
        <w:tc>
          <w:tcPr>
            <w:tcW w:w="3827" w:type="dxa"/>
          </w:tcPr>
          <w:p w14:paraId="119906C1" w14:textId="27B22B7F" w:rsidR="00F96AFA" w:rsidRPr="00F96AFA" w:rsidRDefault="00F96AFA" w:rsidP="001436E7">
            <w:pPr>
              <w:pStyle w:val="NoSpacing"/>
              <w:rPr>
                <w:rStyle w:val="Strong"/>
                <w:b w:val="0"/>
              </w:rPr>
            </w:pPr>
            <w:r w:rsidRPr="00F96AFA">
              <w:rPr>
                <w:rStyle w:val="Strong"/>
                <w:b w:val="0"/>
              </w:rPr>
              <w:t>Final version</w:t>
            </w:r>
          </w:p>
        </w:tc>
        <w:tc>
          <w:tcPr>
            <w:tcW w:w="3260" w:type="dxa"/>
          </w:tcPr>
          <w:p w14:paraId="36A4CA25" w14:textId="7D84D29E" w:rsidR="00F96AFA" w:rsidRPr="00F02C62" w:rsidRDefault="00F96AFA" w:rsidP="00DB54A8">
            <w:pPr>
              <w:pStyle w:val="NoSpacing"/>
              <w:rPr>
                <w:rStyle w:val="Strong"/>
              </w:rPr>
            </w:pPr>
            <w:r>
              <w:t>Service Analysis and Modelling, Ministry of Health</w:t>
            </w:r>
          </w:p>
        </w:tc>
      </w:tr>
      <w:tr w:rsidR="003A22CB" w:rsidRPr="00F02C62" w14:paraId="6DFEF4FF" w14:textId="77777777" w:rsidTr="00D85A2C">
        <w:tc>
          <w:tcPr>
            <w:tcW w:w="1124" w:type="dxa"/>
          </w:tcPr>
          <w:p w14:paraId="230DC446" w14:textId="6DB9E778" w:rsidR="003A22CB" w:rsidRPr="000D75C2" w:rsidRDefault="003A22CB" w:rsidP="003A22CB">
            <w:pPr>
              <w:pStyle w:val="NoSpacing"/>
              <w:jc w:val="both"/>
              <w:rPr>
                <w:rStyle w:val="Strong"/>
                <w:b w:val="0"/>
              </w:rPr>
            </w:pPr>
            <w:r w:rsidRPr="000D75C2">
              <w:rPr>
                <w:rStyle w:val="Strong"/>
                <w:b w:val="0"/>
              </w:rPr>
              <w:t>V</w:t>
            </w:r>
            <w:r w:rsidRPr="00D85A2C">
              <w:rPr>
                <w:rStyle w:val="Strong"/>
                <w:b w:val="0"/>
              </w:rPr>
              <w:t>1.5</w:t>
            </w:r>
          </w:p>
        </w:tc>
        <w:tc>
          <w:tcPr>
            <w:tcW w:w="1423" w:type="dxa"/>
          </w:tcPr>
          <w:p w14:paraId="622F76F6" w14:textId="0EC80296" w:rsidR="003A22CB" w:rsidRPr="000D75C2" w:rsidRDefault="003A22CB" w:rsidP="003A22CB">
            <w:pPr>
              <w:pStyle w:val="NoSpacing"/>
              <w:jc w:val="both"/>
              <w:rPr>
                <w:rStyle w:val="Strong"/>
                <w:b w:val="0"/>
              </w:rPr>
            </w:pPr>
            <w:r w:rsidRPr="000D75C2">
              <w:rPr>
                <w:rStyle w:val="Strong"/>
                <w:b w:val="0"/>
              </w:rPr>
              <w:t>2</w:t>
            </w:r>
            <w:r w:rsidRPr="00D85A2C">
              <w:rPr>
                <w:rStyle w:val="Strong"/>
                <w:b w:val="0"/>
              </w:rPr>
              <w:t>0/05/2023</w:t>
            </w:r>
          </w:p>
        </w:tc>
        <w:tc>
          <w:tcPr>
            <w:tcW w:w="3827" w:type="dxa"/>
          </w:tcPr>
          <w:p w14:paraId="22A1E5A3" w14:textId="216C56DC" w:rsidR="005A7BDE" w:rsidRPr="00D85A2C" w:rsidRDefault="005A7BDE" w:rsidP="003A22CB">
            <w:pPr>
              <w:pStyle w:val="NoSpacing"/>
              <w:rPr>
                <w:rStyle w:val="Strong"/>
                <w:b w:val="0"/>
              </w:rPr>
            </w:pPr>
            <w:bookmarkStart w:id="0" w:name="_Hlk167374711"/>
            <w:r w:rsidRPr="000D75C2">
              <w:rPr>
                <w:rStyle w:val="Strong"/>
                <w:b w:val="0"/>
              </w:rPr>
              <w:t>U</w:t>
            </w:r>
            <w:r w:rsidRPr="00D85A2C">
              <w:rPr>
                <w:rStyle w:val="Strong"/>
                <w:b w:val="0"/>
              </w:rPr>
              <w:t>pdate</w:t>
            </w:r>
            <w:r w:rsidR="00E922E4" w:rsidRPr="00D85A2C">
              <w:rPr>
                <w:rStyle w:val="Strong"/>
                <w:b w:val="0"/>
              </w:rPr>
              <w:t>d</w:t>
            </w:r>
            <w:r w:rsidRPr="00D85A2C">
              <w:rPr>
                <w:rStyle w:val="Strong"/>
                <w:b w:val="0"/>
              </w:rPr>
              <w:t xml:space="preserve"> maternity DRG code</w:t>
            </w:r>
            <w:r w:rsidR="00D85A2C">
              <w:rPr>
                <w:rStyle w:val="Strong"/>
                <w:b w:val="0"/>
              </w:rPr>
              <w:t>.</w:t>
            </w:r>
          </w:p>
          <w:p w14:paraId="3F330F8E" w14:textId="544CEA5A" w:rsidR="00176B29" w:rsidRDefault="005A7BDE" w:rsidP="00176B29">
            <w:pPr>
              <w:pStyle w:val="NoSpacing"/>
              <w:rPr>
                <w:rStyle w:val="Strong"/>
                <w:b w:val="0"/>
              </w:rPr>
            </w:pPr>
            <w:r w:rsidRPr="00176B29">
              <w:rPr>
                <w:rStyle w:val="Strong"/>
                <w:b w:val="0"/>
              </w:rPr>
              <w:t>Remove</w:t>
            </w:r>
            <w:r w:rsidR="00E922E4" w:rsidRPr="00176B29">
              <w:rPr>
                <w:rStyle w:val="Strong"/>
                <w:b w:val="0"/>
              </w:rPr>
              <w:t>d</w:t>
            </w:r>
            <w:r w:rsidRPr="00176B29">
              <w:rPr>
                <w:rStyle w:val="Strong"/>
                <w:b w:val="0"/>
              </w:rPr>
              <w:t xml:space="preserve"> PCCL from predictor list</w:t>
            </w:r>
            <w:r w:rsidR="00D85A2C">
              <w:rPr>
                <w:rStyle w:val="Strong"/>
                <w:b w:val="0"/>
              </w:rPr>
              <w:t>.</w:t>
            </w:r>
          </w:p>
          <w:p w14:paraId="18C5D8E7" w14:textId="0A10BB14" w:rsidR="00E922E4" w:rsidRPr="00D85A2C" w:rsidRDefault="00E922E4" w:rsidP="00D85A2C">
            <w:pPr>
              <w:pStyle w:val="NoSpacing"/>
              <w:rPr>
                <w:rFonts w:cs="Arial"/>
                <w:bCs/>
              </w:rPr>
            </w:pPr>
            <w:r w:rsidRPr="00D85A2C">
              <w:rPr>
                <w:rFonts w:cs="Arial"/>
                <w:bCs/>
              </w:rPr>
              <w:t>Updated Major Diagnostic Categories based</w:t>
            </w:r>
            <w:r w:rsidR="00DD3F83">
              <w:rPr>
                <w:rFonts w:cs="Arial"/>
                <w:bCs/>
              </w:rPr>
              <w:t xml:space="preserve"> on </w:t>
            </w:r>
            <w:r w:rsidRPr="00D85A2C">
              <w:rPr>
                <w:rFonts w:cs="Arial"/>
                <w:bCs/>
              </w:rPr>
              <w:t>DRG v10.0</w:t>
            </w:r>
            <w:r w:rsidR="00D85A2C">
              <w:rPr>
                <w:rFonts w:cs="Arial"/>
                <w:bCs/>
              </w:rPr>
              <w:t>.</w:t>
            </w:r>
          </w:p>
          <w:bookmarkEnd w:id="0"/>
          <w:p w14:paraId="5FDF1165" w14:textId="77777777" w:rsidR="00E922E4" w:rsidRDefault="00E922E4" w:rsidP="003A22CB">
            <w:pPr>
              <w:pStyle w:val="NoSpacing"/>
              <w:rPr>
                <w:rStyle w:val="Strong"/>
              </w:rPr>
            </w:pPr>
          </w:p>
          <w:p w14:paraId="51F3AAC9" w14:textId="452E7742" w:rsidR="003A22CB" w:rsidRPr="00F96AFA" w:rsidRDefault="005A7BDE" w:rsidP="003A22CB">
            <w:pPr>
              <w:pStyle w:val="NoSpacing"/>
              <w:rPr>
                <w:rStyle w:val="Strong"/>
                <w:b w:val="0"/>
              </w:rPr>
            </w:pPr>
            <w:r>
              <w:rPr>
                <w:rStyle w:val="Strong"/>
              </w:rPr>
              <w:t xml:space="preserve"> </w:t>
            </w:r>
          </w:p>
        </w:tc>
        <w:tc>
          <w:tcPr>
            <w:tcW w:w="3260" w:type="dxa"/>
          </w:tcPr>
          <w:p w14:paraId="0BEBBEAF" w14:textId="506E2440" w:rsidR="003A22CB" w:rsidRDefault="003A22CB" w:rsidP="003A22CB">
            <w:pPr>
              <w:pStyle w:val="NoSpacing"/>
            </w:pPr>
            <w:r>
              <w:t>Service Analysis and Modelling, Ministry of Health</w:t>
            </w:r>
          </w:p>
        </w:tc>
      </w:tr>
    </w:tbl>
    <w:p w14:paraId="7A16E5E7" w14:textId="2441572B" w:rsidR="00F02C62" w:rsidRDefault="00F02C62" w:rsidP="005731A2">
      <w:pPr>
        <w:jc w:val="both"/>
        <w:rPr>
          <w:highlight w:val="yellow"/>
        </w:rPr>
      </w:pPr>
    </w:p>
    <w:p w14:paraId="79B9DBF8" w14:textId="77777777" w:rsidR="00F02C62" w:rsidRDefault="00F02C62">
      <w:pPr>
        <w:spacing w:before="0" w:after="160"/>
        <w:rPr>
          <w:highlight w:val="yellow"/>
        </w:rPr>
      </w:pPr>
      <w:r>
        <w:rPr>
          <w:highlight w:val="yellow"/>
        </w:rPr>
        <w:br w:type="page"/>
      </w:r>
    </w:p>
    <w:p w14:paraId="402D4874" w14:textId="77777777" w:rsidR="00BC677E" w:rsidRPr="00461CEB" w:rsidRDefault="00BC677E" w:rsidP="005731A2">
      <w:pPr>
        <w:jc w:val="both"/>
      </w:pPr>
    </w:p>
    <w:sdt>
      <w:sdtPr>
        <w:rPr>
          <w:rFonts w:asciiTheme="minorHAnsi" w:eastAsiaTheme="minorHAnsi" w:hAnsiTheme="minorHAnsi" w:cstheme="minorBidi"/>
          <w:color w:val="auto"/>
          <w:sz w:val="20"/>
          <w:szCs w:val="22"/>
          <w:lang w:val="en-NZ"/>
        </w:rPr>
        <w:id w:val="-653300087"/>
        <w:docPartObj>
          <w:docPartGallery w:val="Table of Contents"/>
          <w:docPartUnique/>
        </w:docPartObj>
      </w:sdtPr>
      <w:sdtEndPr>
        <w:rPr>
          <w:b/>
          <w:bCs/>
          <w:noProof/>
          <w:highlight w:val="yellow"/>
        </w:rPr>
      </w:sdtEndPr>
      <w:sdtContent>
        <w:p w14:paraId="5B7ECB86" w14:textId="77777777" w:rsidR="00A742EF" w:rsidRPr="00461CEB" w:rsidRDefault="00A742EF" w:rsidP="005731A2">
          <w:pPr>
            <w:pStyle w:val="TOCHeading"/>
            <w:jc w:val="both"/>
          </w:pPr>
          <w:r w:rsidRPr="00461CEB">
            <w:t>Contents</w:t>
          </w:r>
        </w:p>
        <w:p w14:paraId="1DE0BB9F" w14:textId="11246AF3" w:rsidR="00730C38" w:rsidRDefault="00A742EF">
          <w:pPr>
            <w:pStyle w:val="TOC1"/>
            <w:rPr>
              <w:rFonts w:eastAsiaTheme="minorEastAsia"/>
              <w:noProof/>
              <w:sz w:val="22"/>
              <w:lang w:eastAsia="zh-CN"/>
            </w:rPr>
          </w:pPr>
          <w:r w:rsidRPr="00461CEB">
            <w:fldChar w:fldCharType="begin"/>
          </w:r>
          <w:r w:rsidRPr="00461CEB">
            <w:instrText xml:space="preserve"> TOC \o "1-3" \h \z \u </w:instrText>
          </w:r>
          <w:r w:rsidRPr="00461CEB">
            <w:fldChar w:fldCharType="separate"/>
          </w:r>
          <w:hyperlink w:anchor="_Toc173318857" w:history="1">
            <w:r w:rsidR="00730C38" w:rsidRPr="00944007">
              <w:rPr>
                <w:rStyle w:val="Hyperlink"/>
                <w:noProof/>
              </w:rPr>
              <w:t>1</w:t>
            </w:r>
            <w:r w:rsidR="00730C38">
              <w:rPr>
                <w:rFonts w:eastAsiaTheme="minorEastAsia"/>
                <w:noProof/>
                <w:sz w:val="22"/>
                <w:lang w:eastAsia="zh-CN"/>
              </w:rPr>
              <w:tab/>
            </w:r>
            <w:r w:rsidR="00730C38" w:rsidRPr="00944007">
              <w:rPr>
                <w:rStyle w:val="Hyperlink"/>
                <w:noProof/>
              </w:rPr>
              <w:t>Introduction: Acute Readmissions</w:t>
            </w:r>
            <w:r w:rsidR="00730C38">
              <w:rPr>
                <w:noProof/>
                <w:webHidden/>
              </w:rPr>
              <w:tab/>
            </w:r>
            <w:r w:rsidR="00730C38">
              <w:rPr>
                <w:noProof/>
                <w:webHidden/>
              </w:rPr>
              <w:fldChar w:fldCharType="begin"/>
            </w:r>
            <w:r w:rsidR="00730C38">
              <w:rPr>
                <w:noProof/>
                <w:webHidden/>
              </w:rPr>
              <w:instrText xml:space="preserve"> PAGEREF _Toc173318857 \h </w:instrText>
            </w:r>
            <w:r w:rsidR="00730C38">
              <w:rPr>
                <w:noProof/>
                <w:webHidden/>
              </w:rPr>
            </w:r>
            <w:r w:rsidR="00730C38">
              <w:rPr>
                <w:noProof/>
                <w:webHidden/>
              </w:rPr>
              <w:fldChar w:fldCharType="separate"/>
            </w:r>
            <w:r w:rsidR="00730C38">
              <w:rPr>
                <w:noProof/>
                <w:webHidden/>
              </w:rPr>
              <w:t>4</w:t>
            </w:r>
            <w:r w:rsidR="00730C38">
              <w:rPr>
                <w:noProof/>
                <w:webHidden/>
              </w:rPr>
              <w:fldChar w:fldCharType="end"/>
            </w:r>
          </w:hyperlink>
        </w:p>
        <w:p w14:paraId="518A817A" w14:textId="2FCC2DDC" w:rsidR="00730C38" w:rsidRDefault="00730C38">
          <w:pPr>
            <w:pStyle w:val="TOC2"/>
            <w:tabs>
              <w:tab w:val="left" w:pos="880"/>
              <w:tab w:val="right" w:leader="dot" w:pos="9016"/>
            </w:tabs>
            <w:rPr>
              <w:rFonts w:eastAsiaTheme="minorEastAsia"/>
              <w:noProof/>
              <w:sz w:val="22"/>
              <w:lang w:eastAsia="zh-CN"/>
            </w:rPr>
          </w:pPr>
          <w:hyperlink w:anchor="_Toc173318858" w:history="1">
            <w:r w:rsidRPr="00944007">
              <w:rPr>
                <w:rStyle w:val="Hyperlink"/>
                <w:noProof/>
              </w:rPr>
              <w:t>1.1</w:t>
            </w:r>
            <w:r>
              <w:rPr>
                <w:rFonts w:eastAsiaTheme="minorEastAsia"/>
                <w:noProof/>
                <w:sz w:val="22"/>
                <w:lang w:eastAsia="zh-CN"/>
              </w:rPr>
              <w:tab/>
            </w:r>
            <w:r w:rsidRPr="00944007">
              <w:rPr>
                <w:rStyle w:val="Hyperlink"/>
                <w:noProof/>
              </w:rPr>
              <w:t>Value and Rationale</w:t>
            </w:r>
            <w:r>
              <w:rPr>
                <w:noProof/>
                <w:webHidden/>
              </w:rPr>
              <w:tab/>
            </w:r>
            <w:r>
              <w:rPr>
                <w:noProof/>
                <w:webHidden/>
              </w:rPr>
              <w:fldChar w:fldCharType="begin"/>
            </w:r>
            <w:r>
              <w:rPr>
                <w:noProof/>
                <w:webHidden/>
              </w:rPr>
              <w:instrText xml:space="preserve"> PAGEREF _Toc173318858 \h </w:instrText>
            </w:r>
            <w:r>
              <w:rPr>
                <w:noProof/>
                <w:webHidden/>
              </w:rPr>
            </w:r>
            <w:r>
              <w:rPr>
                <w:noProof/>
                <w:webHidden/>
              </w:rPr>
              <w:fldChar w:fldCharType="separate"/>
            </w:r>
            <w:r>
              <w:rPr>
                <w:noProof/>
                <w:webHidden/>
              </w:rPr>
              <w:t>4</w:t>
            </w:r>
            <w:r>
              <w:rPr>
                <w:noProof/>
                <w:webHidden/>
              </w:rPr>
              <w:fldChar w:fldCharType="end"/>
            </w:r>
          </w:hyperlink>
        </w:p>
        <w:p w14:paraId="4996006F" w14:textId="08C52D1F" w:rsidR="00730C38" w:rsidRDefault="00730C38">
          <w:pPr>
            <w:pStyle w:val="TOC2"/>
            <w:tabs>
              <w:tab w:val="left" w:pos="880"/>
              <w:tab w:val="right" w:leader="dot" w:pos="9016"/>
            </w:tabs>
            <w:rPr>
              <w:rFonts w:eastAsiaTheme="minorEastAsia"/>
              <w:noProof/>
              <w:sz w:val="22"/>
              <w:lang w:eastAsia="zh-CN"/>
            </w:rPr>
          </w:pPr>
          <w:hyperlink w:anchor="_Toc173318859" w:history="1">
            <w:r w:rsidRPr="00944007">
              <w:rPr>
                <w:rStyle w:val="Hyperlink"/>
                <w:noProof/>
              </w:rPr>
              <w:t>1.2</w:t>
            </w:r>
            <w:r>
              <w:rPr>
                <w:rFonts w:eastAsiaTheme="minorEastAsia"/>
                <w:noProof/>
                <w:sz w:val="22"/>
                <w:lang w:eastAsia="zh-CN"/>
              </w:rPr>
              <w:tab/>
            </w:r>
            <w:r w:rsidRPr="00944007">
              <w:rPr>
                <w:rStyle w:val="Hyperlink"/>
                <w:noProof/>
              </w:rPr>
              <w:t>High Level Definition</w:t>
            </w:r>
            <w:r>
              <w:rPr>
                <w:noProof/>
                <w:webHidden/>
              </w:rPr>
              <w:tab/>
            </w:r>
            <w:r>
              <w:rPr>
                <w:noProof/>
                <w:webHidden/>
              </w:rPr>
              <w:fldChar w:fldCharType="begin"/>
            </w:r>
            <w:r>
              <w:rPr>
                <w:noProof/>
                <w:webHidden/>
              </w:rPr>
              <w:instrText xml:space="preserve"> PAGEREF _Toc173318859 \h </w:instrText>
            </w:r>
            <w:r>
              <w:rPr>
                <w:noProof/>
                <w:webHidden/>
              </w:rPr>
            </w:r>
            <w:r>
              <w:rPr>
                <w:noProof/>
                <w:webHidden/>
              </w:rPr>
              <w:fldChar w:fldCharType="separate"/>
            </w:r>
            <w:r>
              <w:rPr>
                <w:noProof/>
                <w:webHidden/>
              </w:rPr>
              <w:t>5</w:t>
            </w:r>
            <w:r>
              <w:rPr>
                <w:noProof/>
                <w:webHidden/>
              </w:rPr>
              <w:fldChar w:fldCharType="end"/>
            </w:r>
          </w:hyperlink>
        </w:p>
        <w:p w14:paraId="1A9B775F" w14:textId="4E85BCEB" w:rsidR="00730C38" w:rsidRDefault="00730C38">
          <w:pPr>
            <w:pStyle w:val="TOC1"/>
            <w:rPr>
              <w:rFonts w:eastAsiaTheme="minorEastAsia"/>
              <w:noProof/>
              <w:sz w:val="22"/>
              <w:lang w:eastAsia="zh-CN"/>
            </w:rPr>
          </w:pPr>
          <w:hyperlink w:anchor="_Toc173318860" w:history="1">
            <w:r w:rsidRPr="00944007">
              <w:rPr>
                <w:rStyle w:val="Hyperlink"/>
                <w:noProof/>
              </w:rPr>
              <w:t>2</w:t>
            </w:r>
            <w:r>
              <w:rPr>
                <w:rFonts w:eastAsiaTheme="minorEastAsia"/>
                <w:noProof/>
                <w:sz w:val="22"/>
                <w:lang w:eastAsia="zh-CN"/>
              </w:rPr>
              <w:tab/>
            </w:r>
            <w:r w:rsidRPr="00944007">
              <w:rPr>
                <w:rStyle w:val="Hyperlink"/>
                <w:noProof/>
              </w:rPr>
              <w:t>Key Concepts for the Model</w:t>
            </w:r>
            <w:r>
              <w:rPr>
                <w:noProof/>
                <w:webHidden/>
              </w:rPr>
              <w:tab/>
            </w:r>
            <w:r>
              <w:rPr>
                <w:noProof/>
                <w:webHidden/>
              </w:rPr>
              <w:fldChar w:fldCharType="begin"/>
            </w:r>
            <w:r>
              <w:rPr>
                <w:noProof/>
                <w:webHidden/>
              </w:rPr>
              <w:instrText xml:space="preserve"> PAGEREF _Toc173318860 \h </w:instrText>
            </w:r>
            <w:r>
              <w:rPr>
                <w:noProof/>
                <w:webHidden/>
              </w:rPr>
            </w:r>
            <w:r>
              <w:rPr>
                <w:noProof/>
                <w:webHidden/>
              </w:rPr>
              <w:fldChar w:fldCharType="separate"/>
            </w:r>
            <w:r>
              <w:rPr>
                <w:noProof/>
                <w:webHidden/>
              </w:rPr>
              <w:t>6</w:t>
            </w:r>
            <w:r>
              <w:rPr>
                <w:noProof/>
                <w:webHidden/>
              </w:rPr>
              <w:fldChar w:fldCharType="end"/>
            </w:r>
          </w:hyperlink>
        </w:p>
        <w:p w14:paraId="593F3135" w14:textId="68C58D93" w:rsidR="00730C38" w:rsidRDefault="00730C38">
          <w:pPr>
            <w:pStyle w:val="TOC2"/>
            <w:tabs>
              <w:tab w:val="left" w:pos="880"/>
              <w:tab w:val="right" w:leader="dot" w:pos="9016"/>
            </w:tabs>
            <w:rPr>
              <w:rFonts w:eastAsiaTheme="minorEastAsia"/>
              <w:noProof/>
              <w:sz w:val="22"/>
              <w:lang w:eastAsia="zh-CN"/>
            </w:rPr>
          </w:pPr>
          <w:hyperlink w:anchor="_Toc173318861" w:history="1">
            <w:r w:rsidRPr="00944007">
              <w:rPr>
                <w:rStyle w:val="Hyperlink"/>
                <w:noProof/>
              </w:rPr>
              <w:t>2.1</w:t>
            </w:r>
            <w:r>
              <w:rPr>
                <w:rFonts w:eastAsiaTheme="minorEastAsia"/>
                <w:noProof/>
                <w:sz w:val="22"/>
                <w:lang w:eastAsia="zh-CN"/>
              </w:rPr>
              <w:tab/>
            </w:r>
            <w:r w:rsidRPr="00944007">
              <w:rPr>
                <w:rStyle w:val="Hyperlink"/>
                <w:noProof/>
              </w:rPr>
              <w:t>Key Concepts: District</w:t>
            </w:r>
            <w:r>
              <w:rPr>
                <w:noProof/>
                <w:webHidden/>
              </w:rPr>
              <w:tab/>
            </w:r>
            <w:r>
              <w:rPr>
                <w:noProof/>
                <w:webHidden/>
              </w:rPr>
              <w:fldChar w:fldCharType="begin"/>
            </w:r>
            <w:r>
              <w:rPr>
                <w:noProof/>
                <w:webHidden/>
              </w:rPr>
              <w:instrText xml:space="preserve"> PAGEREF _Toc173318861 \h </w:instrText>
            </w:r>
            <w:r>
              <w:rPr>
                <w:noProof/>
                <w:webHidden/>
              </w:rPr>
            </w:r>
            <w:r>
              <w:rPr>
                <w:noProof/>
                <w:webHidden/>
              </w:rPr>
              <w:fldChar w:fldCharType="separate"/>
            </w:r>
            <w:r>
              <w:rPr>
                <w:noProof/>
                <w:webHidden/>
              </w:rPr>
              <w:t>6</w:t>
            </w:r>
            <w:r>
              <w:rPr>
                <w:noProof/>
                <w:webHidden/>
              </w:rPr>
              <w:fldChar w:fldCharType="end"/>
            </w:r>
          </w:hyperlink>
        </w:p>
        <w:p w14:paraId="684F92D9" w14:textId="08F99899" w:rsidR="00730C38" w:rsidRDefault="00730C38">
          <w:pPr>
            <w:pStyle w:val="TOC3"/>
            <w:tabs>
              <w:tab w:val="left" w:pos="1100"/>
              <w:tab w:val="right" w:leader="dot" w:pos="9016"/>
            </w:tabs>
            <w:rPr>
              <w:rFonts w:eastAsiaTheme="minorEastAsia"/>
              <w:noProof/>
              <w:sz w:val="22"/>
              <w:lang w:eastAsia="zh-CN"/>
            </w:rPr>
          </w:pPr>
          <w:hyperlink w:anchor="_Toc173318862" w:history="1">
            <w:r w:rsidRPr="00944007">
              <w:rPr>
                <w:rStyle w:val="Hyperlink"/>
                <w:noProof/>
              </w:rPr>
              <w:t>2.1.1</w:t>
            </w:r>
            <w:r>
              <w:rPr>
                <w:rFonts w:eastAsiaTheme="minorEastAsia"/>
                <w:noProof/>
                <w:sz w:val="22"/>
                <w:lang w:eastAsia="zh-CN"/>
              </w:rPr>
              <w:tab/>
            </w:r>
            <w:r w:rsidRPr="00944007">
              <w:rPr>
                <w:rStyle w:val="Hyperlink"/>
                <w:noProof/>
              </w:rPr>
              <w:t>District of Domicile</w:t>
            </w:r>
            <w:r>
              <w:rPr>
                <w:noProof/>
                <w:webHidden/>
              </w:rPr>
              <w:tab/>
            </w:r>
            <w:r>
              <w:rPr>
                <w:noProof/>
                <w:webHidden/>
              </w:rPr>
              <w:fldChar w:fldCharType="begin"/>
            </w:r>
            <w:r>
              <w:rPr>
                <w:noProof/>
                <w:webHidden/>
              </w:rPr>
              <w:instrText xml:space="preserve"> PAGEREF _Toc173318862 \h </w:instrText>
            </w:r>
            <w:r>
              <w:rPr>
                <w:noProof/>
                <w:webHidden/>
              </w:rPr>
            </w:r>
            <w:r>
              <w:rPr>
                <w:noProof/>
                <w:webHidden/>
              </w:rPr>
              <w:fldChar w:fldCharType="separate"/>
            </w:r>
            <w:r>
              <w:rPr>
                <w:noProof/>
                <w:webHidden/>
              </w:rPr>
              <w:t>6</w:t>
            </w:r>
            <w:r>
              <w:rPr>
                <w:noProof/>
                <w:webHidden/>
              </w:rPr>
              <w:fldChar w:fldCharType="end"/>
            </w:r>
          </w:hyperlink>
        </w:p>
        <w:p w14:paraId="4FC16B71" w14:textId="573CD018" w:rsidR="00730C38" w:rsidRDefault="00730C38">
          <w:pPr>
            <w:pStyle w:val="TOC3"/>
            <w:tabs>
              <w:tab w:val="left" w:pos="1100"/>
              <w:tab w:val="right" w:leader="dot" w:pos="9016"/>
            </w:tabs>
            <w:rPr>
              <w:rFonts w:eastAsiaTheme="minorEastAsia"/>
              <w:noProof/>
              <w:sz w:val="22"/>
              <w:lang w:eastAsia="zh-CN"/>
            </w:rPr>
          </w:pPr>
          <w:hyperlink w:anchor="_Toc173318863" w:history="1">
            <w:r w:rsidRPr="00944007">
              <w:rPr>
                <w:rStyle w:val="Hyperlink"/>
                <w:noProof/>
              </w:rPr>
              <w:t>2.1.2</w:t>
            </w:r>
            <w:r>
              <w:rPr>
                <w:rFonts w:eastAsiaTheme="minorEastAsia"/>
                <w:noProof/>
                <w:sz w:val="22"/>
                <w:lang w:eastAsia="zh-CN"/>
              </w:rPr>
              <w:tab/>
            </w:r>
            <w:r w:rsidRPr="00944007">
              <w:rPr>
                <w:rStyle w:val="Hyperlink"/>
                <w:noProof/>
              </w:rPr>
              <w:t>District of Service</w:t>
            </w:r>
            <w:r>
              <w:rPr>
                <w:noProof/>
                <w:webHidden/>
              </w:rPr>
              <w:tab/>
            </w:r>
            <w:r>
              <w:rPr>
                <w:noProof/>
                <w:webHidden/>
              </w:rPr>
              <w:fldChar w:fldCharType="begin"/>
            </w:r>
            <w:r>
              <w:rPr>
                <w:noProof/>
                <w:webHidden/>
              </w:rPr>
              <w:instrText xml:space="preserve"> PAGEREF _Toc173318863 \h </w:instrText>
            </w:r>
            <w:r>
              <w:rPr>
                <w:noProof/>
                <w:webHidden/>
              </w:rPr>
            </w:r>
            <w:r>
              <w:rPr>
                <w:noProof/>
                <w:webHidden/>
              </w:rPr>
              <w:fldChar w:fldCharType="separate"/>
            </w:r>
            <w:r>
              <w:rPr>
                <w:noProof/>
                <w:webHidden/>
              </w:rPr>
              <w:t>6</w:t>
            </w:r>
            <w:r>
              <w:rPr>
                <w:noProof/>
                <w:webHidden/>
              </w:rPr>
              <w:fldChar w:fldCharType="end"/>
            </w:r>
          </w:hyperlink>
        </w:p>
        <w:p w14:paraId="4A43BB5F" w14:textId="2C107832" w:rsidR="00730C38" w:rsidRDefault="00730C38">
          <w:pPr>
            <w:pStyle w:val="TOC2"/>
            <w:tabs>
              <w:tab w:val="left" w:pos="880"/>
              <w:tab w:val="right" w:leader="dot" w:pos="9016"/>
            </w:tabs>
            <w:rPr>
              <w:rFonts w:eastAsiaTheme="minorEastAsia"/>
              <w:noProof/>
              <w:sz w:val="22"/>
              <w:lang w:eastAsia="zh-CN"/>
            </w:rPr>
          </w:pPr>
          <w:hyperlink w:anchor="_Toc173318864" w:history="1">
            <w:r w:rsidRPr="00944007">
              <w:rPr>
                <w:rStyle w:val="Hyperlink"/>
                <w:noProof/>
              </w:rPr>
              <w:t>2.2</w:t>
            </w:r>
            <w:r>
              <w:rPr>
                <w:rFonts w:eastAsiaTheme="minorEastAsia"/>
                <w:noProof/>
                <w:sz w:val="22"/>
                <w:lang w:eastAsia="zh-CN"/>
              </w:rPr>
              <w:tab/>
            </w:r>
            <w:r w:rsidRPr="00944007">
              <w:rPr>
                <w:rStyle w:val="Hyperlink"/>
                <w:noProof/>
              </w:rPr>
              <w:t>Key Concepts: Inpatient Events &amp; Stays</w:t>
            </w:r>
            <w:r>
              <w:rPr>
                <w:noProof/>
                <w:webHidden/>
              </w:rPr>
              <w:tab/>
            </w:r>
            <w:r>
              <w:rPr>
                <w:noProof/>
                <w:webHidden/>
              </w:rPr>
              <w:fldChar w:fldCharType="begin"/>
            </w:r>
            <w:r>
              <w:rPr>
                <w:noProof/>
                <w:webHidden/>
              </w:rPr>
              <w:instrText xml:space="preserve"> PAGEREF _Toc173318864 \h </w:instrText>
            </w:r>
            <w:r>
              <w:rPr>
                <w:noProof/>
                <w:webHidden/>
              </w:rPr>
            </w:r>
            <w:r>
              <w:rPr>
                <w:noProof/>
                <w:webHidden/>
              </w:rPr>
              <w:fldChar w:fldCharType="separate"/>
            </w:r>
            <w:r>
              <w:rPr>
                <w:noProof/>
                <w:webHidden/>
              </w:rPr>
              <w:t>6</w:t>
            </w:r>
            <w:r>
              <w:rPr>
                <w:noProof/>
                <w:webHidden/>
              </w:rPr>
              <w:fldChar w:fldCharType="end"/>
            </w:r>
          </w:hyperlink>
        </w:p>
        <w:p w14:paraId="237805E1" w14:textId="15935DA6" w:rsidR="00730C38" w:rsidRDefault="00730C38">
          <w:pPr>
            <w:pStyle w:val="TOC3"/>
            <w:tabs>
              <w:tab w:val="left" w:pos="1100"/>
              <w:tab w:val="right" w:leader="dot" w:pos="9016"/>
            </w:tabs>
            <w:rPr>
              <w:rFonts w:eastAsiaTheme="minorEastAsia"/>
              <w:noProof/>
              <w:sz w:val="22"/>
              <w:lang w:eastAsia="zh-CN"/>
            </w:rPr>
          </w:pPr>
          <w:hyperlink w:anchor="_Toc173318865" w:history="1">
            <w:r w:rsidRPr="00944007">
              <w:rPr>
                <w:rStyle w:val="Hyperlink"/>
                <w:noProof/>
              </w:rPr>
              <w:t>2.2.1</w:t>
            </w:r>
            <w:r>
              <w:rPr>
                <w:rFonts w:eastAsiaTheme="minorEastAsia"/>
                <w:noProof/>
                <w:sz w:val="22"/>
                <w:lang w:eastAsia="zh-CN"/>
              </w:rPr>
              <w:tab/>
            </w:r>
            <w:r w:rsidRPr="00944007">
              <w:rPr>
                <w:rStyle w:val="Hyperlink"/>
                <w:noProof/>
              </w:rPr>
              <w:t>Inpatient</w:t>
            </w:r>
            <w:r>
              <w:rPr>
                <w:noProof/>
                <w:webHidden/>
              </w:rPr>
              <w:tab/>
            </w:r>
            <w:r>
              <w:rPr>
                <w:noProof/>
                <w:webHidden/>
              </w:rPr>
              <w:fldChar w:fldCharType="begin"/>
            </w:r>
            <w:r>
              <w:rPr>
                <w:noProof/>
                <w:webHidden/>
              </w:rPr>
              <w:instrText xml:space="preserve"> PAGEREF _Toc173318865 \h </w:instrText>
            </w:r>
            <w:r>
              <w:rPr>
                <w:noProof/>
                <w:webHidden/>
              </w:rPr>
            </w:r>
            <w:r>
              <w:rPr>
                <w:noProof/>
                <w:webHidden/>
              </w:rPr>
              <w:fldChar w:fldCharType="separate"/>
            </w:r>
            <w:r>
              <w:rPr>
                <w:noProof/>
                <w:webHidden/>
              </w:rPr>
              <w:t>6</w:t>
            </w:r>
            <w:r>
              <w:rPr>
                <w:noProof/>
                <w:webHidden/>
              </w:rPr>
              <w:fldChar w:fldCharType="end"/>
            </w:r>
          </w:hyperlink>
        </w:p>
        <w:p w14:paraId="4E863E76" w14:textId="78C83FDE" w:rsidR="00730C38" w:rsidRDefault="00730C38">
          <w:pPr>
            <w:pStyle w:val="TOC3"/>
            <w:tabs>
              <w:tab w:val="left" w:pos="1100"/>
              <w:tab w:val="right" w:leader="dot" w:pos="9016"/>
            </w:tabs>
            <w:rPr>
              <w:rFonts w:eastAsiaTheme="minorEastAsia"/>
              <w:noProof/>
              <w:sz w:val="22"/>
              <w:lang w:eastAsia="zh-CN"/>
            </w:rPr>
          </w:pPr>
          <w:hyperlink w:anchor="_Toc173318866" w:history="1">
            <w:r w:rsidRPr="00944007">
              <w:rPr>
                <w:rStyle w:val="Hyperlink"/>
                <w:noProof/>
              </w:rPr>
              <w:t>2.2.2</w:t>
            </w:r>
            <w:r>
              <w:rPr>
                <w:rFonts w:eastAsiaTheme="minorEastAsia"/>
                <w:noProof/>
                <w:sz w:val="22"/>
                <w:lang w:eastAsia="zh-CN"/>
              </w:rPr>
              <w:tab/>
            </w:r>
            <w:r w:rsidRPr="00944007">
              <w:rPr>
                <w:rStyle w:val="Hyperlink"/>
                <w:noProof/>
              </w:rPr>
              <w:t>Events</w:t>
            </w:r>
            <w:r>
              <w:rPr>
                <w:noProof/>
                <w:webHidden/>
              </w:rPr>
              <w:tab/>
            </w:r>
            <w:r>
              <w:rPr>
                <w:noProof/>
                <w:webHidden/>
              </w:rPr>
              <w:fldChar w:fldCharType="begin"/>
            </w:r>
            <w:r>
              <w:rPr>
                <w:noProof/>
                <w:webHidden/>
              </w:rPr>
              <w:instrText xml:space="preserve"> PAGEREF _Toc173318866 \h </w:instrText>
            </w:r>
            <w:r>
              <w:rPr>
                <w:noProof/>
                <w:webHidden/>
              </w:rPr>
            </w:r>
            <w:r>
              <w:rPr>
                <w:noProof/>
                <w:webHidden/>
              </w:rPr>
              <w:fldChar w:fldCharType="separate"/>
            </w:r>
            <w:r>
              <w:rPr>
                <w:noProof/>
                <w:webHidden/>
              </w:rPr>
              <w:t>7</w:t>
            </w:r>
            <w:r>
              <w:rPr>
                <w:noProof/>
                <w:webHidden/>
              </w:rPr>
              <w:fldChar w:fldCharType="end"/>
            </w:r>
          </w:hyperlink>
        </w:p>
        <w:p w14:paraId="0F1717C7" w14:textId="569E2D9E" w:rsidR="00730C38" w:rsidRDefault="00730C38">
          <w:pPr>
            <w:pStyle w:val="TOC3"/>
            <w:tabs>
              <w:tab w:val="left" w:pos="1100"/>
              <w:tab w:val="right" w:leader="dot" w:pos="9016"/>
            </w:tabs>
            <w:rPr>
              <w:rFonts w:eastAsiaTheme="minorEastAsia"/>
              <w:noProof/>
              <w:sz w:val="22"/>
              <w:lang w:eastAsia="zh-CN"/>
            </w:rPr>
          </w:pPr>
          <w:hyperlink w:anchor="_Toc173318867" w:history="1">
            <w:r w:rsidRPr="00944007">
              <w:rPr>
                <w:rStyle w:val="Hyperlink"/>
                <w:noProof/>
              </w:rPr>
              <w:t>2.2.3</w:t>
            </w:r>
            <w:r>
              <w:rPr>
                <w:rFonts w:eastAsiaTheme="minorEastAsia"/>
                <w:noProof/>
                <w:sz w:val="22"/>
                <w:lang w:eastAsia="zh-CN"/>
              </w:rPr>
              <w:tab/>
            </w:r>
            <w:r w:rsidRPr="00944007">
              <w:rPr>
                <w:rStyle w:val="Hyperlink"/>
                <w:noProof/>
              </w:rPr>
              <w:t>Stays</w:t>
            </w:r>
            <w:r>
              <w:rPr>
                <w:noProof/>
                <w:webHidden/>
              </w:rPr>
              <w:tab/>
            </w:r>
            <w:r>
              <w:rPr>
                <w:noProof/>
                <w:webHidden/>
              </w:rPr>
              <w:fldChar w:fldCharType="begin"/>
            </w:r>
            <w:r>
              <w:rPr>
                <w:noProof/>
                <w:webHidden/>
              </w:rPr>
              <w:instrText xml:space="preserve"> PAGEREF _Toc173318867 \h </w:instrText>
            </w:r>
            <w:r>
              <w:rPr>
                <w:noProof/>
                <w:webHidden/>
              </w:rPr>
            </w:r>
            <w:r>
              <w:rPr>
                <w:noProof/>
                <w:webHidden/>
              </w:rPr>
              <w:fldChar w:fldCharType="separate"/>
            </w:r>
            <w:r>
              <w:rPr>
                <w:noProof/>
                <w:webHidden/>
              </w:rPr>
              <w:t>7</w:t>
            </w:r>
            <w:r>
              <w:rPr>
                <w:noProof/>
                <w:webHidden/>
              </w:rPr>
              <w:fldChar w:fldCharType="end"/>
            </w:r>
          </w:hyperlink>
        </w:p>
        <w:p w14:paraId="03F7D7C8" w14:textId="017830A4" w:rsidR="00730C38" w:rsidRDefault="00730C38">
          <w:pPr>
            <w:pStyle w:val="TOC2"/>
            <w:tabs>
              <w:tab w:val="left" w:pos="880"/>
              <w:tab w:val="right" w:leader="dot" w:pos="9016"/>
            </w:tabs>
            <w:rPr>
              <w:rFonts w:eastAsiaTheme="minorEastAsia"/>
              <w:noProof/>
              <w:sz w:val="22"/>
              <w:lang w:eastAsia="zh-CN"/>
            </w:rPr>
          </w:pPr>
          <w:hyperlink w:anchor="_Toc173318868" w:history="1">
            <w:r w:rsidRPr="00944007">
              <w:rPr>
                <w:rStyle w:val="Hyperlink"/>
                <w:noProof/>
              </w:rPr>
              <w:t>2.3</w:t>
            </w:r>
            <w:r>
              <w:rPr>
                <w:rFonts w:eastAsiaTheme="minorEastAsia"/>
                <w:noProof/>
                <w:sz w:val="22"/>
                <w:lang w:eastAsia="zh-CN"/>
              </w:rPr>
              <w:tab/>
            </w:r>
            <w:r w:rsidRPr="00944007">
              <w:rPr>
                <w:rStyle w:val="Hyperlink"/>
                <w:noProof/>
              </w:rPr>
              <w:t>Key Concepts: Index and Readmission Stays</w:t>
            </w:r>
            <w:r>
              <w:rPr>
                <w:noProof/>
                <w:webHidden/>
              </w:rPr>
              <w:tab/>
            </w:r>
            <w:r>
              <w:rPr>
                <w:noProof/>
                <w:webHidden/>
              </w:rPr>
              <w:fldChar w:fldCharType="begin"/>
            </w:r>
            <w:r>
              <w:rPr>
                <w:noProof/>
                <w:webHidden/>
              </w:rPr>
              <w:instrText xml:space="preserve"> PAGEREF _Toc173318868 \h </w:instrText>
            </w:r>
            <w:r>
              <w:rPr>
                <w:noProof/>
                <w:webHidden/>
              </w:rPr>
            </w:r>
            <w:r>
              <w:rPr>
                <w:noProof/>
                <w:webHidden/>
              </w:rPr>
              <w:fldChar w:fldCharType="separate"/>
            </w:r>
            <w:r>
              <w:rPr>
                <w:noProof/>
                <w:webHidden/>
              </w:rPr>
              <w:t>8</w:t>
            </w:r>
            <w:r>
              <w:rPr>
                <w:noProof/>
                <w:webHidden/>
              </w:rPr>
              <w:fldChar w:fldCharType="end"/>
            </w:r>
          </w:hyperlink>
        </w:p>
        <w:p w14:paraId="561DC6C2" w14:textId="7623E4F5" w:rsidR="00730C38" w:rsidRDefault="00730C38">
          <w:pPr>
            <w:pStyle w:val="TOC3"/>
            <w:tabs>
              <w:tab w:val="left" w:pos="1100"/>
              <w:tab w:val="right" w:leader="dot" w:pos="9016"/>
            </w:tabs>
            <w:rPr>
              <w:rFonts w:eastAsiaTheme="minorEastAsia"/>
              <w:noProof/>
              <w:sz w:val="22"/>
              <w:lang w:eastAsia="zh-CN"/>
            </w:rPr>
          </w:pPr>
          <w:hyperlink w:anchor="_Toc173318869" w:history="1">
            <w:r w:rsidRPr="00944007">
              <w:rPr>
                <w:rStyle w:val="Hyperlink"/>
                <w:noProof/>
              </w:rPr>
              <w:t>2.3.1</w:t>
            </w:r>
            <w:r>
              <w:rPr>
                <w:rFonts w:eastAsiaTheme="minorEastAsia"/>
                <w:noProof/>
                <w:sz w:val="22"/>
                <w:lang w:eastAsia="zh-CN"/>
              </w:rPr>
              <w:tab/>
            </w:r>
            <w:r w:rsidRPr="00944007">
              <w:rPr>
                <w:rStyle w:val="Hyperlink"/>
                <w:noProof/>
              </w:rPr>
              <w:t>Description of an Index Stay</w:t>
            </w:r>
            <w:r>
              <w:rPr>
                <w:noProof/>
                <w:webHidden/>
              </w:rPr>
              <w:tab/>
            </w:r>
            <w:r>
              <w:rPr>
                <w:noProof/>
                <w:webHidden/>
              </w:rPr>
              <w:fldChar w:fldCharType="begin"/>
            </w:r>
            <w:r>
              <w:rPr>
                <w:noProof/>
                <w:webHidden/>
              </w:rPr>
              <w:instrText xml:space="preserve"> PAGEREF _Toc173318869 \h </w:instrText>
            </w:r>
            <w:r>
              <w:rPr>
                <w:noProof/>
                <w:webHidden/>
              </w:rPr>
            </w:r>
            <w:r>
              <w:rPr>
                <w:noProof/>
                <w:webHidden/>
              </w:rPr>
              <w:fldChar w:fldCharType="separate"/>
            </w:r>
            <w:r>
              <w:rPr>
                <w:noProof/>
                <w:webHidden/>
              </w:rPr>
              <w:t>8</w:t>
            </w:r>
            <w:r>
              <w:rPr>
                <w:noProof/>
                <w:webHidden/>
              </w:rPr>
              <w:fldChar w:fldCharType="end"/>
            </w:r>
          </w:hyperlink>
        </w:p>
        <w:p w14:paraId="4F5ED5AB" w14:textId="45229186" w:rsidR="00730C38" w:rsidRDefault="00730C38">
          <w:pPr>
            <w:pStyle w:val="TOC3"/>
            <w:tabs>
              <w:tab w:val="left" w:pos="1100"/>
              <w:tab w:val="right" w:leader="dot" w:pos="9016"/>
            </w:tabs>
            <w:rPr>
              <w:rFonts w:eastAsiaTheme="minorEastAsia"/>
              <w:noProof/>
              <w:sz w:val="22"/>
              <w:lang w:eastAsia="zh-CN"/>
            </w:rPr>
          </w:pPr>
          <w:hyperlink w:anchor="_Toc173318870" w:history="1">
            <w:r w:rsidRPr="00944007">
              <w:rPr>
                <w:rStyle w:val="Hyperlink"/>
                <w:noProof/>
              </w:rPr>
              <w:t>2.3.2</w:t>
            </w:r>
            <w:r>
              <w:rPr>
                <w:rFonts w:eastAsiaTheme="minorEastAsia"/>
                <w:noProof/>
                <w:sz w:val="22"/>
                <w:lang w:eastAsia="zh-CN"/>
              </w:rPr>
              <w:tab/>
            </w:r>
            <w:r w:rsidRPr="00944007">
              <w:rPr>
                <w:rStyle w:val="Hyperlink"/>
                <w:noProof/>
              </w:rPr>
              <w:t>Decision Flow for an Index Stay</w:t>
            </w:r>
            <w:r>
              <w:rPr>
                <w:noProof/>
                <w:webHidden/>
              </w:rPr>
              <w:tab/>
            </w:r>
            <w:r>
              <w:rPr>
                <w:noProof/>
                <w:webHidden/>
              </w:rPr>
              <w:fldChar w:fldCharType="begin"/>
            </w:r>
            <w:r>
              <w:rPr>
                <w:noProof/>
                <w:webHidden/>
              </w:rPr>
              <w:instrText xml:space="preserve"> PAGEREF _Toc173318870 \h </w:instrText>
            </w:r>
            <w:r>
              <w:rPr>
                <w:noProof/>
                <w:webHidden/>
              </w:rPr>
            </w:r>
            <w:r>
              <w:rPr>
                <w:noProof/>
                <w:webHidden/>
              </w:rPr>
              <w:fldChar w:fldCharType="separate"/>
            </w:r>
            <w:r>
              <w:rPr>
                <w:noProof/>
                <w:webHidden/>
              </w:rPr>
              <w:t>8</w:t>
            </w:r>
            <w:r>
              <w:rPr>
                <w:noProof/>
                <w:webHidden/>
              </w:rPr>
              <w:fldChar w:fldCharType="end"/>
            </w:r>
          </w:hyperlink>
        </w:p>
        <w:p w14:paraId="0437EF1F" w14:textId="320238C3" w:rsidR="00730C38" w:rsidRDefault="00730C38">
          <w:pPr>
            <w:pStyle w:val="TOC3"/>
            <w:tabs>
              <w:tab w:val="left" w:pos="1100"/>
              <w:tab w:val="right" w:leader="dot" w:pos="9016"/>
            </w:tabs>
            <w:rPr>
              <w:rFonts w:eastAsiaTheme="minorEastAsia"/>
              <w:noProof/>
              <w:sz w:val="22"/>
              <w:lang w:eastAsia="zh-CN"/>
            </w:rPr>
          </w:pPr>
          <w:hyperlink w:anchor="_Toc173318871" w:history="1">
            <w:r w:rsidRPr="00944007">
              <w:rPr>
                <w:rStyle w:val="Hyperlink"/>
                <w:noProof/>
              </w:rPr>
              <w:t>2.3.3</w:t>
            </w:r>
            <w:r>
              <w:rPr>
                <w:rFonts w:eastAsiaTheme="minorEastAsia"/>
                <w:noProof/>
                <w:sz w:val="22"/>
                <w:lang w:eastAsia="zh-CN"/>
              </w:rPr>
              <w:tab/>
            </w:r>
            <w:r w:rsidRPr="00944007">
              <w:rPr>
                <w:rStyle w:val="Hyperlink"/>
                <w:noProof/>
              </w:rPr>
              <w:t>Description of a Readmission Stay</w:t>
            </w:r>
            <w:r>
              <w:rPr>
                <w:noProof/>
                <w:webHidden/>
              </w:rPr>
              <w:tab/>
            </w:r>
            <w:r>
              <w:rPr>
                <w:noProof/>
                <w:webHidden/>
              </w:rPr>
              <w:fldChar w:fldCharType="begin"/>
            </w:r>
            <w:r>
              <w:rPr>
                <w:noProof/>
                <w:webHidden/>
              </w:rPr>
              <w:instrText xml:space="preserve"> PAGEREF _Toc173318871 \h </w:instrText>
            </w:r>
            <w:r>
              <w:rPr>
                <w:noProof/>
                <w:webHidden/>
              </w:rPr>
            </w:r>
            <w:r>
              <w:rPr>
                <w:noProof/>
                <w:webHidden/>
              </w:rPr>
              <w:fldChar w:fldCharType="separate"/>
            </w:r>
            <w:r>
              <w:rPr>
                <w:noProof/>
                <w:webHidden/>
              </w:rPr>
              <w:t>9</w:t>
            </w:r>
            <w:r>
              <w:rPr>
                <w:noProof/>
                <w:webHidden/>
              </w:rPr>
              <w:fldChar w:fldCharType="end"/>
            </w:r>
          </w:hyperlink>
        </w:p>
        <w:p w14:paraId="70DD1E3F" w14:textId="617E15C9" w:rsidR="00730C38" w:rsidRDefault="00730C38">
          <w:pPr>
            <w:pStyle w:val="TOC3"/>
            <w:tabs>
              <w:tab w:val="left" w:pos="1100"/>
              <w:tab w:val="right" w:leader="dot" w:pos="9016"/>
            </w:tabs>
            <w:rPr>
              <w:rFonts w:eastAsiaTheme="minorEastAsia"/>
              <w:noProof/>
              <w:sz w:val="22"/>
              <w:lang w:eastAsia="zh-CN"/>
            </w:rPr>
          </w:pPr>
          <w:hyperlink w:anchor="_Toc173318872" w:history="1">
            <w:r w:rsidRPr="00944007">
              <w:rPr>
                <w:rStyle w:val="Hyperlink"/>
                <w:noProof/>
              </w:rPr>
              <w:t>2.3.4</w:t>
            </w:r>
            <w:r>
              <w:rPr>
                <w:rFonts w:eastAsiaTheme="minorEastAsia"/>
                <w:noProof/>
                <w:sz w:val="22"/>
                <w:lang w:eastAsia="zh-CN"/>
              </w:rPr>
              <w:tab/>
            </w:r>
            <w:r w:rsidRPr="00944007">
              <w:rPr>
                <w:rStyle w:val="Hyperlink"/>
                <w:noProof/>
              </w:rPr>
              <w:t>Decision Flow for a Readmission Stay</w:t>
            </w:r>
            <w:r>
              <w:rPr>
                <w:noProof/>
                <w:webHidden/>
              </w:rPr>
              <w:tab/>
            </w:r>
            <w:r>
              <w:rPr>
                <w:noProof/>
                <w:webHidden/>
              </w:rPr>
              <w:fldChar w:fldCharType="begin"/>
            </w:r>
            <w:r>
              <w:rPr>
                <w:noProof/>
                <w:webHidden/>
              </w:rPr>
              <w:instrText xml:space="preserve"> PAGEREF _Toc173318872 \h </w:instrText>
            </w:r>
            <w:r>
              <w:rPr>
                <w:noProof/>
                <w:webHidden/>
              </w:rPr>
            </w:r>
            <w:r>
              <w:rPr>
                <w:noProof/>
                <w:webHidden/>
              </w:rPr>
              <w:fldChar w:fldCharType="separate"/>
            </w:r>
            <w:r>
              <w:rPr>
                <w:noProof/>
                <w:webHidden/>
              </w:rPr>
              <w:t>9</w:t>
            </w:r>
            <w:r>
              <w:rPr>
                <w:noProof/>
                <w:webHidden/>
              </w:rPr>
              <w:fldChar w:fldCharType="end"/>
            </w:r>
          </w:hyperlink>
        </w:p>
        <w:p w14:paraId="6DDE5A9C" w14:textId="209F030F" w:rsidR="00730C38" w:rsidRDefault="00730C38">
          <w:pPr>
            <w:pStyle w:val="TOC3"/>
            <w:tabs>
              <w:tab w:val="left" w:pos="1100"/>
              <w:tab w:val="right" w:leader="dot" w:pos="9016"/>
            </w:tabs>
            <w:rPr>
              <w:rFonts w:eastAsiaTheme="minorEastAsia"/>
              <w:noProof/>
              <w:sz w:val="22"/>
              <w:lang w:eastAsia="zh-CN"/>
            </w:rPr>
          </w:pPr>
          <w:hyperlink w:anchor="_Toc173318873" w:history="1">
            <w:r w:rsidRPr="00944007">
              <w:rPr>
                <w:rStyle w:val="Hyperlink"/>
                <w:noProof/>
              </w:rPr>
              <w:t>2.3.5</w:t>
            </w:r>
            <w:r>
              <w:rPr>
                <w:rFonts w:eastAsiaTheme="minorEastAsia"/>
                <w:noProof/>
                <w:sz w:val="22"/>
                <w:lang w:eastAsia="zh-CN"/>
              </w:rPr>
              <w:tab/>
            </w:r>
            <w:r w:rsidRPr="00944007">
              <w:rPr>
                <w:rStyle w:val="Hyperlink"/>
                <w:noProof/>
              </w:rPr>
              <w:t>The Algorithm of Index and Readmission Stays</w:t>
            </w:r>
            <w:r>
              <w:rPr>
                <w:noProof/>
                <w:webHidden/>
              </w:rPr>
              <w:tab/>
            </w:r>
            <w:r>
              <w:rPr>
                <w:noProof/>
                <w:webHidden/>
              </w:rPr>
              <w:fldChar w:fldCharType="begin"/>
            </w:r>
            <w:r>
              <w:rPr>
                <w:noProof/>
                <w:webHidden/>
              </w:rPr>
              <w:instrText xml:space="preserve"> PAGEREF _Toc173318873 \h </w:instrText>
            </w:r>
            <w:r>
              <w:rPr>
                <w:noProof/>
                <w:webHidden/>
              </w:rPr>
            </w:r>
            <w:r>
              <w:rPr>
                <w:noProof/>
                <w:webHidden/>
              </w:rPr>
              <w:fldChar w:fldCharType="separate"/>
            </w:r>
            <w:r>
              <w:rPr>
                <w:noProof/>
                <w:webHidden/>
              </w:rPr>
              <w:t>10</w:t>
            </w:r>
            <w:r>
              <w:rPr>
                <w:noProof/>
                <w:webHidden/>
              </w:rPr>
              <w:fldChar w:fldCharType="end"/>
            </w:r>
          </w:hyperlink>
        </w:p>
        <w:p w14:paraId="0646F91A" w14:textId="3877D21A" w:rsidR="00730C38" w:rsidRDefault="00730C38">
          <w:pPr>
            <w:pStyle w:val="TOC3"/>
            <w:tabs>
              <w:tab w:val="left" w:pos="1100"/>
              <w:tab w:val="right" w:leader="dot" w:pos="9016"/>
            </w:tabs>
            <w:rPr>
              <w:rFonts w:eastAsiaTheme="minorEastAsia"/>
              <w:noProof/>
              <w:sz w:val="22"/>
              <w:lang w:eastAsia="zh-CN"/>
            </w:rPr>
          </w:pPr>
          <w:hyperlink w:anchor="_Toc173318874" w:history="1">
            <w:r w:rsidRPr="00944007">
              <w:rPr>
                <w:rStyle w:val="Hyperlink"/>
                <w:noProof/>
              </w:rPr>
              <w:t>2.3.6</w:t>
            </w:r>
            <w:r>
              <w:rPr>
                <w:rFonts w:eastAsiaTheme="minorEastAsia"/>
                <w:noProof/>
                <w:sz w:val="22"/>
                <w:lang w:eastAsia="zh-CN"/>
              </w:rPr>
              <w:tab/>
            </w:r>
            <w:r w:rsidRPr="00944007">
              <w:rPr>
                <w:rStyle w:val="Hyperlink"/>
                <w:noProof/>
              </w:rPr>
              <w:t>Interval between Index and Readmission Stays</w:t>
            </w:r>
            <w:r>
              <w:rPr>
                <w:noProof/>
                <w:webHidden/>
              </w:rPr>
              <w:tab/>
            </w:r>
            <w:r>
              <w:rPr>
                <w:noProof/>
                <w:webHidden/>
              </w:rPr>
              <w:fldChar w:fldCharType="begin"/>
            </w:r>
            <w:r>
              <w:rPr>
                <w:noProof/>
                <w:webHidden/>
              </w:rPr>
              <w:instrText xml:space="preserve"> PAGEREF _Toc173318874 \h </w:instrText>
            </w:r>
            <w:r>
              <w:rPr>
                <w:noProof/>
                <w:webHidden/>
              </w:rPr>
            </w:r>
            <w:r>
              <w:rPr>
                <w:noProof/>
                <w:webHidden/>
              </w:rPr>
              <w:fldChar w:fldCharType="separate"/>
            </w:r>
            <w:r>
              <w:rPr>
                <w:noProof/>
                <w:webHidden/>
              </w:rPr>
              <w:t>11</w:t>
            </w:r>
            <w:r>
              <w:rPr>
                <w:noProof/>
                <w:webHidden/>
              </w:rPr>
              <w:fldChar w:fldCharType="end"/>
            </w:r>
          </w:hyperlink>
        </w:p>
        <w:p w14:paraId="6BCF199C" w14:textId="08015CD7" w:rsidR="00730C38" w:rsidRDefault="00730C38">
          <w:pPr>
            <w:pStyle w:val="TOC1"/>
            <w:rPr>
              <w:rFonts w:eastAsiaTheme="minorEastAsia"/>
              <w:noProof/>
              <w:sz w:val="22"/>
              <w:lang w:eastAsia="zh-CN"/>
            </w:rPr>
          </w:pPr>
          <w:hyperlink w:anchor="_Toc173318875" w:history="1">
            <w:r w:rsidRPr="00944007">
              <w:rPr>
                <w:rStyle w:val="Hyperlink"/>
                <w:noProof/>
              </w:rPr>
              <w:t>3</w:t>
            </w:r>
            <w:r>
              <w:rPr>
                <w:rFonts w:eastAsiaTheme="minorEastAsia"/>
                <w:noProof/>
                <w:sz w:val="22"/>
                <w:lang w:eastAsia="zh-CN"/>
              </w:rPr>
              <w:tab/>
            </w:r>
            <w:r w:rsidRPr="00944007">
              <w:rPr>
                <w:rStyle w:val="Hyperlink"/>
                <w:noProof/>
              </w:rPr>
              <w:t>Counting of Index and Readmission Stays</w:t>
            </w:r>
            <w:r>
              <w:rPr>
                <w:noProof/>
                <w:webHidden/>
              </w:rPr>
              <w:tab/>
            </w:r>
            <w:r>
              <w:rPr>
                <w:noProof/>
                <w:webHidden/>
              </w:rPr>
              <w:fldChar w:fldCharType="begin"/>
            </w:r>
            <w:r>
              <w:rPr>
                <w:noProof/>
                <w:webHidden/>
              </w:rPr>
              <w:instrText xml:space="preserve"> PAGEREF _Toc173318875 \h </w:instrText>
            </w:r>
            <w:r>
              <w:rPr>
                <w:noProof/>
                <w:webHidden/>
              </w:rPr>
            </w:r>
            <w:r>
              <w:rPr>
                <w:noProof/>
                <w:webHidden/>
              </w:rPr>
              <w:fldChar w:fldCharType="separate"/>
            </w:r>
            <w:r>
              <w:rPr>
                <w:noProof/>
                <w:webHidden/>
              </w:rPr>
              <w:t>12</w:t>
            </w:r>
            <w:r>
              <w:rPr>
                <w:noProof/>
                <w:webHidden/>
              </w:rPr>
              <w:fldChar w:fldCharType="end"/>
            </w:r>
          </w:hyperlink>
        </w:p>
        <w:p w14:paraId="0316543C" w14:textId="249FB01A" w:rsidR="00730C38" w:rsidRDefault="00730C38">
          <w:pPr>
            <w:pStyle w:val="TOC2"/>
            <w:tabs>
              <w:tab w:val="left" w:pos="880"/>
              <w:tab w:val="right" w:leader="dot" w:pos="9016"/>
            </w:tabs>
            <w:rPr>
              <w:rFonts w:eastAsiaTheme="minorEastAsia"/>
              <w:noProof/>
              <w:sz w:val="22"/>
              <w:lang w:eastAsia="zh-CN"/>
            </w:rPr>
          </w:pPr>
          <w:hyperlink w:anchor="_Toc173318876" w:history="1">
            <w:r w:rsidRPr="00944007">
              <w:rPr>
                <w:rStyle w:val="Hyperlink"/>
                <w:noProof/>
              </w:rPr>
              <w:t>3.1</w:t>
            </w:r>
            <w:r>
              <w:rPr>
                <w:rFonts w:eastAsiaTheme="minorEastAsia"/>
                <w:noProof/>
                <w:sz w:val="22"/>
                <w:lang w:eastAsia="zh-CN"/>
              </w:rPr>
              <w:tab/>
            </w:r>
            <w:r w:rsidRPr="00944007">
              <w:rPr>
                <w:rStyle w:val="Hyperlink"/>
                <w:noProof/>
              </w:rPr>
              <w:t>Outline of Inclusions</w:t>
            </w:r>
            <w:r>
              <w:rPr>
                <w:noProof/>
                <w:webHidden/>
              </w:rPr>
              <w:tab/>
            </w:r>
            <w:r>
              <w:rPr>
                <w:noProof/>
                <w:webHidden/>
              </w:rPr>
              <w:fldChar w:fldCharType="begin"/>
            </w:r>
            <w:r>
              <w:rPr>
                <w:noProof/>
                <w:webHidden/>
              </w:rPr>
              <w:instrText xml:space="preserve"> PAGEREF _Toc173318876 \h </w:instrText>
            </w:r>
            <w:r>
              <w:rPr>
                <w:noProof/>
                <w:webHidden/>
              </w:rPr>
            </w:r>
            <w:r>
              <w:rPr>
                <w:noProof/>
                <w:webHidden/>
              </w:rPr>
              <w:fldChar w:fldCharType="separate"/>
            </w:r>
            <w:r>
              <w:rPr>
                <w:noProof/>
                <w:webHidden/>
              </w:rPr>
              <w:t>12</w:t>
            </w:r>
            <w:r>
              <w:rPr>
                <w:noProof/>
                <w:webHidden/>
              </w:rPr>
              <w:fldChar w:fldCharType="end"/>
            </w:r>
          </w:hyperlink>
        </w:p>
        <w:p w14:paraId="0AAA3E45" w14:textId="3A78044E" w:rsidR="00730C38" w:rsidRDefault="00730C38">
          <w:pPr>
            <w:pStyle w:val="TOC2"/>
            <w:tabs>
              <w:tab w:val="left" w:pos="880"/>
              <w:tab w:val="right" w:leader="dot" w:pos="9016"/>
            </w:tabs>
            <w:rPr>
              <w:rFonts w:eastAsiaTheme="minorEastAsia"/>
              <w:noProof/>
              <w:sz w:val="22"/>
              <w:lang w:eastAsia="zh-CN"/>
            </w:rPr>
          </w:pPr>
          <w:hyperlink w:anchor="_Toc173318877" w:history="1">
            <w:r w:rsidRPr="00944007">
              <w:rPr>
                <w:rStyle w:val="Hyperlink"/>
                <w:noProof/>
              </w:rPr>
              <w:t>3.2</w:t>
            </w:r>
            <w:r>
              <w:rPr>
                <w:rFonts w:eastAsiaTheme="minorEastAsia"/>
                <w:noProof/>
                <w:sz w:val="22"/>
                <w:lang w:eastAsia="zh-CN"/>
              </w:rPr>
              <w:tab/>
            </w:r>
            <w:r w:rsidRPr="00944007">
              <w:rPr>
                <w:rStyle w:val="Hyperlink"/>
                <w:noProof/>
              </w:rPr>
              <w:t>Outline of Exclusions</w:t>
            </w:r>
            <w:r>
              <w:rPr>
                <w:noProof/>
                <w:webHidden/>
              </w:rPr>
              <w:tab/>
            </w:r>
            <w:r>
              <w:rPr>
                <w:noProof/>
                <w:webHidden/>
              </w:rPr>
              <w:fldChar w:fldCharType="begin"/>
            </w:r>
            <w:r>
              <w:rPr>
                <w:noProof/>
                <w:webHidden/>
              </w:rPr>
              <w:instrText xml:space="preserve"> PAGEREF _Toc173318877 \h </w:instrText>
            </w:r>
            <w:r>
              <w:rPr>
                <w:noProof/>
                <w:webHidden/>
              </w:rPr>
            </w:r>
            <w:r>
              <w:rPr>
                <w:noProof/>
                <w:webHidden/>
              </w:rPr>
              <w:fldChar w:fldCharType="separate"/>
            </w:r>
            <w:r>
              <w:rPr>
                <w:noProof/>
                <w:webHidden/>
              </w:rPr>
              <w:t>13</w:t>
            </w:r>
            <w:r>
              <w:rPr>
                <w:noProof/>
                <w:webHidden/>
              </w:rPr>
              <w:fldChar w:fldCharType="end"/>
            </w:r>
          </w:hyperlink>
        </w:p>
        <w:p w14:paraId="40238096" w14:textId="4AEB4CC7" w:rsidR="00730C38" w:rsidRDefault="00730C38">
          <w:pPr>
            <w:pStyle w:val="TOC2"/>
            <w:tabs>
              <w:tab w:val="left" w:pos="880"/>
              <w:tab w:val="right" w:leader="dot" w:pos="9016"/>
            </w:tabs>
            <w:rPr>
              <w:rFonts w:eastAsiaTheme="minorEastAsia"/>
              <w:noProof/>
              <w:sz w:val="22"/>
              <w:lang w:eastAsia="zh-CN"/>
            </w:rPr>
          </w:pPr>
          <w:hyperlink w:anchor="_Toc173318878" w:history="1">
            <w:r w:rsidRPr="00944007">
              <w:rPr>
                <w:rStyle w:val="Hyperlink"/>
                <w:noProof/>
              </w:rPr>
              <w:t>3.3</w:t>
            </w:r>
            <w:r>
              <w:rPr>
                <w:rFonts w:eastAsiaTheme="minorEastAsia"/>
                <w:noProof/>
                <w:sz w:val="22"/>
                <w:lang w:eastAsia="zh-CN"/>
              </w:rPr>
              <w:tab/>
            </w:r>
            <w:r w:rsidRPr="00944007">
              <w:rPr>
                <w:rStyle w:val="Hyperlink"/>
                <w:noProof/>
              </w:rPr>
              <w:t>Summary Table of Inclusions and Exclusions</w:t>
            </w:r>
            <w:r>
              <w:rPr>
                <w:noProof/>
                <w:webHidden/>
              </w:rPr>
              <w:tab/>
            </w:r>
            <w:r>
              <w:rPr>
                <w:noProof/>
                <w:webHidden/>
              </w:rPr>
              <w:fldChar w:fldCharType="begin"/>
            </w:r>
            <w:r>
              <w:rPr>
                <w:noProof/>
                <w:webHidden/>
              </w:rPr>
              <w:instrText xml:space="preserve"> PAGEREF _Toc173318878 \h </w:instrText>
            </w:r>
            <w:r>
              <w:rPr>
                <w:noProof/>
                <w:webHidden/>
              </w:rPr>
            </w:r>
            <w:r>
              <w:rPr>
                <w:noProof/>
                <w:webHidden/>
              </w:rPr>
              <w:fldChar w:fldCharType="separate"/>
            </w:r>
            <w:r>
              <w:rPr>
                <w:noProof/>
                <w:webHidden/>
              </w:rPr>
              <w:t>13</w:t>
            </w:r>
            <w:r>
              <w:rPr>
                <w:noProof/>
                <w:webHidden/>
              </w:rPr>
              <w:fldChar w:fldCharType="end"/>
            </w:r>
          </w:hyperlink>
        </w:p>
        <w:p w14:paraId="2D08C8B6" w14:textId="7D9A8869" w:rsidR="00730C38" w:rsidRDefault="00730C38">
          <w:pPr>
            <w:pStyle w:val="TOC2"/>
            <w:tabs>
              <w:tab w:val="left" w:pos="880"/>
              <w:tab w:val="right" w:leader="dot" w:pos="9016"/>
            </w:tabs>
            <w:rPr>
              <w:rFonts w:eastAsiaTheme="minorEastAsia"/>
              <w:noProof/>
              <w:sz w:val="22"/>
              <w:lang w:eastAsia="zh-CN"/>
            </w:rPr>
          </w:pPr>
          <w:hyperlink w:anchor="_Toc173318879" w:history="1">
            <w:r w:rsidRPr="00944007">
              <w:rPr>
                <w:rStyle w:val="Hyperlink"/>
                <w:noProof/>
              </w:rPr>
              <w:t>3.4</w:t>
            </w:r>
            <w:r>
              <w:rPr>
                <w:rFonts w:eastAsiaTheme="minorEastAsia"/>
                <w:noProof/>
                <w:sz w:val="22"/>
                <w:lang w:eastAsia="zh-CN"/>
              </w:rPr>
              <w:tab/>
            </w:r>
            <w:r w:rsidRPr="00944007">
              <w:rPr>
                <w:rStyle w:val="Hyperlink"/>
                <w:noProof/>
              </w:rPr>
              <w:t>Details of Inclusions</w:t>
            </w:r>
            <w:r>
              <w:rPr>
                <w:noProof/>
                <w:webHidden/>
              </w:rPr>
              <w:tab/>
            </w:r>
            <w:r>
              <w:rPr>
                <w:noProof/>
                <w:webHidden/>
              </w:rPr>
              <w:fldChar w:fldCharType="begin"/>
            </w:r>
            <w:r>
              <w:rPr>
                <w:noProof/>
                <w:webHidden/>
              </w:rPr>
              <w:instrText xml:space="preserve"> PAGEREF _Toc173318879 \h </w:instrText>
            </w:r>
            <w:r>
              <w:rPr>
                <w:noProof/>
                <w:webHidden/>
              </w:rPr>
            </w:r>
            <w:r>
              <w:rPr>
                <w:noProof/>
                <w:webHidden/>
              </w:rPr>
              <w:fldChar w:fldCharType="separate"/>
            </w:r>
            <w:r>
              <w:rPr>
                <w:noProof/>
                <w:webHidden/>
              </w:rPr>
              <w:t>14</w:t>
            </w:r>
            <w:r>
              <w:rPr>
                <w:noProof/>
                <w:webHidden/>
              </w:rPr>
              <w:fldChar w:fldCharType="end"/>
            </w:r>
          </w:hyperlink>
        </w:p>
        <w:p w14:paraId="4508AA96" w14:textId="1BBFA8A8" w:rsidR="00730C38" w:rsidRDefault="00730C38">
          <w:pPr>
            <w:pStyle w:val="TOC3"/>
            <w:tabs>
              <w:tab w:val="left" w:pos="1100"/>
              <w:tab w:val="right" w:leader="dot" w:pos="9016"/>
            </w:tabs>
            <w:rPr>
              <w:rFonts w:eastAsiaTheme="minorEastAsia"/>
              <w:noProof/>
              <w:sz w:val="22"/>
              <w:lang w:eastAsia="zh-CN"/>
            </w:rPr>
          </w:pPr>
          <w:hyperlink w:anchor="_Toc173318880" w:history="1">
            <w:r w:rsidRPr="00944007">
              <w:rPr>
                <w:rStyle w:val="Hyperlink"/>
                <w:noProof/>
              </w:rPr>
              <w:t>3.4.1</w:t>
            </w:r>
            <w:r>
              <w:rPr>
                <w:rFonts w:eastAsiaTheme="minorEastAsia"/>
                <w:noProof/>
                <w:sz w:val="22"/>
                <w:lang w:eastAsia="zh-CN"/>
              </w:rPr>
              <w:tab/>
            </w:r>
            <w:r w:rsidRPr="00944007">
              <w:rPr>
                <w:rStyle w:val="Hyperlink"/>
                <w:noProof/>
              </w:rPr>
              <w:t>Inpatient Short Stays at Emergency Department</w:t>
            </w:r>
            <w:r>
              <w:rPr>
                <w:noProof/>
                <w:webHidden/>
              </w:rPr>
              <w:tab/>
            </w:r>
            <w:r>
              <w:rPr>
                <w:noProof/>
                <w:webHidden/>
              </w:rPr>
              <w:fldChar w:fldCharType="begin"/>
            </w:r>
            <w:r>
              <w:rPr>
                <w:noProof/>
                <w:webHidden/>
              </w:rPr>
              <w:instrText xml:space="preserve"> PAGEREF _Toc173318880 \h </w:instrText>
            </w:r>
            <w:r>
              <w:rPr>
                <w:noProof/>
                <w:webHidden/>
              </w:rPr>
            </w:r>
            <w:r>
              <w:rPr>
                <w:noProof/>
                <w:webHidden/>
              </w:rPr>
              <w:fldChar w:fldCharType="separate"/>
            </w:r>
            <w:r>
              <w:rPr>
                <w:noProof/>
                <w:webHidden/>
              </w:rPr>
              <w:t>14</w:t>
            </w:r>
            <w:r>
              <w:rPr>
                <w:noProof/>
                <w:webHidden/>
              </w:rPr>
              <w:fldChar w:fldCharType="end"/>
            </w:r>
          </w:hyperlink>
        </w:p>
        <w:p w14:paraId="7885065E" w14:textId="1CC629CE" w:rsidR="00730C38" w:rsidRDefault="00730C38">
          <w:pPr>
            <w:pStyle w:val="TOC3"/>
            <w:tabs>
              <w:tab w:val="left" w:pos="1100"/>
              <w:tab w:val="right" w:leader="dot" w:pos="9016"/>
            </w:tabs>
            <w:rPr>
              <w:rFonts w:eastAsiaTheme="minorEastAsia"/>
              <w:noProof/>
              <w:sz w:val="22"/>
              <w:lang w:eastAsia="zh-CN"/>
            </w:rPr>
          </w:pPr>
          <w:hyperlink w:anchor="_Toc173318881" w:history="1">
            <w:r w:rsidRPr="00944007">
              <w:rPr>
                <w:rStyle w:val="Hyperlink"/>
                <w:noProof/>
              </w:rPr>
              <w:t>3.4.2</w:t>
            </w:r>
            <w:r>
              <w:rPr>
                <w:rFonts w:eastAsiaTheme="minorEastAsia"/>
                <w:noProof/>
                <w:sz w:val="22"/>
                <w:lang w:eastAsia="zh-CN"/>
              </w:rPr>
              <w:tab/>
            </w:r>
            <w:r w:rsidRPr="00944007">
              <w:rPr>
                <w:rStyle w:val="Hyperlink"/>
                <w:noProof/>
              </w:rPr>
              <w:t>Palliative Care</w:t>
            </w:r>
            <w:r>
              <w:rPr>
                <w:noProof/>
                <w:webHidden/>
              </w:rPr>
              <w:tab/>
            </w:r>
            <w:r>
              <w:rPr>
                <w:noProof/>
                <w:webHidden/>
              </w:rPr>
              <w:fldChar w:fldCharType="begin"/>
            </w:r>
            <w:r>
              <w:rPr>
                <w:noProof/>
                <w:webHidden/>
              </w:rPr>
              <w:instrText xml:space="preserve"> PAGEREF _Toc173318881 \h </w:instrText>
            </w:r>
            <w:r>
              <w:rPr>
                <w:noProof/>
                <w:webHidden/>
              </w:rPr>
            </w:r>
            <w:r>
              <w:rPr>
                <w:noProof/>
                <w:webHidden/>
              </w:rPr>
              <w:fldChar w:fldCharType="separate"/>
            </w:r>
            <w:r>
              <w:rPr>
                <w:noProof/>
                <w:webHidden/>
              </w:rPr>
              <w:t>15</w:t>
            </w:r>
            <w:r>
              <w:rPr>
                <w:noProof/>
                <w:webHidden/>
              </w:rPr>
              <w:fldChar w:fldCharType="end"/>
            </w:r>
          </w:hyperlink>
        </w:p>
        <w:p w14:paraId="22524819" w14:textId="5FE13DEF" w:rsidR="00730C38" w:rsidRDefault="00730C38">
          <w:pPr>
            <w:pStyle w:val="TOC3"/>
            <w:tabs>
              <w:tab w:val="left" w:pos="1100"/>
              <w:tab w:val="right" w:leader="dot" w:pos="9016"/>
            </w:tabs>
            <w:rPr>
              <w:rFonts w:eastAsiaTheme="minorEastAsia"/>
              <w:noProof/>
              <w:sz w:val="22"/>
              <w:lang w:eastAsia="zh-CN"/>
            </w:rPr>
          </w:pPr>
          <w:hyperlink w:anchor="_Toc173318882" w:history="1">
            <w:r w:rsidRPr="00944007">
              <w:rPr>
                <w:rStyle w:val="Hyperlink"/>
                <w:noProof/>
              </w:rPr>
              <w:t>3.4.3</w:t>
            </w:r>
            <w:r>
              <w:rPr>
                <w:rFonts w:eastAsiaTheme="minorEastAsia"/>
                <w:noProof/>
                <w:sz w:val="22"/>
                <w:lang w:eastAsia="zh-CN"/>
              </w:rPr>
              <w:tab/>
            </w:r>
            <w:r w:rsidRPr="00944007">
              <w:rPr>
                <w:rStyle w:val="Hyperlink"/>
                <w:noProof/>
              </w:rPr>
              <w:t>Cancer Treatments</w:t>
            </w:r>
            <w:r>
              <w:rPr>
                <w:noProof/>
                <w:webHidden/>
              </w:rPr>
              <w:tab/>
            </w:r>
            <w:r>
              <w:rPr>
                <w:noProof/>
                <w:webHidden/>
              </w:rPr>
              <w:fldChar w:fldCharType="begin"/>
            </w:r>
            <w:r>
              <w:rPr>
                <w:noProof/>
                <w:webHidden/>
              </w:rPr>
              <w:instrText xml:space="preserve"> PAGEREF _Toc173318882 \h </w:instrText>
            </w:r>
            <w:r>
              <w:rPr>
                <w:noProof/>
                <w:webHidden/>
              </w:rPr>
            </w:r>
            <w:r>
              <w:rPr>
                <w:noProof/>
                <w:webHidden/>
              </w:rPr>
              <w:fldChar w:fldCharType="separate"/>
            </w:r>
            <w:r>
              <w:rPr>
                <w:noProof/>
                <w:webHidden/>
              </w:rPr>
              <w:t>15</w:t>
            </w:r>
            <w:r>
              <w:rPr>
                <w:noProof/>
                <w:webHidden/>
              </w:rPr>
              <w:fldChar w:fldCharType="end"/>
            </w:r>
          </w:hyperlink>
        </w:p>
        <w:p w14:paraId="49A4BBFA" w14:textId="554DC3E6" w:rsidR="00730C38" w:rsidRDefault="00730C38">
          <w:pPr>
            <w:pStyle w:val="TOC3"/>
            <w:tabs>
              <w:tab w:val="left" w:pos="1100"/>
              <w:tab w:val="right" w:leader="dot" w:pos="9016"/>
            </w:tabs>
            <w:rPr>
              <w:rFonts w:eastAsiaTheme="minorEastAsia"/>
              <w:noProof/>
              <w:sz w:val="22"/>
              <w:lang w:eastAsia="zh-CN"/>
            </w:rPr>
          </w:pPr>
          <w:hyperlink w:anchor="_Toc173318883" w:history="1">
            <w:r w:rsidRPr="00944007">
              <w:rPr>
                <w:rStyle w:val="Hyperlink"/>
                <w:noProof/>
              </w:rPr>
              <w:t>3.4.4</w:t>
            </w:r>
            <w:r>
              <w:rPr>
                <w:rFonts w:eastAsiaTheme="minorEastAsia"/>
                <w:noProof/>
                <w:sz w:val="22"/>
                <w:lang w:eastAsia="zh-CN"/>
              </w:rPr>
              <w:tab/>
            </w:r>
            <w:r w:rsidRPr="00944007">
              <w:rPr>
                <w:rStyle w:val="Hyperlink"/>
                <w:noProof/>
              </w:rPr>
              <w:t>Paediatric Services</w:t>
            </w:r>
            <w:r>
              <w:rPr>
                <w:noProof/>
                <w:webHidden/>
              </w:rPr>
              <w:tab/>
            </w:r>
            <w:r>
              <w:rPr>
                <w:noProof/>
                <w:webHidden/>
              </w:rPr>
              <w:fldChar w:fldCharType="begin"/>
            </w:r>
            <w:r>
              <w:rPr>
                <w:noProof/>
                <w:webHidden/>
              </w:rPr>
              <w:instrText xml:space="preserve"> PAGEREF _Toc173318883 \h </w:instrText>
            </w:r>
            <w:r>
              <w:rPr>
                <w:noProof/>
                <w:webHidden/>
              </w:rPr>
            </w:r>
            <w:r>
              <w:rPr>
                <w:noProof/>
                <w:webHidden/>
              </w:rPr>
              <w:fldChar w:fldCharType="separate"/>
            </w:r>
            <w:r>
              <w:rPr>
                <w:noProof/>
                <w:webHidden/>
              </w:rPr>
              <w:t>16</w:t>
            </w:r>
            <w:r>
              <w:rPr>
                <w:noProof/>
                <w:webHidden/>
              </w:rPr>
              <w:fldChar w:fldCharType="end"/>
            </w:r>
          </w:hyperlink>
        </w:p>
        <w:p w14:paraId="4FCC37F1" w14:textId="3D372EC9" w:rsidR="00730C38" w:rsidRDefault="00730C38">
          <w:pPr>
            <w:pStyle w:val="TOC3"/>
            <w:tabs>
              <w:tab w:val="left" w:pos="1100"/>
              <w:tab w:val="right" w:leader="dot" w:pos="9016"/>
            </w:tabs>
            <w:rPr>
              <w:rFonts w:eastAsiaTheme="minorEastAsia"/>
              <w:noProof/>
              <w:sz w:val="22"/>
              <w:lang w:eastAsia="zh-CN"/>
            </w:rPr>
          </w:pPr>
          <w:hyperlink w:anchor="_Toc173318884" w:history="1">
            <w:r w:rsidRPr="00944007">
              <w:rPr>
                <w:rStyle w:val="Hyperlink"/>
                <w:noProof/>
              </w:rPr>
              <w:t>3.4.5</w:t>
            </w:r>
            <w:r>
              <w:rPr>
                <w:rFonts w:eastAsiaTheme="minorEastAsia"/>
                <w:noProof/>
                <w:sz w:val="22"/>
                <w:lang w:eastAsia="zh-CN"/>
              </w:rPr>
              <w:tab/>
            </w:r>
            <w:r w:rsidRPr="00944007">
              <w:rPr>
                <w:rStyle w:val="Hyperlink"/>
                <w:noProof/>
              </w:rPr>
              <w:t>Geriatric Services</w:t>
            </w:r>
            <w:r>
              <w:rPr>
                <w:noProof/>
                <w:webHidden/>
              </w:rPr>
              <w:tab/>
            </w:r>
            <w:r>
              <w:rPr>
                <w:noProof/>
                <w:webHidden/>
              </w:rPr>
              <w:fldChar w:fldCharType="begin"/>
            </w:r>
            <w:r>
              <w:rPr>
                <w:noProof/>
                <w:webHidden/>
              </w:rPr>
              <w:instrText xml:space="preserve"> PAGEREF _Toc173318884 \h </w:instrText>
            </w:r>
            <w:r>
              <w:rPr>
                <w:noProof/>
                <w:webHidden/>
              </w:rPr>
            </w:r>
            <w:r>
              <w:rPr>
                <w:noProof/>
                <w:webHidden/>
              </w:rPr>
              <w:fldChar w:fldCharType="separate"/>
            </w:r>
            <w:r>
              <w:rPr>
                <w:noProof/>
                <w:webHidden/>
              </w:rPr>
              <w:t>16</w:t>
            </w:r>
            <w:r>
              <w:rPr>
                <w:noProof/>
                <w:webHidden/>
              </w:rPr>
              <w:fldChar w:fldCharType="end"/>
            </w:r>
          </w:hyperlink>
        </w:p>
        <w:p w14:paraId="688AF563" w14:textId="3C6FE699" w:rsidR="00730C38" w:rsidRDefault="00730C38">
          <w:pPr>
            <w:pStyle w:val="TOC3"/>
            <w:tabs>
              <w:tab w:val="left" w:pos="1100"/>
              <w:tab w:val="right" w:leader="dot" w:pos="9016"/>
            </w:tabs>
            <w:rPr>
              <w:rFonts w:eastAsiaTheme="minorEastAsia"/>
              <w:noProof/>
              <w:sz w:val="22"/>
              <w:lang w:eastAsia="zh-CN"/>
            </w:rPr>
          </w:pPr>
          <w:hyperlink w:anchor="_Toc173318885" w:history="1">
            <w:r w:rsidRPr="00944007">
              <w:rPr>
                <w:rStyle w:val="Hyperlink"/>
                <w:noProof/>
              </w:rPr>
              <w:t>3.4.6</w:t>
            </w:r>
            <w:r>
              <w:rPr>
                <w:rFonts w:eastAsiaTheme="minorEastAsia"/>
                <w:noProof/>
                <w:sz w:val="22"/>
                <w:lang w:eastAsia="zh-CN"/>
              </w:rPr>
              <w:tab/>
            </w:r>
            <w:r w:rsidRPr="00944007">
              <w:rPr>
                <w:rStyle w:val="Hyperlink"/>
                <w:noProof/>
              </w:rPr>
              <w:t>Long Term Conditions</w:t>
            </w:r>
            <w:r>
              <w:rPr>
                <w:noProof/>
                <w:webHidden/>
              </w:rPr>
              <w:tab/>
            </w:r>
            <w:r>
              <w:rPr>
                <w:noProof/>
                <w:webHidden/>
              </w:rPr>
              <w:fldChar w:fldCharType="begin"/>
            </w:r>
            <w:r>
              <w:rPr>
                <w:noProof/>
                <w:webHidden/>
              </w:rPr>
              <w:instrText xml:space="preserve"> PAGEREF _Toc173318885 \h </w:instrText>
            </w:r>
            <w:r>
              <w:rPr>
                <w:noProof/>
                <w:webHidden/>
              </w:rPr>
            </w:r>
            <w:r>
              <w:rPr>
                <w:noProof/>
                <w:webHidden/>
              </w:rPr>
              <w:fldChar w:fldCharType="separate"/>
            </w:r>
            <w:r>
              <w:rPr>
                <w:noProof/>
                <w:webHidden/>
              </w:rPr>
              <w:t>17</w:t>
            </w:r>
            <w:r>
              <w:rPr>
                <w:noProof/>
                <w:webHidden/>
              </w:rPr>
              <w:fldChar w:fldCharType="end"/>
            </w:r>
          </w:hyperlink>
        </w:p>
        <w:p w14:paraId="35F4B2D4" w14:textId="38A42E82" w:rsidR="00730C38" w:rsidRDefault="00730C38">
          <w:pPr>
            <w:pStyle w:val="TOC3"/>
            <w:tabs>
              <w:tab w:val="left" w:pos="1100"/>
              <w:tab w:val="right" w:leader="dot" w:pos="9016"/>
            </w:tabs>
            <w:rPr>
              <w:rFonts w:eastAsiaTheme="minorEastAsia"/>
              <w:noProof/>
              <w:sz w:val="22"/>
              <w:lang w:eastAsia="zh-CN"/>
            </w:rPr>
          </w:pPr>
          <w:hyperlink w:anchor="_Toc173318886" w:history="1">
            <w:r w:rsidRPr="00944007">
              <w:rPr>
                <w:rStyle w:val="Hyperlink"/>
                <w:noProof/>
              </w:rPr>
              <w:t>3.4.7</w:t>
            </w:r>
            <w:r>
              <w:rPr>
                <w:rFonts w:eastAsiaTheme="minorEastAsia"/>
                <w:noProof/>
                <w:sz w:val="22"/>
                <w:lang w:eastAsia="zh-CN"/>
              </w:rPr>
              <w:tab/>
            </w:r>
            <w:r w:rsidRPr="00944007">
              <w:rPr>
                <w:rStyle w:val="Hyperlink"/>
                <w:noProof/>
              </w:rPr>
              <w:t>Mental Health Events</w:t>
            </w:r>
            <w:r>
              <w:rPr>
                <w:noProof/>
                <w:webHidden/>
              </w:rPr>
              <w:tab/>
            </w:r>
            <w:r>
              <w:rPr>
                <w:noProof/>
                <w:webHidden/>
              </w:rPr>
              <w:fldChar w:fldCharType="begin"/>
            </w:r>
            <w:r>
              <w:rPr>
                <w:noProof/>
                <w:webHidden/>
              </w:rPr>
              <w:instrText xml:space="preserve"> PAGEREF _Toc173318886 \h </w:instrText>
            </w:r>
            <w:r>
              <w:rPr>
                <w:noProof/>
                <w:webHidden/>
              </w:rPr>
            </w:r>
            <w:r>
              <w:rPr>
                <w:noProof/>
                <w:webHidden/>
              </w:rPr>
              <w:fldChar w:fldCharType="separate"/>
            </w:r>
            <w:r>
              <w:rPr>
                <w:noProof/>
                <w:webHidden/>
              </w:rPr>
              <w:t>18</w:t>
            </w:r>
            <w:r>
              <w:rPr>
                <w:noProof/>
                <w:webHidden/>
              </w:rPr>
              <w:fldChar w:fldCharType="end"/>
            </w:r>
          </w:hyperlink>
        </w:p>
        <w:p w14:paraId="077D3D05" w14:textId="5255CA46" w:rsidR="00730C38" w:rsidRDefault="00730C38">
          <w:pPr>
            <w:pStyle w:val="TOC3"/>
            <w:tabs>
              <w:tab w:val="left" w:pos="1100"/>
              <w:tab w:val="right" w:leader="dot" w:pos="9016"/>
            </w:tabs>
            <w:rPr>
              <w:rFonts w:eastAsiaTheme="minorEastAsia"/>
              <w:noProof/>
              <w:sz w:val="22"/>
              <w:lang w:eastAsia="zh-CN"/>
            </w:rPr>
          </w:pPr>
          <w:hyperlink w:anchor="_Toc173318887" w:history="1">
            <w:r w:rsidRPr="00944007">
              <w:rPr>
                <w:rStyle w:val="Hyperlink"/>
                <w:noProof/>
              </w:rPr>
              <w:t>3.4.8</w:t>
            </w:r>
            <w:r>
              <w:rPr>
                <w:rFonts w:eastAsiaTheme="minorEastAsia"/>
                <w:noProof/>
                <w:sz w:val="22"/>
                <w:lang w:eastAsia="zh-CN"/>
              </w:rPr>
              <w:tab/>
            </w:r>
            <w:r w:rsidRPr="00944007">
              <w:rPr>
                <w:rStyle w:val="Hyperlink"/>
                <w:noProof/>
              </w:rPr>
              <w:t>Overseas Patients</w:t>
            </w:r>
            <w:r>
              <w:rPr>
                <w:noProof/>
                <w:webHidden/>
              </w:rPr>
              <w:tab/>
            </w:r>
            <w:r>
              <w:rPr>
                <w:noProof/>
                <w:webHidden/>
              </w:rPr>
              <w:fldChar w:fldCharType="begin"/>
            </w:r>
            <w:r>
              <w:rPr>
                <w:noProof/>
                <w:webHidden/>
              </w:rPr>
              <w:instrText xml:space="preserve"> PAGEREF _Toc173318887 \h </w:instrText>
            </w:r>
            <w:r>
              <w:rPr>
                <w:noProof/>
                <w:webHidden/>
              </w:rPr>
            </w:r>
            <w:r>
              <w:rPr>
                <w:noProof/>
                <w:webHidden/>
              </w:rPr>
              <w:fldChar w:fldCharType="separate"/>
            </w:r>
            <w:r>
              <w:rPr>
                <w:noProof/>
                <w:webHidden/>
              </w:rPr>
              <w:t>19</w:t>
            </w:r>
            <w:r>
              <w:rPr>
                <w:noProof/>
                <w:webHidden/>
              </w:rPr>
              <w:fldChar w:fldCharType="end"/>
            </w:r>
          </w:hyperlink>
        </w:p>
        <w:p w14:paraId="6A9A9FA9" w14:textId="76D83053" w:rsidR="00730C38" w:rsidRDefault="00730C38">
          <w:pPr>
            <w:pStyle w:val="TOC3"/>
            <w:tabs>
              <w:tab w:val="left" w:pos="1100"/>
              <w:tab w:val="right" w:leader="dot" w:pos="9016"/>
            </w:tabs>
            <w:rPr>
              <w:rFonts w:eastAsiaTheme="minorEastAsia"/>
              <w:noProof/>
              <w:sz w:val="22"/>
              <w:lang w:eastAsia="zh-CN"/>
            </w:rPr>
          </w:pPr>
          <w:hyperlink w:anchor="_Toc173318888" w:history="1">
            <w:r w:rsidRPr="00944007">
              <w:rPr>
                <w:rStyle w:val="Hyperlink"/>
                <w:noProof/>
              </w:rPr>
              <w:t>3.4.9</w:t>
            </w:r>
            <w:r>
              <w:rPr>
                <w:rFonts w:eastAsiaTheme="minorEastAsia"/>
                <w:noProof/>
                <w:sz w:val="22"/>
                <w:lang w:eastAsia="zh-CN"/>
              </w:rPr>
              <w:tab/>
            </w:r>
            <w:r w:rsidRPr="00944007">
              <w:rPr>
                <w:rStyle w:val="Hyperlink"/>
                <w:noProof/>
              </w:rPr>
              <w:t>Assessment, Treatment and Rehabilitation (ATR) Services</w:t>
            </w:r>
            <w:r>
              <w:rPr>
                <w:noProof/>
                <w:webHidden/>
              </w:rPr>
              <w:tab/>
            </w:r>
            <w:r>
              <w:rPr>
                <w:noProof/>
                <w:webHidden/>
              </w:rPr>
              <w:fldChar w:fldCharType="begin"/>
            </w:r>
            <w:r>
              <w:rPr>
                <w:noProof/>
                <w:webHidden/>
              </w:rPr>
              <w:instrText xml:space="preserve"> PAGEREF _Toc173318888 \h </w:instrText>
            </w:r>
            <w:r>
              <w:rPr>
                <w:noProof/>
                <w:webHidden/>
              </w:rPr>
            </w:r>
            <w:r>
              <w:rPr>
                <w:noProof/>
                <w:webHidden/>
              </w:rPr>
              <w:fldChar w:fldCharType="separate"/>
            </w:r>
            <w:r>
              <w:rPr>
                <w:noProof/>
                <w:webHidden/>
              </w:rPr>
              <w:t>19</w:t>
            </w:r>
            <w:r>
              <w:rPr>
                <w:noProof/>
                <w:webHidden/>
              </w:rPr>
              <w:fldChar w:fldCharType="end"/>
            </w:r>
          </w:hyperlink>
        </w:p>
        <w:p w14:paraId="48EC1519" w14:textId="14B77678" w:rsidR="00730C38" w:rsidRDefault="00730C38">
          <w:pPr>
            <w:pStyle w:val="TOC3"/>
            <w:tabs>
              <w:tab w:val="left" w:pos="1320"/>
              <w:tab w:val="right" w:leader="dot" w:pos="9016"/>
            </w:tabs>
            <w:rPr>
              <w:rFonts w:eastAsiaTheme="minorEastAsia"/>
              <w:noProof/>
              <w:sz w:val="22"/>
              <w:lang w:eastAsia="zh-CN"/>
            </w:rPr>
          </w:pPr>
          <w:hyperlink w:anchor="_Toc173318889" w:history="1">
            <w:r w:rsidRPr="00944007">
              <w:rPr>
                <w:rStyle w:val="Hyperlink"/>
                <w:noProof/>
              </w:rPr>
              <w:t>3.4.10</w:t>
            </w:r>
            <w:r>
              <w:rPr>
                <w:rFonts w:eastAsiaTheme="minorEastAsia"/>
                <w:noProof/>
                <w:sz w:val="22"/>
                <w:lang w:eastAsia="zh-CN"/>
              </w:rPr>
              <w:tab/>
            </w:r>
            <w:r w:rsidRPr="00944007">
              <w:rPr>
                <w:rStyle w:val="Hyperlink"/>
                <w:noProof/>
              </w:rPr>
              <w:t>Event Leave Days</w:t>
            </w:r>
            <w:r>
              <w:rPr>
                <w:noProof/>
                <w:webHidden/>
              </w:rPr>
              <w:tab/>
            </w:r>
            <w:r>
              <w:rPr>
                <w:noProof/>
                <w:webHidden/>
              </w:rPr>
              <w:fldChar w:fldCharType="begin"/>
            </w:r>
            <w:r>
              <w:rPr>
                <w:noProof/>
                <w:webHidden/>
              </w:rPr>
              <w:instrText xml:space="preserve"> PAGEREF _Toc173318889 \h </w:instrText>
            </w:r>
            <w:r>
              <w:rPr>
                <w:noProof/>
                <w:webHidden/>
              </w:rPr>
            </w:r>
            <w:r>
              <w:rPr>
                <w:noProof/>
                <w:webHidden/>
              </w:rPr>
              <w:fldChar w:fldCharType="separate"/>
            </w:r>
            <w:r>
              <w:rPr>
                <w:noProof/>
                <w:webHidden/>
              </w:rPr>
              <w:t>19</w:t>
            </w:r>
            <w:r>
              <w:rPr>
                <w:noProof/>
                <w:webHidden/>
              </w:rPr>
              <w:fldChar w:fldCharType="end"/>
            </w:r>
          </w:hyperlink>
        </w:p>
        <w:p w14:paraId="23F23FD8" w14:textId="71C49560" w:rsidR="00730C38" w:rsidRDefault="00730C38">
          <w:pPr>
            <w:pStyle w:val="TOC3"/>
            <w:tabs>
              <w:tab w:val="left" w:pos="1320"/>
              <w:tab w:val="right" w:leader="dot" w:pos="9016"/>
            </w:tabs>
            <w:rPr>
              <w:rFonts w:eastAsiaTheme="minorEastAsia"/>
              <w:noProof/>
              <w:sz w:val="22"/>
              <w:lang w:eastAsia="zh-CN"/>
            </w:rPr>
          </w:pPr>
          <w:hyperlink w:anchor="_Toc173318890" w:history="1">
            <w:r w:rsidRPr="00944007">
              <w:rPr>
                <w:rStyle w:val="Hyperlink"/>
                <w:noProof/>
              </w:rPr>
              <w:t>3.4.11</w:t>
            </w:r>
            <w:r>
              <w:rPr>
                <w:rFonts w:eastAsiaTheme="minorEastAsia"/>
                <w:noProof/>
                <w:sz w:val="22"/>
                <w:lang w:eastAsia="zh-CN"/>
              </w:rPr>
              <w:tab/>
            </w:r>
            <w:r w:rsidRPr="00944007">
              <w:rPr>
                <w:rStyle w:val="Hyperlink"/>
                <w:noProof/>
              </w:rPr>
              <w:t>Non-acute Stays under Index Stays</w:t>
            </w:r>
            <w:r>
              <w:rPr>
                <w:noProof/>
                <w:webHidden/>
              </w:rPr>
              <w:tab/>
            </w:r>
            <w:r>
              <w:rPr>
                <w:noProof/>
                <w:webHidden/>
              </w:rPr>
              <w:fldChar w:fldCharType="begin"/>
            </w:r>
            <w:r>
              <w:rPr>
                <w:noProof/>
                <w:webHidden/>
              </w:rPr>
              <w:instrText xml:space="preserve"> PAGEREF _Toc173318890 \h </w:instrText>
            </w:r>
            <w:r>
              <w:rPr>
                <w:noProof/>
                <w:webHidden/>
              </w:rPr>
            </w:r>
            <w:r>
              <w:rPr>
                <w:noProof/>
                <w:webHidden/>
              </w:rPr>
              <w:fldChar w:fldCharType="separate"/>
            </w:r>
            <w:r>
              <w:rPr>
                <w:noProof/>
                <w:webHidden/>
              </w:rPr>
              <w:t>20</w:t>
            </w:r>
            <w:r>
              <w:rPr>
                <w:noProof/>
                <w:webHidden/>
              </w:rPr>
              <w:fldChar w:fldCharType="end"/>
            </w:r>
          </w:hyperlink>
        </w:p>
        <w:p w14:paraId="1F87FA31" w14:textId="0BD09867" w:rsidR="00730C38" w:rsidRDefault="00730C38">
          <w:pPr>
            <w:pStyle w:val="TOC3"/>
            <w:tabs>
              <w:tab w:val="left" w:pos="1320"/>
              <w:tab w:val="right" w:leader="dot" w:pos="9016"/>
            </w:tabs>
            <w:rPr>
              <w:rFonts w:eastAsiaTheme="minorEastAsia"/>
              <w:noProof/>
              <w:sz w:val="22"/>
              <w:lang w:eastAsia="zh-CN"/>
            </w:rPr>
          </w:pPr>
          <w:hyperlink w:anchor="_Toc173318891" w:history="1">
            <w:r w:rsidRPr="00944007">
              <w:rPr>
                <w:rStyle w:val="Hyperlink"/>
                <w:noProof/>
              </w:rPr>
              <w:t>3.4.12</w:t>
            </w:r>
            <w:r>
              <w:rPr>
                <w:rFonts w:eastAsiaTheme="minorEastAsia"/>
                <w:noProof/>
                <w:sz w:val="22"/>
                <w:lang w:eastAsia="zh-CN"/>
              </w:rPr>
              <w:tab/>
            </w:r>
            <w:r w:rsidRPr="00944007">
              <w:rPr>
                <w:rStyle w:val="Hyperlink"/>
                <w:noProof/>
              </w:rPr>
              <w:t>Maternity Services under Index Stays</w:t>
            </w:r>
            <w:r>
              <w:rPr>
                <w:noProof/>
                <w:webHidden/>
              </w:rPr>
              <w:tab/>
            </w:r>
            <w:r>
              <w:rPr>
                <w:noProof/>
                <w:webHidden/>
              </w:rPr>
              <w:fldChar w:fldCharType="begin"/>
            </w:r>
            <w:r>
              <w:rPr>
                <w:noProof/>
                <w:webHidden/>
              </w:rPr>
              <w:instrText xml:space="preserve"> PAGEREF _Toc173318891 \h </w:instrText>
            </w:r>
            <w:r>
              <w:rPr>
                <w:noProof/>
                <w:webHidden/>
              </w:rPr>
            </w:r>
            <w:r>
              <w:rPr>
                <w:noProof/>
                <w:webHidden/>
              </w:rPr>
              <w:fldChar w:fldCharType="separate"/>
            </w:r>
            <w:r>
              <w:rPr>
                <w:noProof/>
                <w:webHidden/>
              </w:rPr>
              <w:t>20</w:t>
            </w:r>
            <w:r>
              <w:rPr>
                <w:noProof/>
                <w:webHidden/>
              </w:rPr>
              <w:fldChar w:fldCharType="end"/>
            </w:r>
          </w:hyperlink>
        </w:p>
        <w:p w14:paraId="3E95F089" w14:textId="233751C6" w:rsidR="00730C38" w:rsidRDefault="00730C38">
          <w:pPr>
            <w:pStyle w:val="TOC2"/>
            <w:tabs>
              <w:tab w:val="left" w:pos="880"/>
              <w:tab w:val="right" w:leader="dot" w:pos="9016"/>
            </w:tabs>
            <w:rPr>
              <w:rFonts w:eastAsiaTheme="minorEastAsia"/>
              <w:noProof/>
              <w:sz w:val="22"/>
              <w:lang w:eastAsia="zh-CN"/>
            </w:rPr>
          </w:pPr>
          <w:hyperlink w:anchor="_Toc173318892" w:history="1">
            <w:r w:rsidRPr="00944007">
              <w:rPr>
                <w:rStyle w:val="Hyperlink"/>
                <w:noProof/>
              </w:rPr>
              <w:t>3.5</w:t>
            </w:r>
            <w:r>
              <w:rPr>
                <w:rFonts w:eastAsiaTheme="minorEastAsia"/>
                <w:noProof/>
                <w:sz w:val="22"/>
                <w:lang w:eastAsia="zh-CN"/>
              </w:rPr>
              <w:tab/>
            </w:r>
            <w:r w:rsidRPr="00944007">
              <w:rPr>
                <w:rStyle w:val="Hyperlink"/>
                <w:noProof/>
              </w:rPr>
              <w:t>Details of Exclusions</w:t>
            </w:r>
            <w:r>
              <w:rPr>
                <w:noProof/>
                <w:webHidden/>
              </w:rPr>
              <w:tab/>
            </w:r>
            <w:r>
              <w:rPr>
                <w:noProof/>
                <w:webHidden/>
              </w:rPr>
              <w:fldChar w:fldCharType="begin"/>
            </w:r>
            <w:r>
              <w:rPr>
                <w:noProof/>
                <w:webHidden/>
              </w:rPr>
              <w:instrText xml:space="preserve"> PAGEREF _Toc173318892 \h </w:instrText>
            </w:r>
            <w:r>
              <w:rPr>
                <w:noProof/>
                <w:webHidden/>
              </w:rPr>
            </w:r>
            <w:r>
              <w:rPr>
                <w:noProof/>
                <w:webHidden/>
              </w:rPr>
              <w:fldChar w:fldCharType="separate"/>
            </w:r>
            <w:r>
              <w:rPr>
                <w:noProof/>
                <w:webHidden/>
              </w:rPr>
              <w:t>21</w:t>
            </w:r>
            <w:r>
              <w:rPr>
                <w:noProof/>
                <w:webHidden/>
              </w:rPr>
              <w:fldChar w:fldCharType="end"/>
            </w:r>
          </w:hyperlink>
        </w:p>
        <w:p w14:paraId="19397D3B" w14:textId="5D1F63F4" w:rsidR="00730C38" w:rsidRDefault="00730C38">
          <w:pPr>
            <w:pStyle w:val="TOC3"/>
            <w:tabs>
              <w:tab w:val="left" w:pos="1100"/>
              <w:tab w:val="right" w:leader="dot" w:pos="9016"/>
            </w:tabs>
            <w:rPr>
              <w:rFonts w:eastAsiaTheme="minorEastAsia"/>
              <w:noProof/>
              <w:sz w:val="22"/>
              <w:lang w:eastAsia="zh-CN"/>
            </w:rPr>
          </w:pPr>
          <w:hyperlink w:anchor="_Toc173318893" w:history="1">
            <w:r w:rsidRPr="00944007">
              <w:rPr>
                <w:rStyle w:val="Hyperlink"/>
                <w:noProof/>
              </w:rPr>
              <w:t>3.5.1</w:t>
            </w:r>
            <w:r>
              <w:rPr>
                <w:rFonts w:eastAsiaTheme="minorEastAsia"/>
                <w:noProof/>
                <w:sz w:val="22"/>
                <w:lang w:eastAsia="zh-CN"/>
              </w:rPr>
              <w:tab/>
            </w:r>
            <w:r w:rsidRPr="00944007">
              <w:rPr>
                <w:rStyle w:val="Hyperlink"/>
                <w:noProof/>
              </w:rPr>
              <w:t>Non-casemix Stays</w:t>
            </w:r>
            <w:r>
              <w:rPr>
                <w:noProof/>
                <w:webHidden/>
              </w:rPr>
              <w:tab/>
            </w:r>
            <w:r>
              <w:rPr>
                <w:noProof/>
                <w:webHidden/>
              </w:rPr>
              <w:fldChar w:fldCharType="begin"/>
            </w:r>
            <w:r>
              <w:rPr>
                <w:noProof/>
                <w:webHidden/>
              </w:rPr>
              <w:instrText xml:space="preserve"> PAGEREF _Toc173318893 \h </w:instrText>
            </w:r>
            <w:r>
              <w:rPr>
                <w:noProof/>
                <w:webHidden/>
              </w:rPr>
            </w:r>
            <w:r>
              <w:rPr>
                <w:noProof/>
                <w:webHidden/>
              </w:rPr>
              <w:fldChar w:fldCharType="separate"/>
            </w:r>
            <w:r>
              <w:rPr>
                <w:noProof/>
                <w:webHidden/>
              </w:rPr>
              <w:t>21</w:t>
            </w:r>
            <w:r>
              <w:rPr>
                <w:noProof/>
                <w:webHidden/>
              </w:rPr>
              <w:fldChar w:fldCharType="end"/>
            </w:r>
          </w:hyperlink>
        </w:p>
        <w:p w14:paraId="4D860285" w14:textId="5F7D9F86" w:rsidR="00730C38" w:rsidRDefault="00730C38">
          <w:pPr>
            <w:pStyle w:val="TOC3"/>
            <w:tabs>
              <w:tab w:val="left" w:pos="1100"/>
              <w:tab w:val="right" w:leader="dot" w:pos="9016"/>
            </w:tabs>
            <w:rPr>
              <w:rFonts w:eastAsiaTheme="minorEastAsia"/>
              <w:noProof/>
              <w:sz w:val="22"/>
              <w:lang w:eastAsia="zh-CN"/>
            </w:rPr>
          </w:pPr>
          <w:hyperlink w:anchor="_Toc173318894" w:history="1">
            <w:r w:rsidRPr="00944007">
              <w:rPr>
                <w:rStyle w:val="Hyperlink"/>
                <w:noProof/>
              </w:rPr>
              <w:t>3.5.2</w:t>
            </w:r>
            <w:r>
              <w:rPr>
                <w:rFonts w:eastAsiaTheme="minorEastAsia"/>
                <w:noProof/>
                <w:sz w:val="22"/>
                <w:lang w:eastAsia="zh-CN"/>
              </w:rPr>
              <w:tab/>
            </w:r>
            <w:r w:rsidRPr="00944007">
              <w:rPr>
                <w:rStyle w:val="Hyperlink"/>
                <w:noProof/>
              </w:rPr>
              <w:t>Mental Health Stays</w:t>
            </w:r>
            <w:r>
              <w:rPr>
                <w:noProof/>
                <w:webHidden/>
              </w:rPr>
              <w:tab/>
            </w:r>
            <w:r>
              <w:rPr>
                <w:noProof/>
                <w:webHidden/>
              </w:rPr>
              <w:fldChar w:fldCharType="begin"/>
            </w:r>
            <w:r>
              <w:rPr>
                <w:noProof/>
                <w:webHidden/>
              </w:rPr>
              <w:instrText xml:space="preserve"> PAGEREF _Toc173318894 \h </w:instrText>
            </w:r>
            <w:r>
              <w:rPr>
                <w:noProof/>
                <w:webHidden/>
              </w:rPr>
            </w:r>
            <w:r>
              <w:rPr>
                <w:noProof/>
                <w:webHidden/>
              </w:rPr>
              <w:fldChar w:fldCharType="separate"/>
            </w:r>
            <w:r>
              <w:rPr>
                <w:noProof/>
                <w:webHidden/>
              </w:rPr>
              <w:t>21</w:t>
            </w:r>
            <w:r>
              <w:rPr>
                <w:noProof/>
                <w:webHidden/>
              </w:rPr>
              <w:fldChar w:fldCharType="end"/>
            </w:r>
          </w:hyperlink>
        </w:p>
        <w:p w14:paraId="291B8A19" w14:textId="2C74B679" w:rsidR="00730C38" w:rsidRDefault="00730C38">
          <w:pPr>
            <w:pStyle w:val="TOC3"/>
            <w:tabs>
              <w:tab w:val="left" w:pos="1100"/>
              <w:tab w:val="right" w:leader="dot" w:pos="9016"/>
            </w:tabs>
            <w:rPr>
              <w:rFonts w:eastAsiaTheme="minorEastAsia"/>
              <w:noProof/>
              <w:sz w:val="22"/>
              <w:lang w:eastAsia="zh-CN"/>
            </w:rPr>
          </w:pPr>
          <w:hyperlink w:anchor="_Toc173318895" w:history="1">
            <w:r w:rsidRPr="00944007">
              <w:rPr>
                <w:rStyle w:val="Hyperlink"/>
                <w:noProof/>
              </w:rPr>
              <w:t>3.5.3</w:t>
            </w:r>
            <w:r>
              <w:rPr>
                <w:rFonts w:eastAsiaTheme="minorEastAsia"/>
                <w:noProof/>
                <w:sz w:val="22"/>
                <w:lang w:eastAsia="zh-CN"/>
              </w:rPr>
              <w:tab/>
            </w:r>
            <w:r w:rsidRPr="00944007">
              <w:rPr>
                <w:rStyle w:val="Hyperlink"/>
                <w:noProof/>
              </w:rPr>
              <w:t>Deceased Patients under Index Stays</w:t>
            </w:r>
            <w:r>
              <w:rPr>
                <w:noProof/>
                <w:webHidden/>
              </w:rPr>
              <w:tab/>
            </w:r>
            <w:r>
              <w:rPr>
                <w:noProof/>
                <w:webHidden/>
              </w:rPr>
              <w:fldChar w:fldCharType="begin"/>
            </w:r>
            <w:r>
              <w:rPr>
                <w:noProof/>
                <w:webHidden/>
              </w:rPr>
              <w:instrText xml:space="preserve"> PAGEREF _Toc173318895 \h </w:instrText>
            </w:r>
            <w:r>
              <w:rPr>
                <w:noProof/>
                <w:webHidden/>
              </w:rPr>
            </w:r>
            <w:r>
              <w:rPr>
                <w:noProof/>
                <w:webHidden/>
              </w:rPr>
              <w:fldChar w:fldCharType="separate"/>
            </w:r>
            <w:r>
              <w:rPr>
                <w:noProof/>
                <w:webHidden/>
              </w:rPr>
              <w:t>22</w:t>
            </w:r>
            <w:r>
              <w:rPr>
                <w:noProof/>
                <w:webHidden/>
              </w:rPr>
              <w:fldChar w:fldCharType="end"/>
            </w:r>
          </w:hyperlink>
        </w:p>
        <w:p w14:paraId="208DBC7F" w14:textId="00A420C7" w:rsidR="00730C38" w:rsidRDefault="00730C38">
          <w:pPr>
            <w:pStyle w:val="TOC3"/>
            <w:tabs>
              <w:tab w:val="left" w:pos="1100"/>
              <w:tab w:val="right" w:leader="dot" w:pos="9016"/>
            </w:tabs>
            <w:rPr>
              <w:rFonts w:eastAsiaTheme="minorEastAsia"/>
              <w:noProof/>
              <w:sz w:val="22"/>
              <w:lang w:eastAsia="zh-CN"/>
            </w:rPr>
          </w:pPr>
          <w:hyperlink w:anchor="_Toc173318896" w:history="1">
            <w:r w:rsidRPr="00944007">
              <w:rPr>
                <w:rStyle w:val="Hyperlink"/>
                <w:noProof/>
              </w:rPr>
              <w:t>3.5.4</w:t>
            </w:r>
            <w:r>
              <w:rPr>
                <w:rFonts w:eastAsiaTheme="minorEastAsia"/>
                <w:noProof/>
                <w:sz w:val="22"/>
                <w:lang w:eastAsia="zh-CN"/>
              </w:rPr>
              <w:tab/>
            </w:r>
            <w:r w:rsidRPr="00944007">
              <w:rPr>
                <w:rStyle w:val="Hyperlink"/>
                <w:noProof/>
              </w:rPr>
              <w:t>Incomplete Stays under Index Stays</w:t>
            </w:r>
            <w:r>
              <w:rPr>
                <w:noProof/>
                <w:webHidden/>
              </w:rPr>
              <w:tab/>
            </w:r>
            <w:r>
              <w:rPr>
                <w:noProof/>
                <w:webHidden/>
              </w:rPr>
              <w:fldChar w:fldCharType="begin"/>
            </w:r>
            <w:r>
              <w:rPr>
                <w:noProof/>
                <w:webHidden/>
              </w:rPr>
              <w:instrText xml:space="preserve"> PAGEREF _Toc173318896 \h </w:instrText>
            </w:r>
            <w:r>
              <w:rPr>
                <w:noProof/>
                <w:webHidden/>
              </w:rPr>
            </w:r>
            <w:r>
              <w:rPr>
                <w:noProof/>
                <w:webHidden/>
              </w:rPr>
              <w:fldChar w:fldCharType="separate"/>
            </w:r>
            <w:r>
              <w:rPr>
                <w:noProof/>
                <w:webHidden/>
              </w:rPr>
              <w:t>22</w:t>
            </w:r>
            <w:r>
              <w:rPr>
                <w:noProof/>
                <w:webHidden/>
              </w:rPr>
              <w:fldChar w:fldCharType="end"/>
            </w:r>
          </w:hyperlink>
        </w:p>
        <w:p w14:paraId="78851EB0" w14:textId="1EC4B5AF" w:rsidR="00730C38" w:rsidRDefault="00730C38">
          <w:pPr>
            <w:pStyle w:val="TOC3"/>
            <w:tabs>
              <w:tab w:val="left" w:pos="1100"/>
              <w:tab w:val="right" w:leader="dot" w:pos="9016"/>
            </w:tabs>
            <w:rPr>
              <w:rFonts w:eastAsiaTheme="minorEastAsia"/>
              <w:noProof/>
              <w:sz w:val="22"/>
              <w:lang w:eastAsia="zh-CN"/>
            </w:rPr>
          </w:pPr>
          <w:hyperlink w:anchor="_Toc173318897" w:history="1">
            <w:r w:rsidRPr="00944007">
              <w:rPr>
                <w:rStyle w:val="Hyperlink"/>
                <w:noProof/>
              </w:rPr>
              <w:t>3.5.5</w:t>
            </w:r>
            <w:r>
              <w:rPr>
                <w:rFonts w:eastAsiaTheme="minorEastAsia"/>
                <w:noProof/>
                <w:sz w:val="22"/>
                <w:lang w:eastAsia="zh-CN"/>
              </w:rPr>
              <w:tab/>
            </w:r>
            <w:r w:rsidRPr="00944007">
              <w:rPr>
                <w:rStyle w:val="Hyperlink"/>
                <w:noProof/>
              </w:rPr>
              <w:t>Non-acute Stays under Readmission Stays</w:t>
            </w:r>
            <w:r>
              <w:rPr>
                <w:noProof/>
                <w:webHidden/>
              </w:rPr>
              <w:tab/>
            </w:r>
            <w:r>
              <w:rPr>
                <w:noProof/>
                <w:webHidden/>
              </w:rPr>
              <w:fldChar w:fldCharType="begin"/>
            </w:r>
            <w:r>
              <w:rPr>
                <w:noProof/>
                <w:webHidden/>
              </w:rPr>
              <w:instrText xml:space="preserve"> PAGEREF _Toc173318897 \h </w:instrText>
            </w:r>
            <w:r>
              <w:rPr>
                <w:noProof/>
                <w:webHidden/>
              </w:rPr>
            </w:r>
            <w:r>
              <w:rPr>
                <w:noProof/>
                <w:webHidden/>
              </w:rPr>
              <w:fldChar w:fldCharType="separate"/>
            </w:r>
            <w:r>
              <w:rPr>
                <w:noProof/>
                <w:webHidden/>
              </w:rPr>
              <w:t>23</w:t>
            </w:r>
            <w:r>
              <w:rPr>
                <w:noProof/>
                <w:webHidden/>
              </w:rPr>
              <w:fldChar w:fldCharType="end"/>
            </w:r>
          </w:hyperlink>
        </w:p>
        <w:p w14:paraId="25F73BE0" w14:textId="13D412CD" w:rsidR="00730C38" w:rsidRDefault="00730C38">
          <w:pPr>
            <w:pStyle w:val="TOC3"/>
            <w:tabs>
              <w:tab w:val="left" w:pos="1100"/>
              <w:tab w:val="right" w:leader="dot" w:pos="9016"/>
            </w:tabs>
            <w:rPr>
              <w:rFonts w:eastAsiaTheme="minorEastAsia"/>
              <w:noProof/>
              <w:sz w:val="22"/>
              <w:lang w:eastAsia="zh-CN"/>
            </w:rPr>
          </w:pPr>
          <w:hyperlink w:anchor="_Toc173318898" w:history="1">
            <w:r w:rsidRPr="00944007">
              <w:rPr>
                <w:rStyle w:val="Hyperlink"/>
                <w:noProof/>
              </w:rPr>
              <w:t>3.5.6</w:t>
            </w:r>
            <w:r>
              <w:rPr>
                <w:rFonts w:eastAsiaTheme="minorEastAsia"/>
                <w:noProof/>
                <w:sz w:val="22"/>
                <w:lang w:eastAsia="zh-CN"/>
              </w:rPr>
              <w:tab/>
            </w:r>
            <w:r w:rsidRPr="00944007">
              <w:rPr>
                <w:rStyle w:val="Hyperlink"/>
                <w:noProof/>
              </w:rPr>
              <w:t>Maternity Services under Readmission Stays</w:t>
            </w:r>
            <w:r>
              <w:rPr>
                <w:noProof/>
                <w:webHidden/>
              </w:rPr>
              <w:tab/>
            </w:r>
            <w:r>
              <w:rPr>
                <w:noProof/>
                <w:webHidden/>
              </w:rPr>
              <w:fldChar w:fldCharType="begin"/>
            </w:r>
            <w:r>
              <w:rPr>
                <w:noProof/>
                <w:webHidden/>
              </w:rPr>
              <w:instrText xml:space="preserve"> PAGEREF _Toc173318898 \h </w:instrText>
            </w:r>
            <w:r>
              <w:rPr>
                <w:noProof/>
                <w:webHidden/>
              </w:rPr>
            </w:r>
            <w:r>
              <w:rPr>
                <w:noProof/>
                <w:webHidden/>
              </w:rPr>
              <w:fldChar w:fldCharType="separate"/>
            </w:r>
            <w:r>
              <w:rPr>
                <w:noProof/>
                <w:webHidden/>
              </w:rPr>
              <w:t>23</w:t>
            </w:r>
            <w:r>
              <w:rPr>
                <w:noProof/>
                <w:webHidden/>
              </w:rPr>
              <w:fldChar w:fldCharType="end"/>
            </w:r>
          </w:hyperlink>
        </w:p>
        <w:p w14:paraId="18C0D69F" w14:textId="3E75C1A9" w:rsidR="00730C38" w:rsidRDefault="00730C38">
          <w:pPr>
            <w:pStyle w:val="TOC1"/>
            <w:rPr>
              <w:rFonts w:eastAsiaTheme="minorEastAsia"/>
              <w:noProof/>
              <w:sz w:val="22"/>
              <w:lang w:eastAsia="zh-CN"/>
            </w:rPr>
          </w:pPr>
          <w:hyperlink w:anchor="_Toc173318899" w:history="1">
            <w:r w:rsidRPr="00944007">
              <w:rPr>
                <w:rStyle w:val="Hyperlink"/>
                <w:noProof/>
              </w:rPr>
              <w:t>4</w:t>
            </w:r>
            <w:r>
              <w:rPr>
                <w:rFonts w:eastAsiaTheme="minorEastAsia"/>
                <w:noProof/>
                <w:sz w:val="22"/>
                <w:lang w:eastAsia="zh-CN"/>
              </w:rPr>
              <w:tab/>
            </w:r>
            <w:r w:rsidRPr="00944007">
              <w:rPr>
                <w:rStyle w:val="Hyperlink"/>
                <w:noProof/>
              </w:rPr>
              <w:t>Standardisation and Stratification</w:t>
            </w:r>
            <w:r>
              <w:rPr>
                <w:noProof/>
                <w:webHidden/>
              </w:rPr>
              <w:tab/>
            </w:r>
            <w:r>
              <w:rPr>
                <w:noProof/>
                <w:webHidden/>
              </w:rPr>
              <w:fldChar w:fldCharType="begin"/>
            </w:r>
            <w:r>
              <w:rPr>
                <w:noProof/>
                <w:webHidden/>
              </w:rPr>
              <w:instrText xml:space="preserve"> PAGEREF _Toc173318899 \h </w:instrText>
            </w:r>
            <w:r>
              <w:rPr>
                <w:noProof/>
                <w:webHidden/>
              </w:rPr>
            </w:r>
            <w:r>
              <w:rPr>
                <w:noProof/>
                <w:webHidden/>
              </w:rPr>
              <w:fldChar w:fldCharType="separate"/>
            </w:r>
            <w:r>
              <w:rPr>
                <w:noProof/>
                <w:webHidden/>
              </w:rPr>
              <w:t>23</w:t>
            </w:r>
            <w:r>
              <w:rPr>
                <w:noProof/>
                <w:webHidden/>
              </w:rPr>
              <w:fldChar w:fldCharType="end"/>
            </w:r>
          </w:hyperlink>
        </w:p>
        <w:p w14:paraId="38F647DC" w14:textId="536EEED9" w:rsidR="00730C38" w:rsidRDefault="00730C38">
          <w:pPr>
            <w:pStyle w:val="TOC2"/>
            <w:tabs>
              <w:tab w:val="left" w:pos="880"/>
              <w:tab w:val="right" w:leader="dot" w:pos="9016"/>
            </w:tabs>
            <w:rPr>
              <w:rFonts w:eastAsiaTheme="minorEastAsia"/>
              <w:noProof/>
              <w:sz w:val="22"/>
              <w:lang w:eastAsia="zh-CN"/>
            </w:rPr>
          </w:pPr>
          <w:hyperlink w:anchor="_Toc173318900" w:history="1">
            <w:r w:rsidRPr="00944007">
              <w:rPr>
                <w:rStyle w:val="Hyperlink"/>
                <w:noProof/>
              </w:rPr>
              <w:t>4.1</w:t>
            </w:r>
            <w:r>
              <w:rPr>
                <w:rFonts w:eastAsiaTheme="minorEastAsia"/>
                <w:noProof/>
                <w:sz w:val="22"/>
                <w:lang w:eastAsia="zh-CN"/>
              </w:rPr>
              <w:tab/>
            </w:r>
            <w:r w:rsidRPr="00944007">
              <w:rPr>
                <w:rStyle w:val="Hyperlink"/>
                <w:noProof/>
              </w:rPr>
              <w:t>Description of Approach</w:t>
            </w:r>
            <w:r>
              <w:rPr>
                <w:noProof/>
                <w:webHidden/>
              </w:rPr>
              <w:tab/>
            </w:r>
            <w:r>
              <w:rPr>
                <w:noProof/>
                <w:webHidden/>
              </w:rPr>
              <w:fldChar w:fldCharType="begin"/>
            </w:r>
            <w:r>
              <w:rPr>
                <w:noProof/>
                <w:webHidden/>
              </w:rPr>
              <w:instrText xml:space="preserve"> PAGEREF _Toc173318900 \h </w:instrText>
            </w:r>
            <w:r>
              <w:rPr>
                <w:noProof/>
                <w:webHidden/>
              </w:rPr>
            </w:r>
            <w:r>
              <w:rPr>
                <w:noProof/>
                <w:webHidden/>
              </w:rPr>
              <w:fldChar w:fldCharType="separate"/>
            </w:r>
            <w:r>
              <w:rPr>
                <w:noProof/>
                <w:webHidden/>
              </w:rPr>
              <w:t>23</w:t>
            </w:r>
            <w:r>
              <w:rPr>
                <w:noProof/>
                <w:webHidden/>
              </w:rPr>
              <w:fldChar w:fldCharType="end"/>
            </w:r>
          </w:hyperlink>
        </w:p>
        <w:p w14:paraId="5B2FA24E" w14:textId="658EBF40" w:rsidR="00730C38" w:rsidRDefault="00730C38">
          <w:pPr>
            <w:pStyle w:val="TOC3"/>
            <w:tabs>
              <w:tab w:val="left" w:pos="1100"/>
              <w:tab w:val="right" w:leader="dot" w:pos="9016"/>
            </w:tabs>
            <w:rPr>
              <w:rFonts w:eastAsiaTheme="minorEastAsia"/>
              <w:noProof/>
              <w:sz w:val="22"/>
              <w:lang w:eastAsia="zh-CN"/>
            </w:rPr>
          </w:pPr>
          <w:hyperlink w:anchor="_Toc173318901" w:history="1">
            <w:r w:rsidRPr="00944007">
              <w:rPr>
                <w:rStyle w:val="Hyperlink"/>
                <w:noProof/>
              </w:rPr>
              <w:t>4.1.1</w:t>
            </w:r>
            <w:r>
              <w:rPr>
                <w:rFonts w:eastAsiaTheme="minorEastAsia"/>
                <w:noProof/>
                <w:sz w:val="22"/>
                <w:lang w:eastAsia="zh-CN"/>
              </w:rPr>
              <w:tab/>
            </w:r>
            <w:r w:rsidRPr="00944007">
              <w:rPr>
                <w:rStyle w:val="Hyperlink"/>
                <w:noProof/>
              </w:rPr>
              <w:t>General method</w:t>
            </w:r>
            <w:r>
              <w:rPr>
                <w:noProof/>
                <w:webHidden/>
              </w:rPr>
              <w:tab/>
            </w:r>
            <w:r>
              <w:rPr>
                <w:noProof/>
                <w:webHidden/>
              </w:rPr>
              <w:fldChar w:fldCharType="begin"/>
            </w:r>
            <w:r>
              <w:rPr>
                <w:noProof/>
                <w:webHidden/>
              </w:rPr>
              <w:instrText xml:space="preserve"> PAGEREF _Toc173318901 \h </w:instrText>
            </w:r>
            <w:r>
              <w:rPr>
                <w:noProof/>
                <w:webHidden/>
              </w:rPr>
            </w:r>
            <w:r>
              <w:rPr>
                <w:noProof/>
                <w:webHidden/>
              </w:rPr>
              <w:fldChar w:fldCharType="separate"/>
            </w:r>
            <w:r>
              <w:rPr>
                <w:noProof/>
                <w:webHidden/>
              </w:rPr>
              <w:t>23</w:t>
            </w:r>
            <w:r>
              <w:rPr>
                <w:noProof/>
                <w:webHidden/>
              </w:rPr>
              <w:fldChar w:fldCharType="end"/>
            </w:r>
          </w:hyperlink>
        </w:p>
        <w:p w14:paraId="4D726CF1" w14:textId="0A5E1989" w:rsidR="00730C38" w:rsidRDefault="00730C38">
          <w:pPr>
            <w:pStyle w:val="TOC3"/>
            <w:tabs>
              <w:tab w:val="left" w:pos="1100"/>
              <w:tab w:val="right" w:leader="dot" w:pos="9016"/>
            </w:tabs>
            <w:rPr>
              <w:rFonts w:eastAsiaTheme="minorEastAsia"/>
              <w:noProof/>
              <w:sz w:val="22"/>
              <w:lang w:eastAsia="zh-CN"/>
            </w:rPr>
          </w:pPr>
          <w:hyperlink w:anchor="_Toc173318902" w:history="1">
            <w:r w:rsidRPr="00944007">
              <w:rPr>
                <w:rStyle w:val="Hyperlink"/>
                <w:noProof/>
              </w:rPr>
              <w:t>4.1.2</w:t>
            </w:r>
            <w:r>
              <w:rPr>
                <w:rFonts w:eastAsiaTheme="minorEastAsia"/>
                <w:noProof/>
                <w:sz w:val="22"/>
                <w:lang w:eastAsia="zh-CN"/>
              </w:rPr>
              <w:tab/>
            </w:r>
            <w:r w:rsidRPr="00944007">
              <w:rPr>
                <w:rStyle w:val="Hyperlink"/>
                <w:noProof/>
              </w:rPr>
              <w:t>Sharing of quarterly results</w:t>
            </w:r>
            <w:r>
              <w:rPr>
                <w:noProof/>
                <w:webHidden/>
              </w:rPr>
              <w:tab/>
            </w:r>
            <w:r>
              <w:rPr>
                <w:noProof/>
                <w:webHidden/>
              </w:rPr>
              <w:fldChar w:fldCharType="begin"/>
            </w:r>
            <w:r>
              <w:rPr>
                <w:noProof/>
                <w:webHidden/>
              </w:rPr>
              <w:instrText xml:space="preserve"> PAGEREF _Toc173318902 \h </w:instrText>
            </w:r>
            <w:r>
              <w:rPr>
                <w:noProof/>
                <w:webHidden/>
              </w:rPr>
            </w:r>
            <w:r>
              <w:rPr>
                <w:noProof/>
                <w:webHidden/>
              </w:rPr>
              <w:fldChar w:fldCharType="separate"/>
            </w:r>
            <w:r>
              <w:rPr>
                <w:noProof/>
                <w:webHidden/>
              </w:rPr>
              <w:t>25</w:t>
            </w:r>
            <w:r>
              <w:rPr>
                <w:noProof/>
                <w:webHidden/>
              </w:rPr>
              <w:fldChar w:fldCharType="end"/>
            </w:r>
          </w:hyperlink>
        </w:p>
        <w:p w14:paraId="39CA34E4" w14:textId="2DDD6644" w:rsidR="00730C38" w:rsidRDefault="00730C38">
          <w:pPr>
            <w:pStyle w:val="TOC2"/>
            <w:tabs>
              <w:tab w:val="left" w:pos="880"/>
              <w:tab w:val="right" w:leader="dot" w:pos="9016"/>
            </w:tabs>
            <w:rPr>
              <w:rFonts w:eastAsiaTheme="minorEastAsia"/>
              <w:noProof/>
              <w:sz w:val="22"/>
              <w:lang w:eastAsia="zh-CN"/>
            </w:rPr>
          </w:pPr>
          <w:hyperlink w:anchor="_Toc173318903" w:history="1">
            <w:r w:rsidRPr="00944007">
              <w:rPr>
                <w:rStyle w:val="Hyperlink"/>
                <w:noProof/>
              </w:rPr>
              <w:t>4.2</w:t>
            </w:r>
            <w:r>
              <w:rPr>
                <w:rFonts w:eastAsiaTheme="minorEastAsia"/>
                <w:noProof/>
                <w:sz w:val="22"/>
                <w:lang w:eastAsia="zh-CN"/>
              </w:rPr>
              <w:tab/>
            </w:r>
            <w:r w:rsidRPr="00944007">
              <w:rPr>
                <w:rStyle w:val="Hyperlink"/>
                <w:noProof/>
              </w:rPr>
              <w:t>Explanation</w:t>
            </w:r>
            <w:r>
              <w:rPr>
                <w:noProof/>
                <w:webHidden/>
              </w:rPr>
              <w:tab/>
            </w:r>
            <w:r>
              <w:rPr>
                <w:noProof/>
                <w:webHidden/>
              </w:rPr>
              <w:fldChar w:fldCharType="begin"/>
            </w:r>
            <w:r>
              <w:rPr>
                <w:noProof/>
                <w:webHidden/>
              </w:rPr>
              <w:instrText xml:space="preserve"> PAGEREF _Toc173318903 \h </w:instrText>
            </w:r>
            <w:r>
              <w:rPr>
                <w:noProof/>
                <w:webHidden/>
              </w:rPr>
            </w:r>
            <w:r>
              <w:rPr>
                <w:noProof/>
                <w:webHidden/>
              </w:rPr>
              <w:fldChar w:fldCharType="separate"/>
            </w:r>
            <w:r>
              <w:rPr>
                <w:noProof/>
                <w:webHidden/>
              </w:rPr>
              <w:t>26</w:t>
            </w:r>
            <w:r>
              <w:rPr>
                <w:noProof/>
                <w:webHidden/>
              </w:rPr>
              <w:fldChar w:fldCharType="end"/>
            </w:r>
          </w:hyperlink>
        </w:p>
        <w:p w14:paraId="1D5BD26A" w14:textId="141C3491" w:rsidR="00730C38" w:rsidRDefault="00730C38">
          <w:pPr>
            <w:pStyle w:val="TOC3"/>
            <w:tabs>
              <w:tab w:val="left" w:pos="1100"/>
              <w:tab w:val="right" w:leader="dot" w:pos="9016"/>
            </w:tabs>
            <w:rPr>
              <w:rFonts w:eastAsiaTheme="minorEastAsia"/>
              <w:noProof/>
              <w:sz w:val="22"/>
              <w:lang w:eastAsia="zh-CN"/>
            </w:rPr>
          </w:pPr>
          <w:hyperlink w:anchor="_Toc173318904" w:history="1">
            <w:r w:rsidRPr="00944007">
              <w:rPr>
                <w:rStyle w:val="Hyperlink"/>
                <w:noProof/>
              </w:rPr>
              <w:t>4.2.1</w:t>
            </w:r>
            <w:r>
              <w:rPr>
                <w:rFonts w:eastAsiaTheme="minorEastAsia"/>
                <w:noProof/>
                <w:sz w:val="22"/>
                <w:lang w:eastAsia="zh-CN"/>
              </w:rPr>
              <w:tab/>
            </w:r>
            <w:r w:rsidRPr="00944007">
              <w:rPr>
                <w:rStyle w:val="Hyperlink"/>
                <w:noProof/>
              </w:rPr>
              <w:t>Patient Risk Factors</w:t>
            </w:r>
            <w:r>
              <w:rPr>
                <w:noProof/>
                <w:webHidden/>
              </w:rPr>
              <w:tab/>
            </w:r>
            <w:r>
              <w:rPr>
                <w:noProof/>
                <w:webHidden/>
              </w:rPr>
              <w:fldChar w:fldCharType="begin"/>
            </w:r>
            <w:r>
              <w:rPr>
                <w:noProof/>
                <w:webHidden/>
              </w:rPr>
              <w:instrText xml:space="preserve"> PAGEREF _Toc173318904 \h </w:instrText>
            </w:r>
            <w:r>
              <w:rPr>
                <w:noProof/>
                <w:webHidden/>
              </w:rPr>
            </w:r>
            <w:r>
              <w:rPr>
                <w:noProof/>
                <w:webHidden/>
              </w:rPr>
              <w:fldChar w:fldCharType="separate"/>
            </w:r>
            <w:r>
              <w:rPr>
                <w:noProof/>
                <w:webHidden/>
              </w:rPr>
              <w:t>28</w:t>
            </w:r>
            <w:r>
              <w:rPr>
                <w:noProof/>
                <w:webHidden/>
              </w:rPr>
              <w:fldChar w:fldCharType="end"/>
            </w:r>
          </w:hyperlink>
        </w:p>
        <w:p w14:paraId="66A40033" w14:textId="58044F28" w:rsidR="00730C38" w:rsidRDefault="00730C38">
          <w:pPr>
            <w:pStyle w:val="TOC3"/>
            <w:tabs>
              <w:tab w:val="left" w:pos="1100"/>
              <w:tab w:val="right" w:leader="dot" w:pos="9016"/>
            </w:tabs>
            <w:rPr>
              <w:rFonts w:eastAsiaTheme="minorEastAsia"/>
              <w:noProof/>
              <w:sz w:val="22"/>
              <w:lang w:eastAsia="zh-CN"/>
            </w:rPr>
          </w:pPr>
          <w:hyperlink w:anchor="_Toc173318905" w:history="1">
            <w:r w:rsidRPr="00944007">
              <w:rPr>
                <w:rStyle w:val="Hyperlink"/>
                <w:noProof/>
              </w:rPr>
              <w:t>4.2.2</w:t>
            </w:r>
            <w:r>
              <w:rPr>
                <w:rFonts w:eastAsiaTheme="minorEastAsia"/>
                <w:noProof/>
                <w:sz w:val="22"/>
                <w:lang w:eastAsia="zh-CN"/>
              </w:rPr>
              <w:tab/>
            </w:r>
            <w:r w:rsidRPr="00944007">
              <w:rPr>
                <w:rStyle w:val="Hyperlink"/>
                <w:rFonts w:cs="Arial"/>
                <w:noProof/>
              </w:rPr>
              <w:t>Primary Diagnosis Group for Standardisation</w:t>
            </w:r>
            <w:r>
              <w:rPr>
                <w:noProof/>
                <w:webHidden/>
              </w:rPr>
              <w:tab/>
            </w:r>
            <w:r>
              <w:rPr>
                <w:noProof/>
                <w:webHidden/>
              </w:rPr>
              <w:fldChar w:fldCharType="begin"/>
            </w:r>
            <w:r>
              <w:rPr>
                <w:noProof/>
                <w:webHidden/>
              </w:rPr>
              <w:instrText xml:space="preserve"> PAGEREF _Toc173318905 \h </w:instrText>
            </w:r>
            <w:r>
              <w:rPr>
                <w:noProof/>
                <w:webHidden/>
              </w:rPr>
            </w:r>
            <w:r>
              <w:rPr>
                <w:noProof/>
                <w:webHidden/>
              </w:rPr>
              <w:fldChar w:fldCharType="separate"/>
            </w:r>
            <w:r>
              <w:rPr>
                <w:noProof/>
                <w:webHidden/>
              </w:rPr>
              <w:t>28</w:t>
            </w:r>
            <w:r>
              <w:rPr>
                <w:noProof/>
                <w:webHidden/>
              </w:rPr>
              <w:fldChar w:fldCharType="end"/>
            </w:r>
          </w:hyperlink>
        </w:p>
        <w:p w14:paraId="3CA8A09C" w14:textId="5EA5F396" w:rsidR="00730C38" w:rsidRDefault="00730C38">
          <w:pPr>
            <w:pStyle w:val="TOC3"/>
            <w:tabs>
              <w:tab w:val="left" w:pos="1100"/>
              <w:tab w:val="right" w:leader="dot" w:pos="9016"/>
            </w:tabs>
            <w:rPr>
              <w:rFonts w:eastAsiaTheme="minorEastAsia"/>
              <w:noProof/>
              <w:sz w:val="22"/>
              <w:lang w:eastAsia="zh-CN"/>
            </w:rPr>
          </w:pPr>
          <w:hyperlink w:anchor="_Toc173318906" w:history="1">
            <w:r w:rsidRPr="00944007">
              <w:rPr>
                <w:rStyle w:val="Hyperlink"/>
                <w:noProof/>
              </w:rPr>
              <w:t>4.2.3</w:t>
            </w:r>
            <w:r>
              <w:rPr>
                <w:rFonts w:eastAsiaTheme="minorEastAsia"/>
                <w:noProof/>
                <w:sz w:val="22"/>
                <w:lang w:eastAsia="zh-CN"/>
              </w:rPr>
              <w:tab/>
            </w:r>
            <w:r w:rsidRPr="00944007">
              <w:rPr>
                <w:rStyle w:val="Hyperlink"/>
                <w:noProof/>
              </w:rPr>
              <w:t>Charlson Comorbidity Index for Standardisation</w:t>
            </w:r>
            <w:r>
              <w:rPr>
                <w:noProof/>
                <w:webHidden/>
              </w:rPr>
              <w:tab/>
            </w:r>
            <w:r>
              <w:rPr>
                <w:noProof/>
                <w:webHidden/>
              </w:rPr>
              <w:fldChar w:fldCharType="begin"/>
            </w:r>
            <w:r>
              <w:rPr>
                <w:noProof/>
                <w:webHidden/>
              </w:rPr>
              <w:instrText xml:space="preserve"> PAGEREF _Toc173318906 \h </w:instrText>
            </w:r>
            <w:r>
              <w:rPr>
                <w:noProof/>
                <w:webHidden/>
              </w:rPr>
            </w:r>
            <w:r>
              <w:rPr>
                <w:noProof/>
                <w:webHidden/>
              </w:rPr>
              <w:fldChar w:fldCharType="separate"/>
            </w:r>
            <w:r>
              <w:rPr>
                <w:noProof/>
                <w:webHidden/>
              </w:rPr>
              <w:t>31</w:t>
            </w:r>
            <w:r>
              <w:rPr>
                <w:noProof/>
                <w:webHidden/>
              </w:rPr>
              <w:fldChar w:fldCharType="end"/>
            </w:r>
          </w:hyperlink>
        </w:p>
        <w:p w14:paraId="2C2652B8" w14:textId="2FC98716" w:rsidR="00730C38" w:rsidRDefault="00730C38">
          <w:pPr>
            <w:pStyle w:val="TOC2"/>
            <w:tabs>
              <w:tab w:val="left" w:pos="880"/>
              <w:tab w:val="right" w:leader="dot" w:pos="9016"/>
            </w:tabs>
            <w:rPr>
              <w:rFonts w:eastAsiaTheme="minorEastAsia"/>
              <w:noProof/>
              <w:sz w:val="22"/>
              <w:lang w:eastAsia="zh-CN"/>
            </w:rPr>
          </w:pPr>
          <w:hyperlink w:anchor="_Toc173318907" w:history="1">
            <w:r w:rsidRPr="00944007">
              <w:rPr>
                <w:rStyle w:val="Hyperlink"/>
                <w:noProof/>
              </w:rPr>
              <w:t>4.3</w:t>
            </w:r>
            <w:r>
              <w:rPr>
                <w:rFonts w:eastAsiaTheme="minorEastAsia"/>
                <w:noProof/>
                <w:sz w:val="22"/>
                <w:lang w:eastAsia="zh-CN"/>
              </w:rPr>
              <w:tab/>
            </w:r>
            <w:r w:rsidRPr="00944007">
              <w:rPr>
                <w:rStyle w:val="Hyperlink"/>
                <w:noProof/>
              </w:rPr>
              <w:t>Recommendation</w:t>
            </w:r>
            <w:r>
              <w:rPr>
                <w:noProof/>
                <w:webHidden/>
              </w:rPr>
              <w:tab/>
            </w:r>
            <w:r>
              <w:rPr>
                <w:noProof/>
                <w:webHidden/>
              </w:rPr>
              <w:fldChar w:fldCharType="begin"/>
            </w:r>
            <w:r>
              <w:rPr>
                <w:noProof/>
                <w:webHidden/>
              </w:rPr>
              <w:instrText xml:space="preserve"> PAGEREF _Toc173318907 \h </w:instrText>
            </w:r>
            <w:r>
              <w:rPr>
                <w:noProof/>
                <w:webHidden/>
              </w:rPr>
            </w:r>
            <w:r>
              <w:rPr>
                <w:noProof/>
                <w:webHidden/>
              </w:rPr>
              <w:fldChar w:fldCharType="separate"/>
            </w:r>
            <w:r>
              <w:rPr>
                <w:noProof/>
                <w:webHidden/>
              </w:rPr>
              <w:t>32</w:t>
            </w:r>
            <w:r>
              <w:rPr>
                <w:noProof/>
                <w:webHidden/>
              </w:rPr>
              <w:fldChar w:fldCharType="end"/>
            </w:r>
          </w:hyperlink>
        </w:p>
        <w:p w14:paraId="554032B6" w14:textId="37929166" w:rsidR="00730C38" w:rsidRDefault="00730C38">
          <w:pPr>
            <w:pStyle w:val="TOC1"/>
            <w:rPr>
              <w:rFonts w:eastAsiaTheme="minorEastAsia"/>
              <w:noProof/>
              <w:sz w:val="22"/>
              <w:lang w:eastAsia="zh-CN"/>
            </w:rPr>
          </w:pPr>
          <w:hyperlink w:anchor="_Toc173318908" w:history="1">
            <w:r w:rsidRPr="00944007">
              <w:rPr>
                <w:rStyle w:val="Hyperlink"/>
                <w:noProof/>
              </w:rPr>
              <w:t>5</w:t>
            </w:r>
            <w:r>
              <w:rPr>
                <w:rFonts w:eastAsiaTheme="minorEastAsia"/>
                <w:noProof/>
                <w:sz w:val="22"/>
                <w:lang w:eastAsia="zh-CN"/>
              </w:rPr>
              <w:tab/>
            </w:r>
            <w:r w:rsidRPr="00944007">
              <w:rPr>
                <w:rStyle w:val="Hyperlink"/>
                <w:noProof/>
              </w:rPr>
              <w:t>Appendix: The reason for removing PCCL from the readmission predictor list</w:t>
            </w:r>
            <w:r>
              <w:rPr>
                <w:noProof/>
                <w:webHidden/>
              </w:rPr>
              <w:tab/>
            </w:r>
            <w:r>
              <w:rPr>
                <w:noProof/>
                <w:webHidden/>
              </w:rPr>
              <w:fldChar w:fldCharType="begin"/>
            </w:r>
            <w:r>
              <w:rPr>
                <w:noProof/>
                <w:webHidden/>
              </w:rPr>
              <w:instrText xml:space="preserve"> PAGEREF _Toc173318908 \h </w:instrText>
            </w:r>
            <w:r>
              <w:rPr>
                <w:noProof/>
                <w:webHidden/>
              </w:rPr>
            </w:r>
            <w:r>
              <w:rPr>
                <w:noProof/>
                <w:webHidden/>
              </w:rPr>
              <w:fldChar w:fldCharType="separate"/>
            </w:r>
            <w:r>
              <w:rPr>
                <w:noProof/>
                <w:webHidden/>
              </w:rPr>
              <w:t>33</w:t>
            </w:r>
            <w:r>
              <w:rPr>
                <w:noProof/>
                <w:webHidden/>
              </w:rPr>
              <w:fldChar w:fldCharType="end"/>
            </w:r>
          </w:hyperlink>
        </w:p>
        <w:p w14:paraId="1AE6501A" w14:textId="4795311D" w:rsidR="00730C38" w:rsidRDefault="00730C38">
          <w:pPr>
            <w:pStyle w:val="TOC1"/>
            <w:rPr>
              <w:rFonts w:eastAsiaTheme="minorEastAsia"/>
              <w:noProof/>
              <w:sz w:val="22"/>
              <w:lang w:eastAsia="zh-CN"/>
            </w:rPr>
          </w:pPr>
          <w:hyperlink w:anchor="_Toc173318909" w:history="1">
            <w:r w:rsidRPr="00944007">
              <w:rPr>
                <w:rStyle w:val="Hyperlink"/>
                <w:noProof/>
              </w:rPr>
              <w:t>6</w:t>
            </w:r>
            <w:r>
              <w:rPr>
                <w:rFonts w:eastAsiaTheme="minorEastAsia"/>
                <w:noProof/>
                <w:sz w:val="22"/>
                <w:lang w:eastAsia="zh-CN"/>
              </w:rPr>
              <w:tab/>
            </w:r>
            <w:r w:rsidRPr="00944007">
              <w:rPr>
                <w:rStyle w:val="Hyperlink"/>
                <w:noProof/>
              </w:rPr>
              <w:t>References</w:t>
            </w:r>
            <w:r>
              <w:rPr>
                <w:noProof/>
                <w:webHidden/>
              </w:rPr>
              <w:tab/>
            </w:r>
            <w:r>
              <w:rPr>
                <w:noProof/>
                <w:webHidden/>
              </w:rPr>
              <w:fldChar w:fldCharType="begin"/>
            </w:r>
            <w:r>
              <w:rPr>
                <w:noProof/>
                <w:webHidden/>
              </w:rPr>
              <w:instrText xml:space="preserve"> PAGEREF _Toc173318909 \h </w:instrText>
            </w:r>
            <w:r>
              <w:rPr>
                <w:noProof/>
                <w:webHidden/>
              </w:rPr>
            </w:r>
            <w:r>
              <w:rPr>
                <w:noProof/>
                <w:webHidden/>
              </w:rPr>
              <w:fldChar w:fldCharType="separate"/>
            </w:r>
            <w:r>
              <w:rPr>
                <w:noProof/>
                <w:webHidden/>
              </w:rPr>
              <w:t>35</w:t>
            </w:r>
            <w:r>
              <w:rPr>
                <w:noProof/>
                <w:webHidden/>
              </w:rPr>
              <w:fldChar w:fldCharType="end"/>
            </w:r>
          </w:hyperlink>
        </w:p>
        <w:p w14:paraId="62A4D34A" w14:textId="109BC313" w:rsidR="00A742EF" w:rsidRPr="00CC192E" w:rsidRDefault="00A742EF" w:rsidP="005731A2">
          <w:pPr>
            <w:jc w:val="both"/>
            <w:rPr>
              <w:highlight w:val="yellow"/>
            </w:rPr>
          </w:pPr>
          <w:r w:rsidRPr="00461CEB">
            <w:rPr>
              <w:b/>
              <w:bCs/>
              <w:noProof/>
            </w:rPr>
            <w:fldChar w:fldCharType="end"/>
          </w:r>
        </w:p>
      </w:sdtContent>
    </w:sdt>
    <w:p w14:paraId="684AAC1A" w14:textId="77777777" w:rsidR="00BC677E" w:rsidRPr="00CC192E" w:rsidRDefault="00BC677E" w:rsidP="005731A2">
      <w:pPr>
        <w:jc w:val="both"/>
        <w:rPr>
          <w:highlight w:val="yellow"/>
        </w:rPr>
      </w:pPr>
      <w:r w:rsidRPr="00CC192E">
        <w:rPr>
          <w:highlight w:val="yellow"/>
        </w:rPr>
        <w:br w:type="page"/>
      </w:r>
    </w:p>
    <w:p w14:paraId="13B942B5" w14:textId="18CF980A" w:rsidR="00354FB4" w:rsidRPr="003F5C66" w:rsidRDefault="00C81EEE" w:rsidP="005731A2">
      <w:pPr>
        <w:pStyle w:val="Heading1"/>
        <w:jc w:val="both"/>
      </w:pPr>
      <w:bookmarkStart w:id="1" w:name="_Toc173318857"/>
      <w:r w:rsidRPr="003F5C66">
        <w:lastRenderedPageBreak/>
        <w:t xml:space="preserve">Introduction: Acute </w:t>
      </w:r>
      <w:r w:rsidR="00DD1F30" w:rsidRPr="003F5C66">
        <w:t>Readmissions</w:t>
      </w:r>
      <w:bookmarkEnd w:id="1"/>
    </w:p>
    <w:p w14:paraId="34050193" w14:textId="77777777" w:rsidR="007C7FB2" w:rsidRPr="003F5C66" w:rsidRDefault="007C7FB2" w:rsidP="007C7FB2">
      <w:pPr>
        <w:jc w:val="both"/>
      </w:pPr>
      <w:r w:rsidRPr="003F5C66">
        <w:t xml:space="preserve">This document defines the acute readmissions measure and provides details on how this is calculated.  It also describes the value and rationale for redeveloping the measure.  </w:t>
      </w:r>
    </w:p>
    <w:p w14:paraId="3F1A3939" w14:textId="77777777" w:rsidR="007C7FB2" w:rsidRDefault="007C7FB2" w:rsidP="007C7FB2">
      <w:pPr>
        <w:jc w:val="both"/>
      </w:pPr>
      <w:r w:rsidRPr="003F5C66">
        <w:t>An acute readmission is usually</w:t>
      </w:r>
      <w:r>
        <w:t xml:space="preserve"> </w:t>
      </w:r>
      <w:proofErr w:type="gramStart"/>
      <w:r>
        <w:t>an unexpected emergency</w:t>
      </w:r>
      <w:proofErr w:type="gramEnd"/>
      <w:r>
        <w:t xml:space="preserve"> or acute return of a patient to hospital. </w:t>
      </w:r>
    </w:p>
    <w:p w14:paraId="6C120ADC" w14:textId="77777777" w:rsidR="007C7FB2" w:rsidRDefault="007C7FB2" w:rsidP="007C7FB2">
      <w:pPr>
        <w:jc w:val="both"/>
      </w:pPr>
      <w:r>
        <w:t>In New Zealand, as in most of the developed world, acute readmissions have been increasing year on year. Acute readmissions may sometimes be a part of an expected course of patient care. However, it may indicate quality problems, either in terms of direct quality of care or failures to integrate care around the patient.  This lack of quality or integration may lead to an unnecessary and hence inefficient use of health care resources.  For many patients, returning acutely to hospital is an undesirable outcome.</w:t>
      </w:r>
    </w:p>
    <w:p w14:paraId="0B377AE2" w14:textId="77777777" w:rsidR="007C7FB2" w:rsidRDefault="007C7FB2" w:rsidP="007C7FB2">
      <w:pPr>
        <w:jc w:val="both"/>
      </w:pPr>
      <w:r>
        <w:t xml:space="preserve">The historical model for measuring acute readmissions was not effective due to technical issues with the model, lack of clarity on its use and little alignment with other related measures.  </w:t>
      </w:r>
    </w:p>
    <w:p w14:paraId="6A71E560" w14:textId="0CE3C73E" w:rsidR="007C7FB2" w:rsidRDefault="007C7FB2" w:rsidP="007C7FB2">
      <w:pPr>
        <w:jc w:val="both"/>
      </w:pPr>
      <w:r>
        <w:t xml:space="preserve">The revised measure is aligned with the five strategic themes of people-powered, closer to home, </w:t>
      </w:r>
      <w:proofErr w:type="gramStart"/>
      <w:r>
        <w:t>value</w:t>
      </w:r>
      <w:proofErr w:type="gramEnd"/>
      <w:r>
        <w:t xml:space="preserve"> and high performance, one team and smart system from the New Zealand Health Strategy, and it is explicitly linked to the system level measure of acute hospital bed days. It serves the following purposes:</w:t>
      </w:r>
    </w:p>
    <w:p w14:paraId="42616FDA" w14:textId="77777777" w:rsidR="009A2373" w:rsidRDefault="007C7FB2" w:rsidP="007C7FB2">
      <w:pPr>
        <w:pStyle w:val="ListParagraph"/>
        <w:numPr>
          <w:ilvl w:val="0"/>
          <w:numId w:val="14"/>
        </w:numPr>
        <w:jc w:val="both"/>
      </w:pPr>
      <w:r>
        <w:t>better understanding of readmission variability and its causes</w:t>
      </w:r>
    </w:p>
    <w:p w14:paraId="7C6D4FE8" w14:textId="77777777" w:rsidR="009A2373" w:rsidRDefault="007C7FB2" w:rsidP="007C7FB2">
      <w:pPr>
        <w:pStyle w:val="ListParagraph"/>
        <w:numPr>
          <w:ilvl w:val="0"/>
          <w:numId w:val="14"/>
        </w:numPr>
        <w:jc w:val="both"/>
      </w:pPr>
      <w:r>
        <w:t>promoting best practice in terms of patient management</w:t>
      </w:r>
    </w:p>
    <w:p w14:paraId="5CF51C5E" w14:textId="77777777" w:rsidR="009A2373" w:rsidRDefault="007C7FB2" w:rsidP="007C7FB2">
      <w:pPr>
        <w:pStyle w:val="ListParagraph"/>
        <w:numPr>
          <w:ilvl w:val="0"/>
          <w:numId w:val="14"/>
        </w:numPr>
        <w:jc w:val="both"/>
      </w:pPr>
      <w:r>
        <w:t xml:space="preserve">understanding what would help reduce acute </w:t>
      </w:r>
      <w:proofErr w:type="gramStart"/>
      <w:r>
        <w:t>demand</w:t>
      </w:r>
      <w:proofErr w:type="gramEnd"/>
    </w:p>
    <w:p w14:paraId="622545B2" w14:textId="473E3958" w:rsidR="009A2373" w:rsidRDefault="007C7FB2" w:rsidP="007C7FB2">
      <w:pPr>
        <w:pStyle w:val="ListParagraph"/>
        <w:numPr>
          <w:ilvl w:val="0"/>
          <w:numId w:val="14"/>
        </w:numPr>
        <w:jc w:val="both"/>
      </w:pPr>
      <w:r>
        <w:t xml:space="preserve">providing information to facilitate improvement of </w:t>
      </w:r>
      <w:r w:rsidR="00D73BF3">
        <w:t>District Health Board</w:t>
      </w:r>
      <w:r>
        <w:t xml:space="preserve">s’ performance with a focus on </w:t>
      </w:r>
      <w:proofErr w:type="gramStart"/>
      <w:r>
        <w:t>efficiency</w:t>
      </w:r>
      <w:proofErr w:type="gramEnd"/>
    </w:p>
    <w:p w14:paraId="181A9AC7" w14:textId="4AEFAB0F" w:rsidR="007C7FB2" w:rsidRDefault="007C7FB2" w:rsidP="007C7FB2">
      <w:pPr>
        <w:pStyle w:val="ListParagraph"/>
        <w:numPr>
          <w:ilvl w:val="0"/>
          <w:numId w:val="14"/>
        </w:numPr>
        <w:jc w:val="both"/>
      </w:pPr>
      <w:r>
        <w:t>enhancing understanding of system integration between community, primary and secondary care for better patient outcomes.</w:t>
      </w:r>
    </w:p>
    <w:p w14:paraId="60BAF15D" w14:textId="72AE8FAC" w:rsidR="00BB14C7" w:rsidRPr="003F5C66" w:rsidRDefault="007C7FB2" w:rsidP="007C7FB2">
      <w:pPr>
        <w:jc w:val="both"/>
      </w:pPr>
      <w:r w:rsidRPr="003F5C66">
        <w:t xml:space="preserve">The revised model has been co-designed by representatives from the </w:t>
      </w:r>
      <w:r w:rsidR="00A551A1">
        <w:t xml:space="preserve">then </w:t>
      </w:r>
      <w:r w:rsidR="00D73BF3">
        <w:t>District Health Boards (</w:t>
      </w:r>
      <w:r w:rsidRPr="003F5C66">
        <w:t>DHBs</w:t>
      </w:r>
      <w:r w:rsidR="00D73BF3">
        <w:t>)</w:t>
      </w:r>
      <w:r w:rsidRPr="003F5C66">
        <w:t xml:space="preserve">, the Health Quality and Safety Commission, and the </w:t>
      </w:r>
      <w:r w:rsidR="00D73BF3">
        <w:t xml:space="preserve">Ministry of Health (the </w:t>
      </w:r>
      <w:r w:rsidRPr="003F5C66">
        <w:t>Ministry</w:t>
      </w:r>
      <w:r w:rsidR="00D73BF3">
        <w:t>)</w:t>
      </w:r>
      <w:r w:rsidRPr="003F5C66">
        <w:t>.</w:t>
      </w:r>
    </w:p>
    <w:p w14:paraId="390F76B0" w14:textId="77777777" w:rsidR="007C7FB2" w:rsidRPr="003F5C66" w:rsidRDefault="007C7FB2" w:rsidP="007C7FB2">
      <w:pPr>
        <w:jc w:val="both"/>
      </w:pPr>
    </w:p>
    <w:p w14:paraId="7ECA7019" w14:textId="77777777" w:rsidR="00BB14C7" w:rsidRPr="003F5C66" w:rsidRDefault="00BB14C7" w:rsidP="005731A2">
      <w:pPr>
        <w:pStyle w:val="Heading2"/>
        <w:jc w:val="both"/>
      </w:pPr>
      <w:bookmarkStart w:id="2" w:name="_Toc173318858"/>
      <w:r w:rsidRPr="003F5C66">
        <w:t>Value and Rationale</w:t>
      </w:r>
      <w:bookmarkEnd w:id="2"/>
    </w:p>
    <w:p w14:paraId="429F90AE" w14:textId="77777777" w:rsidR="007C7FB2" w:rsidRDefault="007C7FB2" w:rsidP="007C7FB2">
      <w:pPr>
        <w:jc w:val="both"/>
      </w:pPr>
      <w:r w:rsidRPr="003F5C66">
        <w:t xml:space="preserve">Acute readmissions </w:t>
      </w:r>
      <w:proofErr w:type="gramStart"/>
      <w:r w:rsidRPr="003F5C66">
        <w:t>is</w:t>
      </w:r>
      <w:proofErr w:type="gramEnd"/>
      <w:r w:rsidRPr="003F5C66">
        <w:t xml:space="preserve"> being used internationally for a number of purposes such as cost control, quality improvement, evaluating</w:t>
      </w:r>
      <w:r>
        <w:t xml:space="preserve"> clinical practices and whole of system improvement.</w:t>
      </w:r>
    </w:p>
    <w:p w14:paraId="7E7E3268" w14:textId="0C085FCA" w:rsidR="007C7FB2" w:rsidRDefault="007C7FB2" w:rsidP="007C7FB2">
      <w:pPr>
        <w:jc w:val="both"/>
      </w:pPr>
      <w:r>
        <w:t xml:space="preserve">Studies overseas have shown that 30-day readmission rates can be reduced by 20% to 40% through </w:t>
      </w:r>
      <w:proofErr w:type="gramStart"/>
      <w:r>
        <w:t>quality</w:t>
      </w:r>
      <w:r w:rsidR="00C04E89">
        <w:t xml:space="preserve"> </w:t>
      </w:r>
      <w:r>
        <w:t>of care</w:t>
      </w:r>
      <w:proofErr w:type="gramEnd"/>
      <w:r>
        <w:t xml:space="preserve"> initiatives. These initiatives include improvement in communication with patients, their caregivers, and their clinicians; patient education; pre-discharge assessment; and coordination of care after discharge.</w:t>
      </w:r>
    </w:p>
    <w:p w14:paraId="4A60BFC2" w14:textId="77777777" w:rsidR="007C7FB2" w:rsidRDefault="007C7FB2" w:rsidP="007C7FB2">
      <w:pPr>
        <w:jc w:val="both"/>
      </w:pPr>
      <w:r>
        <w:t xml:space="preserve">Increasing focus on readmissions to improve quality and efficiency of health care has led to hospitals redesigning their discharge processes, improving transitions of </w:t>
      </w:r>
      <w:proofErr w:type="gramStart"/>
      <w:r>
        <w:t>care</w:t>
      </w:r>
      <w:proofErr w:type="gramEnd"/>
      <w:r>
        <w:t xml:space="preserve"> and evaluating their clinical practices such as the interventions provided.  </w:t>
      </w:r>
    </w:p>
    <w:p w14:paraId="7CA9589A" w14:textId="77777777" w:rsidR="007C7FB2" w:rsidRDefault="007C7FB2" w:rsidP="007C7FB2">
      <w:pPr>
        <w:jc w:val="both"/>
      </w:pPr>
      <w:r>
        <w:t>Nevertheless, there are ongoing debates on the value of the measure due to its complexity such as issues with definitions, timeframes being reviewed and adjusting for various factors that influence the measure.  The measure has also been described as an imperfect proxy for broader health system failures but is thought to provide a foundation for building better policies that are useful for improvement, fair for accountability and relevant to patients.</w:t>
      </w:r>
    </w:p>
    <w:p w14:paraId="07B91811" w14:textId="77777777" w:rsidR="007C7FB2" w:rsidRDefault="007C7FB2" w:rsidP="007C7FB2">
      <w:pPr>
        <w:jc w:val="both"/>
      </w:pPr>
      <w:r>
        <w:lastRenderedPageBreak/>
        <w:t xml:space="preserve">Overall readmission rates are a marker of safety and inconvenience to patients, and some resources could potentially be re-invested.  However, when disaggregated, the measure could be a useful diagnostic of specific problems.  </w:t>
      </w:r>
    </w:p>
    <w:p w14:paraId="7130487B" w14:textId="47A76D62" w:rsidR="006C2C8F" w:rsidRDefault="006C2C8F" w:rsidP="006C2C8F">
      <w:pPr>
        <w:jc w:val="both"/>
      </w:pPr>
      <w:r>
        <w:t xml:space="preserve">Readmissions up to 3 and 7 days are likely to be associated with clinical and discharge issues. The </w:t>
      </w:r>
      <w:proofErr w:type="gramStart"/>
      <w:r>
        <w:t>8 to 28 day</w:t>
      </w:r>
      <w:proofErr w:type="gramEnd"/>
      <w:r>
        <w:t xml:space="preserve"> interval can be associated with a combination of discharge and coordination issues. Readmissions between 29 to 180 days, alongside frequent users measure, especially for older and/or complex patients, can be linked to the availability and access to good community care.</w:t>
      </w:r>
    </w:p>
    <w:p w14:paraId="428CCC5D" w14:textId="77777777" w:rsidR="007C7FB2" w:rsidRDefault="007C7FB2" w:rsidP="007C7FB2">
      <w:pPr>
        <w:jc w:val="both"/>
      </w:pPr>
      <w:r>
        <w:t>The value of the measure is recognised when used in conjunction with related measures such as acute admissions, length of stay, frequent users, emergency department attendances and other indicators on the social determinants of health.</w:t>
      </w:r>
    </w:p>
    <w:p w14:paraId="73F03474" w14:textId="1928AF45" w:rsidR="000700F4" w:rsidRPr="00CC192E" w:rsidRDefault="007C7FB2" w:rsidP="007C7FB2">
      <w:pPr>
        <w:jc w:val="both"/>
        <w:rPr>
          <w:highlight w:val="yellow"/>
        </w:rPr>
      </w:pPr>
      <w:r>
        <w:t>Some of the valuable outcomes of this model are to provide good quality data for future evaluation of readmissions and other aspects of acute demand, as well as to promote sharing of information and tools across the sector.</w:t>
      </w:r>
    </w:p>
    <w:p w14:paraId="61192B24" w14:textId="77777777" w:rsidR="00FB6A40" w:rsidRPr="00CC192E" w:rsidRDefault="00FB6A40" w:rsidP="005731A2">
      <w:pPr>
        <w:jc w:val="both"/>
        <w:rPr>
          <w:highlight w:val="yellow"/>
        </w:rPr>
      </w:pPr>
    </w:p>
    <w:p w14:paraId="1D98FE97" w14:textId="77777777" w:rsidR="00E43827" w:rsidRDefault="00951070" w:rsidP="005731A2">
      <w:pPr>
        <w:pStyle w:val="Heading2"/>
        <w:jc w:val="both"/>
      </w:pPr>
      <w:bookmarkStart w:id="3" w:name="_Toc173318859"/>
      <w:r w:rsidRPr="00254C1E">
        <w:t xml:space="preserve">High Level </w:t>
      </w:r>
      <w:r w:rsidR="00E43827" w:rsidRPr="00254C1E">
        <w:t>Definition</w:t>
      </w:r>
      <w:bookmarkEnd w:id="3"/>
    </w:p>
    <w:p w14:paraId="33AE2184" w14:textId="384F812E" w:rsidR="00C000D1" w:rsidRDefault="00732A03" w:rsidP="00ED16C2">
      <w:pPr>
        <w:jc w:val="both"/>
        <w:rPr>
          <w:rFonts w:ascii="Verdana" w:hAnsi="Verdana"/>
        </w:rPr>
      </w:pPr>
      <w:r>
        <w:rPr>
          <w:rFonts w:ascii="Verdana" w:hAnsi="Verdana"/>
        </w:rPr>
        <w:t xml:space="preserve">The measure is a standardised readmission ratio of the observed number of </w:t>
      </w:r>
      <w:proofErr w:type="gramStart"/>
      <w:r>
        <w:rPr>
          <w:rFonts w:ascii="Verdana" w:hAnsi="Verdana"/>
        </w:rPr>
        <w:t>readmission</w:t>
      </w:r>
      <w:proofErr w:type="gramEnd"/>
      <w:r>
        <w:rPr>
          <w:rFonts w:ascii="Verdana" w:hAnsi="Verdana"/>
        </w:rPr>
        <w:t xml:space="preserve"> stays to the predicted number of readmission stays of a </w:t>
      </w:r>
      <w:r w:rsidR="00A551A1">
        <w:rPr>
          <w:rFonts w:ascii="Verdana" w:hAnsi="Verdana"/>
        </w:rPr>
        <w:t>district</w:t>
      </w:r>
      <w:r>
        <w:rPr>
          <w:rFonts w:ascii="Verdana" w:hAnsi="Verdana"/>
        </w:rPr>
        <w:t>.   The numbers are derived based on the number of admission</w:t>
      </w:r>
      <w:r w:rsidR="00227179">
        <w:rPr>
          <w:rFonts w:ascii="Verdana" w:hAnsi="Verdana"/>
        </w:rPr>
        <w:t>s</w:t>
      </w:r>
      <w:r>
        <w:rPr>
          <w:rFonts w:ascii="Verdana" w:hAnsi="Verdana"/>
        </w:rPr>
        <w:t xml:space="preserve"> and readmissions for patients presenting to New Zealand hospital</w:t>
      </w:r>
      <w:r w:rsidR="00227179">
        <w:rPr>
          <w:rFonts w:ascii="Verdana" w:hAnsi="Verdana"/>
        </w:rPr>
        <w:t>s</w:t>
      </w:r>
      <w:r>
        <w:rPr>
          <w:rFonts w:ascii="Verdana" w:hAnsi="Verdana"/>
        </w:rPr>
        <w:t>.</w:t>
      </w:r>
      <w:r w:rsidR="001561CB">
        <w:rPr>
          <w:rFonts w:ascii="Verdana" w:hAnsi="Verdana"/>
        </w:rPr>
        <w:t xml:space="preserve">  </w:t>
      </w:r>
    </w:p>
    <w:p w14:paraId="429973EE" w14:textId="3A488445" w:rsidR="00227179" w:rsidRDefault="00227179" w:rsidP="00ED16C2">
      <w:pPr>
        <w:jc w:val="both"/>
        <w:rPr>
          <w:rFonts w:ascii="Verdana" w:hAnsi="Verdana"/>
        </w:rPr>
      </w:pPr>
      <w:r>
        <w:rPr>
          <w:rFonts w:ascii="Verdana" w:hAnsi="Verdana"/>
        </w:rPr>
        <w:t xml:space="preserve">The model also produces the crude readmission rates that is calculated based on the observed number of </w:t>
      </w:r>
      <w:proofErr w:type="gramStart"/>
      <w:r>
        <w:rPr>
          <w:rFonts w:ascii="Verdana" w:hAnsi="Verdana"/>
        </w:rPr>
        <w:t>readmission</w:t>
      </w:r>
      <w:proofErr w:type="gramEnd"/>
      <w:r>
        <w:rPr>
          <w:rFonts w:ascii="Verdana" w:hAnsi="Verdana"/>
        </w:rPr>
        <w:t xml:space="preserve"> stays over the observed number of index stays expressed as a percentage.</w:t>
      </w:r>
    </w:p>
    <w:p w14:paraId="5AFEDAC0" w14:textId="055996D9" w:rsidR="00ED16C2" w:rsidRPr="00302A7D" w:rsidRDefault="002E238C" w:rsidP="002E238C">
      <w:pPr>
        <w:jc w:val="both"/>
        <w:rPr>
          <w:rFonts w:ascii="Verdana" w:hAnsi="Verdana"/>
        </w:rPr>
      </w:pPr>
      <w:r>
        <w:rPr>
          <w:rFonts w:ascii="Verdana" w:hAnsi="Verdana"/>
        </w:rPr>
        <w:t xml:space="preserve">The standardised readmission ratios are </w:t>
      </w:r>
      <w:r w:rsidR="00ED16C2" w:rsidRPr="00C51575">
        <w:rPr>
          <w:rFonts w:ascii="Verdana" w:hAnsi="Verdana"/>
        </w:rPr>
        <w:t xml:space="preserve">illustrated at a national and </w:t>
      </w:r>
      <w:r w:rsidR="00A551A1">
        <w:rPr>
          <w:rFonts w:ascii="Verdana" w:hAnsi="Verdana"/>
        </w:rPr>
        <w:t>district</w:t>
      </w:r>
      <w:r w:rsidR="00ED16C2" w:rsidRPr="00C51575">
        <w:rPr>
          <w:rFonts w:ascii="Verdana" w:hAnsi="Verdana"/>
        </w:rPr>
        <w:t xml:space="preserve"> level with standardisation for admission type, prior stays, primary diagnosis group, length of stay, age, prior morbidities, </w:t>
      </w:r>
      <w:r w:rsidR="00ED16C2">
        <w:rPr>
          <w:rFonts w:ascii="Verdana" w:hAnsi="Verdana"/>
        </w:rPr>
        <w:t xml:space="preserve">and </w:t>
      </w:r>
      <w:r w:rsidR="00ED16C2" w:rsidRPr="002B5CAE">
        <w:rPr>
          <w:rFonts w:ascii="Verdana" w:hAnsi="Verdana"/>
        </w:rPr>
        <w:t>current morbidities</w:t>
      </w:r>
      <w:r w:rsidR="00AF55CE">
        <w:rPr>
          <w:rStyle w:val="FootnoteReference"/>
          <w:rFonts w:ascii="Verdana" w:hAnsi="Verdana"/>
        </w:rPr>
        <w:footnoteReference w:id="1"/>
      </w:r>
      <w:r w:rsidR="00ED16C2" w:rsidRPr="002B5CAE">
        <w:rPr>
          <w:rFonts w:ascii="Verdana" w:hAnsi="Verdana"/>
        </w:rPr>
        <w:t xml:space="preserve">. </w:t>
      </w:r>
    </w:p>
    <w:p w14:paraId="6911FB0E" w14:textId="21D036E5" w:rsidR="00ED16C2" w:rsidRDefault="00ED16C2" w:rsidP="00ED16C2">
      <w:pPr>
        <w:jc w:val="both"/>
        <w:rPr>
          <w:rFonts w:ascii="Verdana" w:hAnsi="Verdana"/>
        </w:rPr>
      </w:pPr>
      <w:r w:rsidRPr="00302A7D">
        <w:rPr>
          <w:rFonts w:ascii="Verdana" w:hAnsi="Verdana"/>
        </w:rPr>
        <w:t>Th</w:t>
      </w:r>
      <w:r>
        <w:rPr>
          <w:rFonts w:ascii="Verdana" w:hAnsi="Verdana"/>
        </w:rPr>
        <w:t>e</w:t>
      </w:r>
      <w:r w:rsidRPr="00302A7D">
        <w:rPr>
          <w:rFonts w:ascii="Verdana" w:hAnsi="Verdana"/>
        </w:rPr>
        <w:t xml:space="preserve"> measure will</w:t>
      </w:r>
      <w:r>
        <w:rPr>
          <w:rFonts w:ascii="Verdana" w:hAnsi="Verdana"/>
        </w:rPr>
        <w:t xml:space="preserve"> be calculated </w:t>
      </w:r>
      <w:r w:rsidRPr="00CA4CBD">
        <w:rPr>
          <w:rFonts w:ascii="Verdana" w:hAnsi="Verdana"/>
        </w:rPr>
        <w:t>quarterly</w:t>
      </w:r>
      <w:r w:rsidR="00CA4CBD">
        <w:rPr>
          <w:rFonts w:ascii="Verdana" w:hAnsi="Verdana"/>
        </w:rPr>
        <w:t xml:space="preserve">.  </w:t>
      </w:r>
      <w:r>
        <w:rPr>
          <w:rFonts w:ascii="Verdana" w:hAnsi="Verdana"/>
        </w:rPr>
        <w:t xml:space="preserve">Both the </w:t>
      </w:r>
      <w:r w:rsidR="00A551A1">
        <w:rPr>
          <w:rFonts w:ascii="Verdana" w:hAnsi="Verdana"/>
        </w:rPr>
        <w:t>district</w:t>
      </w:r>
      <w:r w:rsidRPr="00302A7D">
        <w:rPr>
          <w:rFonts w:ascii="Verdana" w:hAnsi="Verdana"/>
        </w:rPr>
        <w:t xml:space="preserve"> </w:t>
      </w:r>
      <w:r>
        <w:rPr>
          <w:rFonts w:ascii="Verdana" w:hAnsi="Verdana"/>
        </w:rPr>
        <w:t xml:space="preserve">of domicile and </w:t>
      </w:r>
      <w:r w:rsidR="00A551A1">
        <w:rPr>
          <w:rFonts w:ascii="Verdana" w:hAnsi="Verdana"/>
        </w:rPr>
        <w:t xml:space="preserve">district </w:t>
      </w:r>
      <w:r>
        <w:rPr>
          <w:rFonts w:ascii="Verdana" w:hAnsi="Verdana"/>
        </w:rPr>
        <w:t>of service</w:t>
      </w:r>
      <w:r w:rsidRPr="00302A7D">
        <w:rPr>
          <w:rFonts w:ascii="Verdana" w:hAnsi="Verdana"/>
        </w:rPr>
        <w:t xml:space="preserve"> are relevant and potentially associated with different areas of clinical and care focus.  The data will be broken down by </w:t>
      </w:r>
      <w:r>
        <w:rPr>
          <w:rFonts w:ascii="Verdana" w:hAnsi="Verdana"/>
        </w:rPr>
        <w:t xml:space="preserve">these two </w:t>
      </w:r>
      <w:r w:rsidR="00A551A1">
        <w:rPr>
          <w:rFonts w:ascii="Verdana" w:hAnsi="Verdana"/>
        </w:rPr>
        <w:t>district</w:t>
      </w:r>
      <w:r>
        <w:rPr>
          <w:rFonts w:ascii="Verdana" w:hAnsi="Verdana"/>
        </w:rPr>
        <w:t xml:space="preserve"> views </w:t>
      </w:r>
      <w:r w:rsidRPr="00302A7D">
        <w:rPr>
          <w:rFonts w:ascii="Verdana" w:hAnsi="Verdana"/>
        </w:rPr>
        <w:t xml:space="preserve">depending on the </w:t>
      </w:r>
      <w:proofErr w:type="gramStart"/>
      <w:r w:rsidRPr="00302A7D">
        <w:rPr>
          <w:rFonts w:ascii="Verdana" w:hAnsi="Verdana"/>
        </w:rPr>
        <w:t>time period</w:t>
      </w:r>
      <w:proofErr w:type="gramEnd"/>
      <w:r w:rsidRPr="00302A7D">
        <w:rPr>
          <w:rFonts w:ascii="Verdana" w:hAnsi="Verdana"/>
        </w:rPr>
        <w:t xml:space="preserve"> (</w:t>
      </w:r>
      <w:r w:rsidR="001347DD">
        <w:rPr>
          <w:rFonts w:ascii="Verdana" w:hAnsi="Verdana"/>
        </w:rPr>
        <w:t xml:space="preserve">0-28 days, </w:t>
      </w:r>
      <w:r w:rsidRPr="00302A7D">
        <w:rPr>
          <w:rFonts w:ascii="Verdana" w:hAnsi="Verdana"/>
        </w:rPr>
        <w:t>0-3 days, 4-7</w:t>
      </w:r>
      <w:r>
        <w:rPr>
          <w:rFonts w:ascii="Verdana" w:hAnsi="Verdana"/>
        </w:rPr>
        <w:t xml:space="preserve"> </w:t>
      </w:r>
      <w:r w:rsidRPr="00302A7D">
        <w:rPr>
          <w:rFonts w:ascii="Verdana" w:hAnsi="Verdana"/>
        </w:rPr>
        <w:t>days, 8-28 days</w:t>
      </w:r>
      <w:r w:rsidR="001347DD">
        <w:rPr>
          <w:rFonts w:ascii="Verdana" w:hAnsi="Verdana"/>
        </w:rPr>
        <w:t xml:space="preserve"> </w:t>
      </w:r>
      <w:r w:rsidRPr="00302A7D">
        <w:rPr>
          <w:rFonts w:ascii="Verdana" w:hAnsi="Verdana"/>
        </w:rPr>
        <w:t>and 29-180 days) of the measure</w:t>
      </w:r>
      <w:r>
        <w:rPr>
          <w:rFonts w:ascii="Verdana" w:hAnsi="Verdana"/>
        </w:rPr>
        <w:t>.</w:t>
      </w:r>
      <w:r w:rsidR="001347DD">
        <w:rPr>
          <w:rFonts w:ascii="Verdana" w:hAnsi="Verdana"/>
        </w:rPr>
        <w:t xml:space="preserve"> </w:t>
      </w:r>
    </w:p>
    <w:p w14:paraId="3DF23C02" w14:textId="5E3FE2CE" w:rsidR="00254C1E" w:rsidRPr="00535E79" w:rsidRDefault="00A551A1" w:rsidP="00657F49">
      <w:pPr>
        <w:rPr>
          <w:rFonts w:ascii="Verdana" w:hAnsi="Verdana"/>
        </w:rPr>
      </w:pPr>
      <w:r>
        <w:rPr>
          <w:rFonts w:ascii="Verdana" w:hAnsi="Verdana"/>
        </w:rPr>
        <w:t>District</w:t>
      </w:r>
      <w:r w:rsidR="00657F49">
        <w:rPr>
          <w:rFonts w:ascii="Verdana" w:hAnsi="Verdana"/>
        </w:rPr>
        <w:t xml:space="preserve"> of domicile is determined based on the first event of an index stay. </w:t>
      </w:r>
      <w:proofErr w:type="gramStart"/>
      <w:r>
        <w:rPr>
          <w:rFonts w:ascii="Verdana" w:hAnsi="Verdana"/>
        </w:rPr>
        <w:t xml:space="preserve">District </w:t>
      </w:r>
      <w:r w:rsidR="00657F49" w:rsidRPr="00657F49">
        <w:rPr>
          <w:rFonts w:ascii="Verdana" w:hAnsi="Verdana"/>
        </w:rPr>
        <w:t xml:space="preserve"> of</w:t>
      </w:r>
      <w:proofErr w:type="gramEnd"/>
      <w:r w:rsidR="00657F49" w:rsidRPr="00657F49">
        <w:rPr>
          <w:rFonts w:ascii="Verdana" w:hAnsi="Verdana"/>
        </w:rPr>
        <w:t xml:space="preserve"> service from individual </w:t>
      </w:r>
      <w:r w:rsidR="00657F49">
        <w:rPr>
          <w:rFonts w:ascii="Verdana" w:hAnsi="Verdana"/>
        </w:rPr>
        <w:t>event</w:t>
      </w:r>
      <w:r w:rsidR="00B61117">
        <w:rPr>
          <w:rFonts w:ascii="Verdana" w:hAnsi="Verdana"/>
        </w:rPr>
        <w:t>s</w:t>
      </w:r>
      <w:r w:rsidR="00657F49" w:rsidRPr="00657F49">
        <w:rPr>
          <w:rFonts w:ascii="Verdana" w:hAnsi="Verdana"/>
        </w:rPr>
        <w:t xml:space="preserve"> that make up a stay can be different</w:t>
      </w:r>
      <w:r w:rsidR="00657F49">
        <w:rPr>
          <w:rFonts w:ascii="Verdana" w:hAnsi="Verdana"/>
        </w:rPr>
        <w:t>.</w:t>
      </w:r>
      <w:r w:rsidR="00657F49" w:rsidRPr="00657F49">
        <w:rPr>
          <w:rFonts w:ascii="Verdana" w:hAnsi="Verdana"/>
        </w:rPr>
        <w:t xml:space="preserve"> </w:t>
      </w:r>
      <w:r w:rsidR="00ED16C2" w:rsidRPr="00657F49">
        <w:rPr>
          <w:rFonts w:ascii="Verdana" w:hAnsi="Verdana"/>
        </w:rPr>
        <w:t>For the</w:t>
      </w:r>
      <w:r w:rsidR="00657F49">
        <w:rPr>
          <w:rFonts w:ascii="Verdana" w:hAnsi="Verdana"/>
        </w:rPr>
        <w:t xml:space="preserve"> purpose</w:t>
      </w:r>
      <w:r w:rsidR="00ED16C2" w:rsidRPr="00E701FD">
        <w:rPr>
          <w:rFonts w:ascii="Verdana" w:hAnsi="Verdana"/>
        </w:rPr>
        <w:t xml:space="preserve"> of </w:t>
      </w:r>
      <w:proofErr w:type="gramStart"/>
      <w:r w:rsidR="00934923">
        <w:rPr>
          <w:rFonts w:ascii="Verdana" w:hAnsi="Verdana"/>
        </w:rPr>
        <w:t>high</w:t>
      </w:r>
      <w:r w:rsidR="006202DF">
        <w:rPr>
          <w:rFonts w:ascii="Verdana" w:hAnsi="Verdana"/>
        </w:rPr>
        <w:t xml:space="preserve"> </w:t>
      </w:r>
      <w:r w:rsidR="00934923">
        <w:rPr>
          <w:rFonts w:ascii="Verdana" w:hAnsi="Verdana"/>
        </w:rPr>
        <w:t>level</w:t>
      </w:r>
      <w:proofErr w:type="gramEnd"/>
      <w:r w:rsidR="00934923">
        <w:rPr>
          <w:rFonts w:ascii="Verdana" w:hAnsi="Verdana"/>
        </w:rPr>
        <w:t xml:space="preserve"> </w:t>
      </w:r>
      <w:r w:rsidR="00657F49">
        <w:rPr>
          <w:rFonts w:ascii="Verdana" w:hAnsi="Verdana"/>
        </w:rPr>
        <w:t xml:space="preserve">summary, </w:t>
      </w:r>
      <w:r w:rsidR="00ED16C2" w:rsidRPr="00E701FD">
        <w:rPr>
          <w:rFonts w:ascii="Verdana" w:hAnsi="Verdana"/>
        </w:rPr>
        <w:t xml:space="preserve">the ‘principal’ </w:t>
      </w:r>
      <w:r w:rsidR="006202DF">
        <w:rPr>
          <w:rFonts w:ascii="Verdana" w:hAnsi="Verdana"/>
        </w:rPr>
        <w:t>D</w:t>
      </w:r>
      <w:r w:rsidR="0042754E">
        <w:rPr>
          <w:rFonts w:ascii="Verdana" w:hAnsi="Verdana"/>
        </w:rPr>
        <w:t>istrict</w:t>
      </w:r>
      <w:r w:rsidR="00ED16C2" w:rsidRPr="00E701FD">
        <w:rPr>
          <w:rFonts w:ascii="Verdana" w:hAnsi="Verdana"/>
        </w:rPr>
        <w:t xml:space="preserve"> of service </w:t>
      </w:r>
      <w:r w:rsidR="0011330E">
        <w:rPr>
          <w:rFonts w:ascii="Verdana" w:hAnsi="Verdana"/>
        </w:rPr>
        <w:t xml:space="preserve">is </w:t>
      </w:r>
      <w:r w:rsidR="00657F49">
        <w:rPr>
          <w:rFonts w:ascii="Verdana" w:hAnsi="Verdana"/>
        </w:rPr>
        <w:t xml:space="preserve">used. It is </w:t>
      </w:r>
      <w:r w:rsidR="00ED16C2" w:rsidRPr="00E701FD">
        <w:rPr>
          <w:rFonts w:ascii="Verdana" w:hAnsi="Verdana"/>
        </w:rPr>
        <w:t xml:space="preserve">determined </w:t>
      </w:r>
      <w:r w:rsidR="00ED16C2" w:rsidRPr="00657F49">
        <w:rPr>
          <w:rFonts w:ascii="Verdana" w:hAnsi="Verdana"/>
        </w:rPr>
        <w:t xml:space="preserve">based on the </w:t>
      </w:r>
      <w:r w:rsidR="00ED16C2" w:rsidRPr="007A4834">
        <w:rPr>
          <w:rFonts w:ascii="Verdana" w:hAnsi="Verdana"/>
        </w:rPr>
        <w:t>last event</w:t>
      </w:r>
      <w:r w:rsidR="00ED16C2" w:rsidRPr="00657F49">
        <w:rPr>
          <w:rFonts w:ascii="Verdana" w:hAnsi="Verdana"/>
        </w:rPr>
        <w:t xml:space="preserve"> of a</w:t>
      </w:r>
      <w:r w:rsidR="00657F49" w:rsidRPr="00657F49">
        <w:rPr>
          <w:rFonts w:ascii="Verdana" w:hAnsi="Verdana"/>
        </w:rPr>
        <w:t>n</w:t>
      </w:r>
      <w:r w:rsidR="00ED16C2" w:rsidRPr="00657F49">
        <w:rPr>
          <w:rFonts w:ascii="Verdana" w:hAnsi="Verdana"/>
        </w:rPr>
        <w:t xml:space="preserve"> </w:t>
      </w:r>
      <w:r w:rsidR="00934923" w:rsidRPr="00657F49">
        <w:rPr>
          <w:rFonts w:ascii="Verdana" w:hAnsi="Verdana"/>
        </w:rPr>
        <w:t xml:space="preserve">index </w:t>
      </w:r>
      <w:r w:rsidR="00ED16C2" w:rsidRPr="00657F49">
        <w:rPr>
          <w:rFonts w:ascii="Verdana" w:hAnsi="Verdana"/>
        </w:rPr>
        <w:t>stay</w:t>
      </w:r>
      <w:r w:rsidR="00ED16C2">
        <w:rPr>
          <w:rFonts w:ascii="Verdana" w:hAnsi="Verdana"/>
        </w:rPr>
        <w:t xml:space="preserve"> (see section </w:t>
      </w:r>
      <w:r w:rsidR="00ED16C2">
        <w:rPr>
          <w:rFonts w:ascii="Verdana" w:hAnsi="Verdana"/>
        </w:rPr>
        <w:fldChar w:fldCharType="begin"/>
      </w:r>
      <w:r w:rsidR="00ED16C2">
        <w:rPr>
          <w:rFonts w:ascii="Verdana" w:hAnsi="Verdana"/>
        </w:rPr>
        <w:instrText xml:space="preserve"> REF _Ref457222771 \r \h </w:instrText>
      </w:r>
      <w:r w:rsidR="00ED16C2">
        <w:rPr>
          <w:rFonts w:ascii="Verdana" w:hAnsi="Verdana"/>
        </w:rPr>
      </w:r>
      <w:r w:rsidR="00ED16C2">
        <w:rPr>
          <w:rFonts w:ascii="Verdana" w:hAnsi="Verdana"/>
        </w:rPr>
        <w:fldChar w:fldCharType="separate"/>
      </w:r>
      <w:r w:rsidR="00DA17CE">
        <w:rPr>
          <w:rFonts w:ascii="Verdana" w:hAnsi="Verdana"/>
        </w:rPr>
        <w:t>2.1.2</w:t>
      </w:r>
      <w:r w:rsidR="00ED16C2">
        <w:rPr>
          <w:rFonts w:ascii="Verdana" w:hAnsi="Verdana"/>
        </w:rPr>
        <w:fldChar w:fldCharType="end"/>
      </w:r>
      <w:r w:rsidR="00ED16C2">
        <w:rPr>
          <w:rFonts w:ascii="Verdana" w:hAnsi="Verdana"/>
        </w:rPr>
        <w:t xml:space="preserve"> below</w:t>
      </w:r>
      <w:r w:rsidR="00ED16C2" w:rsidRPr="00E701FD">
        <w:rPr>
          <w:rFonts w:ascii="Verdana" w:hAnsi="Verdana"/>
        </w:rPr>
        <w:t>).</w:t>
      </w:r>
      <w:r w:rsidR="00657F49">
        <w:rPr>
          <w:rFonts w:ascii="Verdana" w:hAnsi="Verdana"/>
        </w:rPr>
        <w:t xml:space="preserve">  </w:t>
      </w:r>
      <w:r w:rsidR="00C51575">
        <w:rPr>
          <w:rFonts w:ascii="Verdana" w:hAnsi="Verdana"/>
        </w:rPr>
        <w:t>T</w:t>
      </w:r>
      <w:r w:rsidR="00254C1E" w:rsidRPr="00535E79">
        <w:rPr>
          <w:rFonts w:ascii="Verdana" w:hAnsi="Verdana"/>
        </w:rPr>
        <w:t xml:space="preserve">able </w:t>
      </w:r>
      <w:r w:rsidR="00C51575">
        <w:rPr>
          <w:rFonts w:ascii="Verdana" w:hAnsi="Verdana"/>
        </w:rPr>
        <w:t xml:space="preserve">1 below </w:t>
      </w:r>
      <w:r w:rsidR="00254C1E" w:rsidRPr="00535E79">
        <w:rPr>
          <w:rFonts w:ascii="Verdana" w:hAnsi="Verdana"/>
        </w:rPr>
        <w:t xml:space="preserve">summarises indicative </w:t>
      </w:r>
      <w:r w:rsidR="006202DF">
        <w:rPr>
          <w:rFonts w:ascii="Verdana" w:hAnsi="Verdana"/>
        </w:rPr>
        <w:t>D</w:t>
      </w:r>
      <w:r w:rsidR="0042754E">
        <w:rPr>
          <w:rFonts w:ascii="Verdana" w:hAnsi="Verdana"/>
        </w:rPr>
        <w:t>istrict</w:t>
      </w:r>
      <w:r w:rsidR="00254C1E" w:rsidRPr="00535E79">
        <w:rPr>
          <w:rFonts w:ascii="Verdana" w:hAnsi="Verdana"/>
        </w:rPr>
        <w:t xml:space="preserve"> </w:t>
      </w:r>
      <w:r w:rsidR="00C51575">
        <w:rPr>
          <w:rFonts w:ascii="Verdana" w:hAnsi="Verdana"/>
        </w:rPr>
        <w:t xml:space="preserve">views </w:t>
      </w:r>
      <w:r w:rsidR="00254C1E" w:rsidRPr="00535E79">
        <w:rPr>
          <w:rFonts w:ascii="Verdana" w:hAnsi="Verdana"/>
        </w:rPr>
        <w:t>for analysis.</w:t>
      </w:r>
    </w:p>
    <w:p w14:paraId="212429AD" w14:textId="53ECDA77" w:rsidR="00254C1E" w:rsidRPr="008F13CC" w:rsidRDefault="00C51575" w:rsidP="00C51575">
      <w:pPr>
        <w:rPr>
          <w:rFonts w:ascii="Verdana" w:hAnsi="Verdana"/>
          <w:b/>
        </w:rPr>
      </w:pPr>
      <w:r>
        <w:rPr>
          <w:rFonts w:ascii="Verdana" w:hAnsi="Verdana"/>
          <w:b/>
        </w:rPr>
        <w:t>Table 1</w:t>
      </w:r>
      <w:r w:rsidR="00254C1E" w:rsidRPr="008F13CC">
        <w:rPr>
          <w:rFonts w:ascii="Verdana" w:hAnsi="Verdana"/>
          <w:b/>
        </w:rPr>
        <w:t xml:space="preserve">: Indicative </w:t>
      </w:r>
      <w:r w:rsidR="006202DF">
        <w:rPr>
          <w:rFonts w:ascii="Verdana" w:hAnsi="Verdana"/>
          <w:b/>
        </w:rPr>
        <w:t>D</w:t>
      </w:r>
      <w:r w:rsidR="0042754E">
        <w:rPr>
          <w:rFonts w:ascii="Verdana" w:hAnsi="Verdana"/>
          <w:b/>
        </w:rPr>
        <w:t>istrict</w:t>
      </w:r>
      <w:r w:rsidR="00254C1E" w:rsidRPr="008F13CC">
        <w:rPr>
          <w:rFonts w:ascii="Verdana" w:hAnsi="Verdana"/>
          <w:b/>
        </w:rPr>
        <w:t xml:space="preserve"> </w:t>
      </w:r>
      <w:r>
        <w:rPr>
          <w:rFonts w:ascii="Verdana" w:hAnsi="Verdana"/>
          <w:b/>
        </w:rPr>
        <w:t xml:space="preserve">views </w:t>
      </w:r>
      <w:r w:rsidR="00254C1E" w:rsidRPr="008F13CC">
        <w:rPr>
          <w:rFonts w:ascii="Verdana" w:hAnsi="Verdana"/>
          <w:b/>
        </w:rPr>
        <w:t>for index and readmission stay</w:t>
      </w:r>
      <w:r w:rsidR="001C4D62">
        <w:rPr>
          <w:rFonts w:ascii="Verdana" w:hAnsi="Verdana"/>
          <w:b/>
        </w:rPr>
        <w:t xml:space="preserve"> (in the summarised report)</w:t>
      </w:r>
    </w:p>
    <w:tbl>
      <w:tblPr>
        <w:tblW w:w="9698" w:type="dxa"/>
        <w:tblInd w:w="-5" w:type="dxa"/>
        <w:tblLook w:val="04A0" w:firstRow="1" w:lastRow="0" w:firstColumn="1" w:lastColumn="0" w:noHBand="0" w:noVBand="1"/>
      </w:tblPr>
      <w:tblGrid>
        <w:gridCol w:w="2268"/>
        <w:gridCol w:w="3686"/>
        <w:gridCol w:w="3744"/>
      </w:tblGrid>
      <w:tr w:rsidR="00254C1E" w:rsidRPr="00302A7D" w14:paraId="58F69E13" w14:textId="77777777" w:rsidTr="000F4275">
        <w:trPr>
          <w:trHeight w:val="300"/>
        </w:trPr>
        <w:tc>
          <w:tcPr>
            <w:tcW w:w="2268" w:type="dxa"/>
            <w:tcBorders>
              <w:top w:val="single" w:sz="4" w:space="0" w:color="auto"/>
              <w:left w:val="single" w:sz="4" w:space="0" w:color="auto"/>
              <w:bottom w:val="single" w:sz="4" w:space="0" w:color="auto"/>
              <w:right w:val="nil"/>
            </w:tcBorders>
            <w:shd w:val="clear" w:color="auto" w:fill="9CC2E5"/>
            <w:noWrap/>
            <w:vAlign w:val="bottom"/>
            <w:hideMark/>
          </w:tcPr>
          <w:p w14:paraId="035F9703" w14:textId="501E9084" w:rsidR="00254C1E" w:rsidRPr="00302A7D" w:rsidRDefault="00254C1E" w:rsidP="00ED3EE6">
            <w:pPr>
              <w:spacing w:before="0" w:line="240" w:lineRule="auto"/>
              <w:jc w:val="center"/>
              <w:rPr>
                <w:rFonts w:ascii="Verdana" w:eastAsia="PMingLiU" w:hAnsi="Verdana" w:cs="Times New Roman"/>
                <w:b/>
                <w:bCs/>
                <w:szCs w:val="20"/>
                <w:lang w:eastAsia="zh-TW"/>
              </w:rPr>
            </w:pPr>
            <w:r w:rsidRPr="00302A7D">
              <w:rPr>
                <w:rFonts w:ascii="Verdana" w:eastAsia="PMingLiU" w:hAnsi="Verdana" w:cs="Times New Roman"/>
                <w:b/>
                <w:bCs/>
                <w:szCs w:val="20"/>
                <w:lang w:eastAsia="zh-TW"/>
              </w:rPr>
              <w:t xml:space="preserve">Readmission measure </w:t>
            </w:r>
            <w:r w:rsidR="00ED3EE6">
              <w:rPr>
                <w:rFonts w:ascii="Verdana" w:eastAsia="PMingLiU" w:hAnsi="Verdana" w:cs="Times New Roman"/>
                <w:b/>
                <w:bCs/>
                <w:szCs w:val="20"/>
                <w:lang w:eastAsia="zh-TW"/>
              </w:rPr>
              <w:t>interval</w:t>
            </w:r>
          </w:p>
        </w:tc>
        <w:tc>
          <w:tcPr>
            <w:tcW w:w="3686" w:type="dxa"/>
            <w:tcBorders>
              <w:top w:val="single" w:sz="4" w:space="0" w:color="auto"/>
              <w:left w:val="single" w:sz="4" w:space="0" w:color="auto"/>
              <w:bottom w:val="single" w:sz="4" w:space="0" w:color="auto"/>
              <w:right w:val="single" w:sz="4" w:space="0" w:color="auto"/>
            </w:tcBorders>
            <w:shd w:val="clear" w:color="auto" w:fill="9CC2E5"/>
            <w:noWrap/>
            <w:vAlign w:val="bottom"/>
            <w:hideMark/>
          </w:tcPr>
          <w:p w14:paraId="0530F44F" w14:textId="77777777" w:rsidR="00254C1E" w:rsidRPr="00302A7D" w:rsidRDefault="00254C1E" w:rsidP="00C51575">
            <w:pPr>
              <w:spacing w:before="0" w:line="240" w:lineRule="auto"/>
              <w:jc w:val="center"/>
              <w:rPr>
                <w:rFonts w:ascii="Verdana" w:eastAsia="PMingLiU" w:hAnsi="Verdana" w:cs="Times New Roman"/>
                <w:b/>
                <w:bCs/>
                <w:szCs w:val="20"/>
                <w:lang w:eastAsia="zh-TW"/>
              </w:rPr>
            </w:pPr>
            <w:r w:rsidRPr="00302A7D">
              <w:rPr>
                <w:rFonts w:ascii="Verdana" w:eastAsia="PMingLiU" w:hAnsi="Verdana" w:cs="Times New Roman"/>
                <w:b/>
                <w:bCs/>
                <w:szCs w:val="20"/>
                <w:lang w:eastAsia="zh-TW"/>
              </w:rPr>
              <w:t>Index stay</w:t>
            </w:r>
          </w:p>
        </w:tc>
        <w:tc>
          <w:tcPr>
            <w:tcW w:w="3744" w:type="dxa"/>
            <w:tcBorders>
              <w:top w:val="single" w:sz="4" w:space="0" w:color="auto"/>
              <w:left w:val="nil"/>
              <w:bottom w:val="single" w:sz="4" w:space="0" w:color="auto"/>
              <w:right w:val="single" w:sz="4" w:space="0" w:color="auto"/>
            </w:tcBorders>
            <w:shd w:val="clear" w:color="auto" w:fill="9CC2E5"/>
            <w:noWrap/>
            <w:vAlign w:val="bottom"/>
            <w:hideMark/>
          </w:tcPr>
          <w:p w14:paraId="4219203D" w14:textId="77777777" w:rsidR="00254C1E" w:rsidRPr="00302A7D" w:rsidRDefault="00254C1E" w:rsidP="00C51575">
            <w:pPr>
              <w:spacing w:before="0" w:line="240" w:lineRule="auto"/>
              <w:jc w:val="center"/>
              <w:rPr>
                <w:rFonts w:ascii="Verdana" w:eastAsia="PMingLiU" w:hAnsi="Verdana" w:cs="Times New Roman"/>
                <w:b/>
                <w:bCs/>
                <w:szCs w:val="20"/>
                <w:lang w:eastAsia="zh-TW"/>
              </w:rPr>
            </w:pPr>
            <w:r w:rsidRPr="00302A7D">
              <w:rPr>
                <w:rFonts w:ascii="Verdana" w:eastAsia="PMingLiU" w:hAnsi="Verdana" w:cs="Times New Roman"/>
                <w:b/>
                <w:bCs/>
                <w:szCs w:val="20"/>
                <w:lang w:eastAsia="zh-TW"/>
              </w:rPr>
              <w:t>Readmission stay</w:t>
            </w:r>
          </w:p>
        </w:tc>
      </w:tr>
      <w:tr w:rsidR="001347DD" w:rsidRPr="00302A7D" w14:paraId="7DEFCA47" w14:textId="77777777" w:rsidTr="000F4275">
        <w:trPr>
          <w:trHeight w:val="300"/>
        </w:trPr>
        <w:tc>
          <w:tcPr>
            <w:tcW w:w="2268" w:type="dxa"/>
            <w:tcBorders>
              <w:top w:val="single" w:sz="4" w:space="0" w:color="auto"/>
              <w:left w:val="single" w:sz="4" w:space="0" w:color="auto"/>
              <w:bottom w:val="nil"/>
              <w:right w:val="nil"/>
            </w:tcBorders>
            <w:shd w:val="clear" w:color="auto" w:fill="FFFFFF"/>
            <w:noWrap/>
            <w:vAlign w:val="bottom"/>
          </w:tcPr>
          <w:p w14:paraId="6737F34E" w14:textId="77777777" w:rsidR="001347DD" w:rsidRDefault="001347DD" w:rsidP="008A2FC4">
            <w:pPr>
              <w:spacing w:before="0" w:line="240" w:lineRule="auto"/>
              <w:rPr>
                <w:rFonts w:ascii="Verdana" w:eastAsia="PMingLiU" w:hAnsi="Verdana" w:cs="Times New Roman"/>
                <w:b/>
                <w:color w:val="000000"/>
                <w:szCs w:val="20"/>
                <w:lang w:eastAsia="zh-TW"/>
              </w:rPr>
            </w:pPr>
            <w:r>
              <w:rPr>
                <w:rFonts w:ascii="Verdana" w:eastAsia="PMingLiU" w:hAnsi="Verdana" w:cs="Times New Roman"/>
                <w:b/>
                <w:color w:val="000000"/>
                <w:szCs w:val="20"/>
                <w:lang w:eastAsia="zh-TW"/>
              </w:rPr>
              <w:t>0-28 days</w:t>
            </w:r>
          </w:p>
        </w:tc>
        <w:tc>
          <w:tcPr>
            <w:tcW w:w="3686" w:type="dxa"/>
            <w:tcBorders>
              <w:top w:val="single" w:sz="4" w:space="0" w:color="auto"/>
              <w:left w:val="single" w:sz="4" w:space="0" w:color="auto"/>
              <w:bottom w:val="nil"/>
              <w:right w:val="single" w:sz="4" w:space="0" w:color="auto"/>
            </w:tcBorders>
            <w:shd w:val="clear" w:color="auto" w:fill="FFFFFF"/>
            <w:noWrap/>
            <w:vAlign w:val="bottom"/>
          </w:tcPr>
          <w:p w14:paraId="687DE70D" w14:textId="4085FB12" w:rsidR="001347DD" w:rsidRDefault="006202DF" w:rsidP="008A2FC4">
            <w:pPr>
              <w:spacing w:before="0" w:line="240" w:lineRule="auto"/>
              <w:jc w:val="center"/>
              <w:rPr>
                <w:rFonts w:ascii="Verdana" w:eastAsia="PMingLiU" w:hAnsi="Verdana" w:cs="Times New Roman"/>
                <w:color w:val="000000"/>
                <w:szCs w:val="20"/>
                <w:lang w:eastAsia="zh-TW"/>
              </w:rPr>
            </w:pPr>
            <w:r>
              <w:rPr>
                <w:rFonts w:ascii="Verdana" w:eastAsia="PMingLiU" w:hAnsi="Verdana" w:cs="Times New Roman"/>
                <w:color w:val="000000"/>
                <w:szCs w:val="20"/>
                <w:lang w:eastAsia="zh-TW"/>
              </w:rPr>
              <w:t>D</w:t>
            </w:r>
            <w:r w:rsidR="0042754E">
              <w:rPr>
                <w:rFonts w:ascii="Verdana" w:eastAsia="PMingLiU" w:hAnsi="Verdana" w:cs="Times New Roman"/>
                <w:color w:val="000000"/>
                <w:szCs w:val="20"/>
                <w:lang w:eastAsia="zh-TW"/>
              </w:rPr>
              <w:t>istrict</w:t>
            </w:r>
            <w:r w:rsidR="001347DD">
              <w:rPr>
                <w:rFonts w:ascii="Verdana" w:eastAsia="PMingLiU" w:hAnsi="Verdana" w:cs="Times New Roman"/>
                <w:color w:val="000000"/>
                <w:szCs w:val="20"/>
                <w:lang w:eastAsia="zh-TW"/>
              </w:rPr>
              <w:t xml:space="preserve"> of Service</w:t>
            </w:r>
          </w:p>
        </w:tc>
        <w:tc>
          <w:tcPr>
            <w:tcW w:w="3744" w:type="dxa"/>
            <w:tcBorders>
              <w:top w:val="single" w:sz="4" w:space="0" w:color="auto"/>
              <w:left w:val="single" w:sz="4" w:space="0" w:color="auto"/>
              <w:bottom w:val="nil"/>
              <w:right w:val="single" w:sz="4" w:space="0" w:color="auto"/>
            </w:tcBorders>
            <w:shd w:val="clear" w:color="auto" w:fill="FFFFFF"/>
            <w:noWrap/>
            <w:vAlign w:val="bottom"/>
          </w:tcPr>
          <w:p w14:paraId="4115D742" w14:textId="6EFDB455" w:rsidR="001347DD" w:rsidRDefault="006202DF" w:rsidP="008A2FC4">
            <w:pPr>
              <w:spacing w:before="0" w:line="240" w:lineRule="auto"/>
              <w:jc w:val="center"/>
              <w:rPr>
                <w:rFonts w:ascii="Verdana" w:eastAsia="PMingLiU" w:hAnsi="Verdana" w:cs="Times New Roman"/>
                <w:color w:val="000000"/>
                <w:szCs w:val="20"/>
                <w:lang w:eastAsia="zh-TW"/>
              </w:rPr>
            </w:pPr>
            <w:r>
              <w:rPr>
                <w:rFonts w:ascii="Verdana" w:eastAsia="PMingLiU" w:hAnsi="Verdana" w:cs="Times New Roman"/>
                <w:color w:val="000000"/>
                <w:szCs w:val="20"/>
                <w:lang w:eastAsia="zh-TW"/>
              </w:rPr>
              <w:t>D</w:t>
            </w:r>
            <w:r w:rsidR="0042754E">
              <w:rPr>
                <w:rFonts w:ascii="Verdana" w:eastAsia="PMingLiU" w:hAnsi="Verdana" w:cs="Times New Roman"/>
                <w:color w:val="000000"/>
                <w:szCs w:val="20"/>
                <w:lang w:eastAsia="zh-TW"/>
              </w:rPr>
              <w:t>istrict</w:t>
            </w:r>
            <w:r w:rsidR="001347DD">
              <w:rPr>
                <w:rFonts w:ascii="Verdana" w:eastAsia="PMingLiU" w:hAnsi="Verdana" w:cs="Times New Roman"/>
                <w:color w:val="000000"/>
                <w:szCs w:val="20"/>
                <w:lang w:eastAsia="zh-TW"/>
              </w:rPr>
              <w:t xml:space="preserve"> of Service</w:t>
            </w:r>
          </w:p>
        </w:tc>
      </w:tr>
      <w:tr w:rsidR="00254C1E" w:rsidRPr="00302A7D" w14:paraId="41DE2411" w14:textId="77777777" w:rsidTr="0090380F">
        <w:trPr>
          <w:trHeight w:val="300"/>
        </w:trPr>
        <w:tc>
          <w:tcPr>
            <w:tcW w:w="2268" w:type="dxa"/>
            <w:tcBorders>
              <w:top w:val="single" w:sz="4" w:space="0" w:color="auto"/>
              <w:left w:val="single" w:sz="4" w:space="0" w:color="auto"/>
              <w:bottom w:val="nil"/>
              <w:right w:val="nil"/>
            </w:tcBorders>
            <w:shd w:val="clear" w:color="auto" w:fill="FFFFFF"/>
            <w:noWrap/>
            <w:vAlign w:val="bottom"/>
            <w:hideMark/>
          </w:tcPr>
          <w:p w14:paraId="081B178C" w14:textId="72725EBE" w:rsidR="00254C1E" w:rsidRPr="00302A7D" w:rsidRDefault="00583E7E" w:rsidP="00C51575">
            <w:pPr>
              <w:spacing w:before="0" w:line="240" w:lineRule="auto"/>
              <w:rPr>
                <w:rFonts w:ascii="Verdana" w:eastAsia="PMingLiU" w:hAnsi="Verdana" w:cs="Times New Roman"/>
                <w:b/>
                <w:color w:val="000000"/>
                <w:szCs w:val="20"/>
                <w:lang w:eastAsia="zh-TW"/>
              </w:rPr>
            </w:pPr>
            <w:r>
              <w:rPr>
                <w:rFonts w:ascii="Verdana" w:eastAsia="PMingLiU" w:hAnsi="Verdana" w:cs="Times New Roman"/>
                <w:b/>
                <w:color w:val="000000"/>
                <w:szCs w:val="20"/>
                <w:lang w:eastAsia="zh-TW"/>
              </w:rPr>
              <w:t>0-</w:t>
            </w:r>
            <w:r w:rsidR="00254C1E" w:rsidRPr="00302A7D">
              <w:rPr>
                <w:rFonts w:ascii="Verdana" w:eastAsia="PMingLiU" w:hAnsi="Verdana" w:cs="Times New Roman"/>
                <w:b/>
                <w:color w:val="000000"/>
                <w:szCs w:val="20"/>
                <w:lang w:eastAsia="zh-TW"/>
              </w:rPr>
              <w:t>3 days</w:t>
            </w:r>
          </w:p>
        </w:tc>
        <w:tc>
          <w:tcPr>
            <w:tcW w:w="3686" w:type="dxa"/>
            <w:tcBorders>
              <w:top w:val="single" w:sz="4" w:space="0" w:color="auto"/>
              <w:left w:val="single" w:sz="4" w:space="0" w:color="auto"/>
              <w:bottom w:val="nil"/>
              <w:right w:val="single" w:sz="4" w:space="0" w:color="auto"/>
            </w:tcBorders>
            <w:shd w:val="clear" w:color="auto" w:fill="FFFFFF"/>
            <w:noWrap/>
            <w:vAlign w:val="bottom"/>
            <w:hideMark/>
          </w:tcPr>
          <w:p w14:paraId="126304C5" w14:textId="15FC1612" w:rsidR="00254C1E" w:rsidRPr="00302A7D" w:rsidRDefault="006202DF" w:rsidP="00C51575">
            <w:pPr>
              <w:spacing w:before="0" w:line="240" w:lineRule="auto"/>
              <w:jc w:val="center"/>
              <w:rPr>
                <w:rFonts w:ascii="Verdana" w:eastAsia="PMingLiU" w:hAnsi="Verdana" w:cs="Times New Roman"/>
                <w:color w:val="000000"/>
                <w:szCs w:val="20"/>
                <w:lang w:eastAsia="zh-TW"/>
              </w:rPr>
            </w:pPr>
            <w:r>
              <w:rPr>
                <w:rFonts w:ascii="Verdana" w:eastAsia="PMingLiU" w:hAnsi="Verdana" w:cs="Times New Roman"/>
                <w:color w:val="000000"/>
                <w:szCs w:val="20"/>
                <w:lang w:eastAsia="zh-TW"/>
              </w:rPr>
              <w:t>D</w:t>
            </w:r>
            <w:r w:rsidR="0042754E">
              <w:rPr>
                <w:rFonts w:ascii="Verdana" w:eastAsia="PMingLiU" w:hAnsi="Verdana" w:cs="Times New Roman"/>
                <w:color w:val="000000"/>
                <w:szCs w:val="20"/>
                <w:lang w:eastAsia="zh-TW"/>
              </w:rPr>
              <w:t>istrict</w:t>
            </w:r>
            <w:r w:rsidR="00254C1E" w:rsidRPr="00302A7D">
              <w:rPr>
                <w:rFonts w:ascii="Verdana" w:eastAsia="PMingLiU" w:hAnsi="Verdana" w:cs="Times New Roman"/>
                <w:color w:val="000000"/>
                <w:szCs w:val="20"/>
                <w:lang w:eastAsia="zh-TW"/>
              </w:rPr>
              <w:t xml:space="preserve"> of Service </w:t>
            </w:r>
          </w:p>
        </w:tc>
        <w:tc>
          <w:tcPr>
            <w:tcW w:w="3744" w:type="dxa"/>
            <w:tcBorders>
              <w:top w:val="single" w:sz="4" w:space="0" w:color="auto"/>
              <w:left w:val="single" w:sz="4" w:space="0" w:color="auto"/>
              <w:bottom w:val="nil"/>
              <w:right w:val="single" w:sz="4" w:space="0" w:color="auto"/>
            </w:tcBorders>
            <w:shd w:val="clear" w:color="auto" w:fill="FFFFFF"/>
            <w:noWrap/>
            <w:vAlign w:val="bottom"/>
            <w:hideMark/>
          </w:tcPr>
          <w:p w14:paraId="7BBAA1CD" w14:textId="02E76751" w:rsidR="00254C1E" w:rsidRPr="00302A7D" w:rsidRDefault="006202DF" w:rsidP="00C51575">
            <w:pPr>
              <w:spacing w:before="0" w:line="240" w:lineRule="auto"/>
              <w:jc w:val="center"/>
              <w:rPr>
                <w:rFonts w:ascii="Verdana" w:eastAsia="PMingLiU" w:hAnsi="Verdana" w:cs="Times New Roman"/>
                <w:color w:val="000000"/>
                <w:szCs w:val="20"/>
                <w:lang w:eastAsia="zh-TW"/>
              </w:rPr>
            </w:pPr>
            <w:r>
              <w:rPr>
                <w:rFonts w:ascii="Verdana" w:eastAsia="PMingLiU" w:hAnsi="Verdana" w:cs="Times New Roman"/>
                <w:color w:val="000000"/>
                <w:szCs w:val="20"/>
                <w:lang w:eastAsia="zh-TW"/>
              </w:rPr>
              <w:t>D</w:t>
            </w:r>
            <w:r w:rsidR="0042754E">
              <w:rPr>
                <w:rFonts w:ascii="Verdana" w:eastAsia="PMingLiU" w:hAnsi="Verdana" w:cs="Times New Roman"/>
                <w:color w:val="000000"/>
                <w:szCs w:val="20"/>
                <w:lang w:eastAsia="zh-TW"/>
              </w:rPr>
              <w:t>istrict</w:t>
            </w:r>
            <w:r w:rsidR="00254C1E" w:rsidRPr="00302A7D">
              <w:rPr>
                <w:rFonts w:ascii="Verdana" w:eastAsia="PMingLiU" w:hAnsi="Verdana" w:cs="Times New Roman"/>
                <w:color w:val="000000"/>
                <w:szCs w:val="20"/>
                <w:lang w:eastAsia="zh-TW"/>
              </w:rPr>
              <w:t xml:space="preserve"> of Service</w:t>
            </w:r>
          </w:p>
        </w:tc>
      </w:tr>
      <w:tr w:rsidR="00254C1E" w:rsidRPr="00302A7D" w14:paraId="7CD11F39" w14:textId="77777777" w:rsidTr="0090380F">
        <w:trPr>
          <w:trHeight w:val="300"/>
        </w:trPr>
        <w:tc>
          <w:tcPr>
            <w:tcW w:w="2268" w:type="dxa"/>
            <w:tcBorders>
              <w:top w:val="single" w:sz="4" w:space="0" w:color="95B3D7"/>
              <w:left w:val="single" w:sz="4" w:space="0" w:color="auto"/>
              <w:bottom w:val="nil"/>
              <w:right w:val="nil"/>
            </w:tcBorders>
            <w:shd w:val="clear" w:color="auto" w:fill="FFFFFF"/>
            <w:noWrap/>
            <w:vAlign w:val="bottom"/>
            <w:hideMark/>
          </w:tcPr>
          <w:p w14:paraId="021A7DEA" w14:textId="28A9A05A" w:rsidR="00254C1E" w:rsidRPr="00302A7D" w:rsidRDefault="00583E7E" w:rsidP="00C51575">
            <w:pPr>
              <w:spacing w:before="0" w:line="240" w:lineRule="auto"/>
              <w:rPr>
                <w:rFonts w:ascii="Verdana" w:eastAsia="PMingLiU" w:hAnsi="Verdana" w:cs="Times New Roman"/>
                <w:b/>
                <w:color w:val="000000"/>
                <w:szCs w:val="20"/>
                <w:lang w:eastAsia="zh-TW"/>
              </w:rPr>
            </w:pPr>
            <w:r>
              <w:rPr>
                <w:rFonts w:ascii="Verdana" w:eastAsia="PMingLiU" w:hAnsi="Verdana" w:cs="Times New Roman"/>
                <w:b/>
                <w:color w:val="000000"/>
                <w:szCs w:val="20"/>
                <w:lang w:eastAsia="zh-TW"/>
              </w:rPr>
              <w:t>4-</w:t>
            </w:r>
            <w:r w:rsidR="00254C1E" w:rsidRPr="00302A7D">
              <w:rPr>
                <w:rFonts w:ascii="Verdana" w:eastAsia="PMingLiU" w:hAnsi="Verdana" w:cs="Times New Roman"/>
                <w:b/>
                <w:color w:val="000000"/>
                <w:szCs w:val="20"/>
                <w:lang w:eastAsia="zh-TW"/>
              </w:rPr>
              <w:t>7 days</w:t>
            </w:r>
          </w:p>
        </w:tc>
        <w:tc>
          <w:tcPr>
            <w:tcW w:w="3686" w:type="dxa"/>
            <w:tcBorders>
              <w:top w:val="single" w:sz="4" w:space="0" w:color="95B3D7"/>
              <w:left w:val="single" w:sz="4" w:space="0" w:color="auto"/>
              <w:bottom w:val="nil"/>
              <w:right w:val="single" w:sz="4" w:space="0" w:color="auto"/>
            </w:tcBorders>
            <w:shd w:val="clear" w:color="auto" w:fill="FFFFFF"/>
            <w:noWrap/>
            <w:vAlign w:val="bottom"/>
            <w:hideMark/>
          </w:tcPr>
          <w:p w14:paraId="4D5D3666" w14:textId="02733970" w:rsidR="00254C1E" w:rsidRPr="00302A7D" w:rsidRDefault="006202DF" w:rsidP="00C51575">
            <w:pPr>
              <w:spacing w:before="0" w:line="240" w:lineRule="auto"/>
              <w:jc w:val="center"/>
              <w:rPr>
                <w:rFonts w:ascii="Verdana" w:eastAsia="PMingLiU" w:hAnsi="Verdana" w:cs="Times New Roman"/>
                <w:color w:val="000000"/>
                <w:szCs w:val="20"/>
                <w:lang w:eastAsia="zh-TW"/>
              </w:rPr>
            </w:pPr>
            <w:r>
              <w:rPr>
                <w:rFonts w:ascii="Verdana" w:eastAsia="PMingLiU" w:hAnsi="Verdana" w:cs="Times New Roman"/>
                <w:color w:val="000000"/>
                <w:szCs w:val="20"/>
                <w:lang w:eastAsia="zh-TW"/>
              </w:rPr>
              <w:t>D</w:t>
            </w:r>
            <w:r w:rsidR="0042754E">
              <w:rPr>
                <w:rFonts w:ascii="Verdana" w:eastAsia="PMingLiU" w:hAnsi="Verdana" w:cs="Times New Roman"/>
                <w:color w:val="000000"/>
                <w:szCs w:val="20"/>
                <w:lang w:eastAsia="zh-TW"/>
              </w:rPr>
              <w:t>istrict</w:t>
            </w:r>
            <w:r w:rsidR="00254C1E" w:rsidRPr="00302A7D">
              <w:rPr>
                <w:rFonts w:ascii="Verdana" w:eastAsia="PMingLiU" w:hAnsi="Verdana" w:cs="Times New Roman"/>
                <w:color w:val="000000"/>
                <w:szCs w:val="20"/>
                <w:lang w:eastAsia="zh-TW"/>
              </w:rPr>
              <w:t xml:space="preserve"> of Service</w:t>
            </w:r>
          </w:p>
        </w:tc>
        <w:tc>
          <w:tcPr>
            <w:tcW w:w="3744" w:type="dxa"/>
            <w:tcBorders>
              <w:top w:val="single" w:sz="4" w:space="0" w:color="95B3D7"/>
              <w:left w:val="single" w:sz="4" w:space="0" w:color="auto"/>
              <w:bottom w:val="nil"/>
              <w:right w:val="single" w:sz="4" w:space="0" w:color="auto"/>
            </w:tcBorders>
            <w:shd w:val="clear" w:color="auto" w:fill="FFFFFF"/>
            <w:noWrap/>
            <w:vAlign w:val="bottom"/>
            <w:hideMark/>
          </w:tcPr>
          <w:p w14:paraId="0BFCD056" w14:textId="196F3B35" w:rsidR="00254C1E" w:rsidRPr="00302A7D" w:rsidRDefault="006202DF" w:rsidP="00C51575">
            <w:pPr>
              <w:spacing w:before="0" w:line="240" w:lineRule="auto"/>
              <w:jc w:val="center"/>
              <w:rPr>
                <w:rFonts w:ascii="Verdana" w:eastAsia="PMingLiU" w:hAnsi="Verdana" w:cs="Times New Roman"/>
                <w:color w:val="000000"/>
                <w:szCs w:val="20"/>
                <w:lang w:eastAsia="zh-TW"/>
              </w:rPr>
            </w:pPr>
            <w:r>
              <w:rPr>
                <w:rFonts w:ascii="Verdana" w:eastAsia="PMingLiU" w:hAnsi="Verdana" w:cs="Times New Roman"/>
                <w:color w:val="000000"/>
                <w:szCs w:val="20"/>
                <w:lang w:eastAsia="zh-TW"/>
              </w:rPr>
              <w:t>D</w:t>
            </w:r>
            <w:r w:rsidR="0042754E">
              <w:rPr>
                <w:rFonts w:ascii="Verdana" w:eastAsia="PMingLiU" w:hAnsi="Verdana" w:cs="Times New Roman"/>
                <w:color w:val="000000"/>
                <w:szCs w:val="20"/>
                <w:lang w:eastAsia="zh-TW"/>
              </w:rPr>
              <w:t>istrict</w:t>
            </w:r>
            <w:r w:rsidR="00254C1E" w:rsidRPr="00302A7D">
              <w:rPr>
                <w:rFonts w:ascii="Verdana" w:eastAsia="PMingLiU" w:hAnsi="Verdana" w:cs="Times New Roman"/>
                <w:color w:val="000000"/>
                <w:szCs w:val="20"/>
                <w:lang w:eastAsia="zh-TW"/>
              </w:rPr>
              <w:t xml:space="preserve"> of Service</w:t>
            </w:r>
          </w:p>
        </w:tc>
      </w:tr>
      <w:tr w:rsidR="00254C1E" w:rsidRPr="00302A7D" w14:paraId="666485AB" w14:textId="77777777" w:rsidTr="0090380F">
        <w:trPr>
          <w:trHeight w:val="300"/>
        </w:trPr>
        <w:tc>
          <w:tcPr>
            <w:tcW w:w="2268" w:type="dxa"/>
            <w:tcBorders>
              <w:top w:val="single" w:sz="4" w:space="0" w:color="95B3D7"/>
              <w:left w:val="single" w:sz="4" w:space="0" w:color="auto"/>
              <w:bottom w:val="nil"/>
              <w:right w:val="nil"/>
            </w:tcBorders>
            <w:shd w:val="clear" w:color="auto" w:fill="FFFFFF"/>
            <w:noWrap/>
            <w:vAlign w:val="bottom"/>
            <w:hideMark/>
          </w:tcPr>
          <w:p w14:paraId="7DA7BF72" w14:textId="0E7963F5" w:rsidR="00254C1E" w:rsidRPr="00302A7D" w:rsidRDefault="00583E7E" w:rsidP="00C51575">
            <w:pPr>
              <w:spacing w:before="0" w:line="240" w:lineRule="auto"/>
              <w:rPr>
                <w:rFonts w:ascii="Verdana" w:eastAsia="PMingLiU" w:hAnsi="Verdana" w:cs="Times New Roman"/>
                <w:b/>
                <w:color w:val="000000"/>
                <w:szCs w:val="20"/>
                <w:lang w:eastAsia="zh-TW"/>
              </w:rPr>
            </w:pPr>
            <w:r>
              <w:rPr>
                <w:rFonts w:ascii="Verdana" w:eastAsia="PMingLiU" w:hAnsi="Verdana" w:cs="Times New Roman"/>
                <w:b/>
                <w:color w:val="000000"/>
                <w:szCs w:val="20"/>
                <w:lang w:eastAsia="zh-TW"/>
              </w:rPr>
              <w:t>8-</w:t>
            </w:r>
            <w:r w:rsidR="00254C1E" w:rsidRPr="00302A7D">
              <w:rPr>
                <w:rFonts w:ascii="Verdana" w:eastAsia="PMingLiU" w:hAnsi="Verdana" w:cs="Times New Roman"/>
                <w:b/>
                <w:color w:val="000000"/>
                <w:szCs w:val="20"/>
                <w:lang w:eastAsia="zh-TW"/>
              </w:rPr>
              <w:t>28 days</w:t>
            </w:r>
          </w:p>
        </w:tc>
        <w:tc>
          <w:tcPr>
            <w:tcW w:w="3686" w:type="dxa"/>
            <w:tcBorders>
              <w:top w:val="single" w:sz="4" w:space="0" w:color="95B3D7"/>
              <w:left w:val="single" w:sz="4" w:space="0" w:color="auto"/>
              <w:bottom w:val="nil"/>
              <w:right w:val="single" w:sz="4" w:space="0" w:color="auto"/>
            </w:tcBorders>
            <w:shd w:val="clear" w:color="auto" w:fill="FFFFFF"/>
            <w:noWrap/>
            <w:vAlign w:val="bottom"/>
            <w:hideMark/>
          </w:tcPr>
          <w:p w14:paraId="27686E6E" w14:textId="5B3F2F99" w:rsidR="00254C1E" w:rsidRPr="00302A7D" w:rsidRDefault="006202DF" w:rsidP="00C51575">
            <w:pPr>
              <w:spacing w:before="0" w:line="240" w:lineRule="auto"/>
              <w:jc w:val="center"/>
              <w:rPr>
                <w:rFonts w:ascii="Verdana" w:eastAsia="PMingLiU" w:hAnsi="Verdana" w:cs="Times New Roman"/>
                <w:color w:val="000000"/>
                <w:szCs w:val="20"/>
                <w:lang w:eastAsia="zh-TW"/>
              </w:rPr>
            </w:pPr>
            <w:r>
              <w:rPr>
                <w:rFonts w:ascii="Verdana" w:eastAsia="PMingLiU" w:hAnsi="Verdana" w:cs="Times New Roman"/>
                <w:color w:val="000000"/>
                <w:szCs w:val="20"/>
                <w:lang w:eastAsia="zh-TW"/>
              </w:rPr>
              <w:t>D</w:t>
            </w:r>
            <w:r w:rsidR="0042754E">
              <w:rPr>
                <w:rFonts w:ascii="Verdana" w:eastAsia="PMingLiU" w:hAnsi="Verdana" w:cs="Times New Roman"/>
                <w:color w:val="000000"/>
                <w:szCs w:val="20"/>
                <w:lang w:eastAsia="zh-TW"/>
              </w:rPr>
              <w:t>istrict</w:t>
            </w:r>
            <w:r w:rsidR="001C4D62">
              <w:rPr>
                <w:rFonts w:ascii="Verdana" w:eastAsia="PMingLiU" w:hAnsi="Verdana" w:cs="Times New Roman"/>
                <w:color w:val="000000"/>
                <w:szCs w:val="20"/>
                <w:lang w:eastAsia="zh-TW"/>
              </w:rPr>
              <w:t xml:space="preserve"> of Service</w:t>
            </w:r>
          </w:p>
        </w:tc>
        <w:tc>
          <w:tcPr>
            <w:tcW w:w="3744" w:type="dxa"/>
            <w:tcBorders>
              <w:top w:val="single" w:sz="4" w:space="0" w:color="95B3D7"/>
              <w:left w:val="single" w:sz="4" w:space="0" w:color="auto"/>
              <w:bottom w:val="nil"/>
              <w:right w:val="single" w:sz="4" w:space="0" w:color="auto"/>
            </w:tcBorders>
            <w:shd w:val="clear" w:color="auto" w:fill="FFFFFF"/>
            <w:noWrap/>
            <w:vAlign w:val="bottom"/>
            <w:hideMark/>
          </w:tcPr>
          <w:p w14:paraId="6C6128BB" w14:textId="2211E083" w:rsidR="00254C1E" w:rsidRPr="00302A7D" w:rsidRDefault="006202DF" w:rsidP="00C51575">
            <w:pPr>
              <w:spacing w:before="0" w:line="240" w:lineRule="auto"/>
              <w:jc w:val="center"/>
              <w:rPr>
                <w:rFonts w:ascii="Verdana" w:eastAsia="PMingLiU" w:hAnsi="Verdana" w:cs="Times New Roman"/>
                <w:color w:val="000000"/>
                <w:szCs w:val="20"/>
                <w:lang w:eastAsia="zh-TW"/>
              </w:rPr>
            </w:pPr>
            <w:r>
              <w:rPr>
                <w:rFonts w:ascii="Verdana" w:eastAsia="PMingLiU" w:hAnsi="Verdana" w:cs="Times New Roman"/>
                <w:color w:val="000000"/>
                <w:szCs w:val="20"/>
                <w:lang w:eastAsia="zh-TW"/>
              </w:rPr>
              <w:t>D</w:t>
            </w:r>
            <w:r w:rsidR="0042754E">
              <w:rPr>
                <w:rFonts w:ascii="Verdana" w:eastAsia="PMingLiU" w:hAnsi="Verdana" w:cs="Times New Roman"/>
                <w:color w:val="000000"/>
                <w:szCs w:val="20"/>
                <w:lang w:eastAsia="zh-TW"/>
              </w:rPr>
              <w:t>istrict</w:t>
            </w:r>
            <w:r w:rsidR="001C4D62">
              <w:rPr>
                <w:rFonts w:ascii="Verdana" w:eastAsia="PMingLiU" w:hAnsi="Verdana" w:cs="Times New Roman"/>
                <w:color w:val="000000"/>
                <w:szCs w:val="20"/>
                <w:lang w:eastAsia="zh-TW"/>
              </w:rPr>
              <w:t xml:space="preserve"> of Service</w:t>
            </w:r>
          </w:p>
        </w:tc>
      </w:tr>
      <w:tr w:rsidR="00254C1E" w:rsidRPr="00302A7D" w14:paraId="6515FDFB" w14:textId="77777777" w:rsidTr="0090380F">
        <w:trPr>
          <w:trHeight w:val="300"/>
        </w:trPr>
        <w:tc>
          <w:tcPr>
            <w:tcW w:w="2268" w:type="dxa"/>
            <w:tcBorders>
              <w:top w:val="single" w:sz="4" w:space="0" w:color="95B3D7"/>
              <w:left w:val="single" w:sz="4" w:space="0" w:color="auto"/>
              <w:bottom w:val="single" w:sz="4" w:space="0" w:color="auto"/>
              <w:right w:val="nil"/>
            </w:tcBorders>
            <w:shd w:val="clear" w:color="auto" w:fill="FFFFFF"/>
            <w:noWrap/>
            <w:vAlign w:val="bottom"/>
            <w:hideMark/>
          </w:tcPr>
          <w:p w14:paraId="3968D527" w14:textId="61FC5783" w:rsidR="00254C1E" w:rsidRPr="00302A7D" w:rsidRDefault="00583E7E" w:rsidP="00C51575">
            <w:pPr>
              <w:spacing w:before="0" w:line="240" w:lineRule="auto"/>
              <w:rPr>
                <w:rFonts w:ascii="Verdana" w:eastAsia="PMingLiU" w:hAnsi="Verdana" w:cs="Times New Roman"/>
                <w:b/>
                <w:color w:val="000000"/>
                <w:szCs w:val="20"/>
                <w:lang w:eastAsia="zh-TW"/>
              </w:rPr>
            </w:pPr>
            <w:r>
              <w:rPr>
                <w:rFonts w:ascii="Verdana" w:eastAsia="PMingLiU" w:hAnsi="Verdana" w:cs="Times New Roman"/>
                <w:b/>
                <w:color w:val="000000"/>
                <w:szCs w:val="20"/>
                <w:lang w:eastAsia="zh-TW"/>
              </w:rPr>
              <w:lastRenderedPageBreak/>
              <w:t>29-</w:t>
            </w:r>
            <w:r w:rsidR="00254C1E" w:rsidRPr="00302A7D">
              <w:rPr>
                <w:rFonts w:ascii="Verdana" w:eastAsia="PMingLiU" w:hAnsi="Verdana" w:cs="Times New Roman"/>
                <w:b/>
                <w:color w:val="000000"/>
                <w:szCs w:val="20"/>
                <w:lang w:eastAsia="zh-TW"/>
              </w:rPr>
              <w:t>180 days</w:t>
            </w:r>
          </w:p>
        </w:tc>
        <w:tc>
          <w:tcPr>
            <w:tcW w:w="3686" w:type="dxa"/>
            <w:tcBorders>
              <w:top w:val="single" w:sz="4" w:space="0" w:color="95B3D7"/>
              <w:left w:val="single" w:sz="4" w:space="0" w:color="auto"/>
              <w:bottom w:val="single" w:sz="4" w:space="0" w:color="auto"/>
              <w:right w:val="single" w:sz="4" w:space="0" w:color="auto"/>
            </w:tcBorders>
            <w:shd w:val="clear" w:color="auto" w:fill="FFFFFF"/>
            <w:noWrap/>
            <w:vAlign w:val="bottom"/>
            <w:hideMark/>
          </w:tcPr>
          <w:p w14:paraId="05C5FF74" w14:textId="22DEC062" w:rsidR="00254C1E" w:rsidRPr="00302A7D" w:rsidRDefault="006202DF" w:rsidP="00C51575">
            <w:pPr>
              <w:spacing w:before="0" w:line="240" w:lineRule="auto"/>
              <w:jc w:val="center"/>
              <w:rPr>
                <w:rFonts w:ascii="Verdana" w:eastAsia="PMingLiU" w:hAnsi="Verdana" w:cs="Times New Roman"/>
                <w:color w:val="000000"/>
                <w:szCs w:val="20"/>
                <w:lang w:eastAsia="zh-TW"/>
              </w:rPr>
            </w:pPr>
            <w:r>
              <w:rPr>
                <w:rFonts w:ascii="Verdana" w:eastAsia="PMingLiU" w:hAnsi="Verdana" w:cs="Times New Roman"/>
                <w:color w:val="000000"/>
                <w:szCs w:val="20"/>
                <w:lang w:eastAsia="zh-TW"/>
              </w:rPr>
              <w:t>D</w:t>
            </w:r>
            <w:r w:rsidR="0042754E">
              <w:rPr>
                <w:rFonts w:ascii="Verdana" w:eastAsia="PMingLiU" w:hAnsi="Verdana" w:cs="Times New Roman"/>
                <w:color w:val="000000"/>
                <w:szCs w:val="20"/>
                <w:lang w:eastAsia="zh-TW"/>
              </w:rPr>
              <w:t>istrict</w:t>
            </w:r>
            <w:r w:rsidR="00254C1E" w:rsidRPr="00302A7D">
              <w:rPr>
                <w:rFonts w:ascii="Verdana" w:eastAsia="PMingLiU" w:hAnsi="Verdana" w:cs="Times New Roman"/>
                <w:color w:val="000000"/>
                <w:szCs w:val="20"/>
                <w:lang w:eastAsia="zh-TW"/>
              </w:rPr>
              <w:t xml:space="preserve"> of Domicile</w:t>
            </w:r>
          </w:p>
        </w:tc>
        <w:tc>
          <w:tcPr>
            <w:tcW w:w="3744" w:type="dxa"/>
            <w:tcBorders>
              <w:top w:val="single" w:sz="4" w:space="0" w:color="95B3D7"/>
              <w:left w:val="single" w:sz="4" w:space="0" w:color="auto"/>
              <w:bottom w:val="single" w:sz="4" w:space="0" w:color="auto"/>
              <w:right w:val="single" w:sz="4" w:space="0" w:color="auto"/>
            </w:tcBorders>
            <w:shd w:val="clear" w:color="auto" w:fill="FFFFFF"/>
            <w:noWrap/>
            <w:vAlign w:val="bottom"/>
            <w:hideMark/>
          </w:tcPr>
          <w:p w14:paraId="17E5C728" w14:textId="56872B52" w:rsidR="00254C1E" w:rsidRPr="00302A7D" w:rsidRDefault="006202DF" w:rsidP="00C51575">
            <w:pPr>
              <w:spacing w:before="0" w:line="240" w:lineRule="auto"/>
              <w:jc w:val="center"/>
              <w:rPr>
                <w:rFonts w:ascii="Verdana" w:eastAsia="PMingLiU" w:hAnsi="Verdana" w:cs="Times New Roman"/>
                <w:color w:val="000000"/>
                <w:szCs w:val="20"/>
                <w:lang w:eastAsia="zh-TW"/>
              </w:rPr>
            </w:pPr>
            <w:r>
              <w:rPr>
                <w:rFonts w:ascii="Verdana" w:eastAsia="PMingLiU" w:hAnsi="Verdana" w:cs="Times New Roman"/>
                <w:color w:val="000000"/>
                <w:szCs w:val="20"/>
                <w:lang w:eastAsia="zh-TW"/>
              </w:rPr>
              <w:t>D</w:t>
            </w:r>
            <w:r w:rsidR="0042754E">
              <w:rPr>
                <w:rFonts w:ascii="Verdana" w:eastAsia="PMingLiU" w:hAnsi="Verdana" w:cs="Times New Roman"/>
                <w:color w:val="000000"/>
                <w:szCs w:val="20"/>
                <w:lang w:eastAsia="zh-TW"/>
              </w:rPr>
              <w:t>istrict</w:t>
            </w:r>
            <w:r w:rsidR="00254C1E" w:rsidRPr="00302A7D">
              <w:rPr>
                <w:rFonts w:ascii="Verdana" w:eastAsia="PMingLiU" w:hAnsi="Verdana" w:cs="Times New Roman"/>
                <w:color w:val="000000"/>
                <w:szCs w:val="20"/>
                <w:lang w:eastAsia="zh-TW"/>
              </w:rPr>
              <w:t xml:space="preserve"> of Domicile</w:t>
            </w:r>
          </w:p>
        </w:tc>
      </w:tr>
    </w:tbl>
    <w:p w14:paraId="2D75B4AF" w14:textId="77777777" w:rsidR="00C51575" w:rsidRPr="000F4275" w:rsidRDefault="00C51575" w:rsidP="000F4275"/>
    <w:p w14:paraId="48CACF46" w14:textId="77777777" w:rsidR="00254C1E" w:rsidRPr="00535E79" w:rsidRDefault="00254C1E" w:rsidP="00254C1E">
      <w:pPr>
        <w:jc w:val="both"/>
        <w:rPr>
          <w:rFonts w:ascii="Verdana" w:hAnsi="Verdana"/>
        </w:rPr>
      </w:pPr>
      <w:r w:rsidRPr="00535E79">
        <w:rPr>
          <w:rFonts w:ascii="Verdana" w:hAnsi="Verdana"/>
        </w:rPr>
        <w:t>The data will be able to be stratified for other demographic variables.</w:t>
      </w:r>
    </w:p>
    <w:p w14:paraId="55EAAA73" w14:textId="77777777" w:rsidR="00254C1E" w:rsidRDefault="00254C1E" w:rsidP="005731A2">
      <w:pPr>
        <w:jc w:val="both"/>
        <w:rPr>
          <w:highlight w:val="yellow"/>
        </w:rPr>
      </w:pPr>
    </w:p>
    <w:p w14:paraId="0C0F4418" w14:textId="29681E86" w:rsidR="004B6974" w:rsidRPr="003F5C66" w:rsidRDefault="004B6974" w:rsidP="00ED16C2">
      <w:pPr>
        <w:pStyle w:val="Heading1"/>
        <w:jc w:val="both"/>
      </w:pPr>
      <w:bookmarkStart w:id="4" w:name="_Toc173318860"/>
      <w:r>
        <w:t xml:space="preserve">Key Concepts for the </w:t>
      </w:r>
      <w:r w:rsidR="00ED16C2" w:rsidRPr="00ED16C2">
        <w:t>Model</w:t>
      </w:r>
      <w:bookmarkEnd w:id="4"/>
    </w:p>
    <w:p w14:paraId="109D5493" w14:textId="1A95B9B7" w:rsidR="00254C1E" w:rsidRPr="002C5FE2" w:rsidRDefault="00254C1E" w:rsidP="00254C1E">
      <w:pPr>
        <w:pStyle w:val="Heading2"/>
        <w:jc w:val="both"/>
      </w:pPr>
      <w:bookmarkStart w:id="5" w:name="_Toc173318861"/>
      <w:r w:rsidRPr="002C5FE2">
        <w:t xml:space="preserve">Key Concepts: </w:t>
      </w:r>
      <w:r>
        <w:t>District</w:t>
      </w:r>
      <w:bookmarkEnd w:id="5"/>
    </w:p>
    <w:p w14:paraId="4AA2CBE4" w14:textId="7D025B8C" w:rsidR="00254C1E" w:rsidRPr="002C5FE2" w:rsidRDefault="006202DF" w:rsidP="00254C1E">
      <w:pPr>
        <w:pStyle w:val="Heading3"/>
      </w:pPr>
      <w:bookmarkStart w:id="6" w:name="_Toc173318862"/>
      <w:r>
        <w:t>D</w:t>
      </w:r>
      <w:r w:rsidR="0042754E">
        <w:t>istrict</w:t>
      </w:r>
      <w:r w:rsidR="00254C1E" w:rsidRPr="00254C1E">
        <w:t xml:space="preserve"> of Domicile</w:t>
      </w:r>
      <w:bookmarkEnd w:id="6"/>
    </w:p>
    <w:p w14:paraId="158A4E7A" w14:textId="7CCA53FF" w:rsidR="0078743F" w:rsidRDefault="006202DF" w:rsidP="0078743F">
      <w:pPr>
        <w:jc w:val="both"/>
      </w:pPr>
      <w:r>
        <w:t>D</w:t>
      </w:r>
      <w:r w:rsidR="0042754E">
        <w:t>istrict</w:t>
      </w:r>
      <w:r w:rsidR="00583E7E">
        <w:t xml:space="preserve"> of domicile </w:t>
      </w:r>
      <w:r w:rsidR="00254C1E">
        <w:t xml:space="preserve">refers to the </w:t>
      </w:r>
      <w:proofErr w:type="gramStart"/>
      <w:r>
        <w:t>D</w:t>
      </w:r>
      <w:r w:rsidR="0042754E">
        <w:t>istrict</w:t>
      </w:r>
      <w:proofErr w:type="gramEnd"/>
      <w:r w:rsidR="00254C1E">
        <w:t xml:space="preserve"> geographical area (location boundaries) where the patient usually lives or resides. It is defined by the domicile code of the resident address of the patient at the time of their event. </w:t>
      </w:r>
      <w:r w:rsidR="0078743F">
        <w:t xml:space="preserve">In this model, the first event of </w:t>
      </w:r>
      <w:r w:rsidR="00B62FE2">
        <w:t>the index</w:t>
      </w:r>
      <w:r w:rsidR="0078743F">
        <w:t xml:space="preserve"> stay is used.</w:t>
      </w:r>
    </w:p>
    <w:p w14:paraId="2386610D" w14:textId="77777777" w:rsidR="003041C3" w:rsidRDefault="003041C3" w:rsidP="0078743F">
      <w:pPr>
        <w:jc w:val="both"/>
      </w:pPr>
    </w:p>
    <w:p w14:paraId="6274CF34" w14:textId="79056A6C" w:rsidR="00254C1E" w:rsidRPr="002C5FE2" w:rsidRDefault="006202DF" w:rsidP="00254C1E">
      <w:pPr>
        <w:pStyle w:val="Heading3"/>
      </w:pPr>
      <w:bookmarkStart w:id="7" w:name="_Ref457222771"/>
      <w:bookmarkStart w:id="8" w:name="_Toc173318863"/>
      <w:r>
        <w:t>D</w:t>
      </w:r>
      <w:r w:rsidR="0042754E">
        <w:t>istrict</w:t>
      </w:r>
      <w:r w:rsidR="00254C1E" w:rsidRPr="00254C1E">
        <w:t xml:space="preserve"> of Service</w:t>
      </w:r>
      <w:bookmarkEnd w:id="7"/>
      <w:bookmarkEnd w:id="8"/>
    </w:p>
    <w:p w14:paraId="7EC23E0D" w14:textId="06AF1108" w:rsidR="00254C1E" w:rsidRDefault="006202DF" w:rsidP="00254C1E">
      <w:pPr>
        <w:jc w:val="both"/>
      </w:pPr>
      <w:r>
        <w:t>D</w:t>
      </w:r>
      <w:r w:rsidR="0042754E">
        <w:t>istrict</w:t>
      </w:r>
      <w:r w:rsidR="00583E7E">
        <w:t xml:space="preserve"> of service </w:t>
      </w:r>
      <w:r w:rsidR="00254C1E">
        <w:t xml:space="preserve">refers to a </w:t>
      </w:r>
      <w:r w:rsidR="0042754E">
        <w:t>district</w:t>
      </w:r>
      <w:r w:rsidR="00254C1E">
        <w:t xml:space="preserve"> who manages or contracts facilities that provide treatment and care to the patients. </w:t>
      </w:r>
      <w:r>
        <w:t>D</w:t>
      </w:r>
      <w:r w:rsidR="0042754E">
        <w:t>istrict</w:t>
      </w:r>
      <w:r w:rsidR="00254C1E">
        <w:t xml:space="preserve"> of service is usually defined by agency code regardless of where the patient lives.</w:t>
      </w:r>
    </w:p>
    <w:p w14:paraId="3361BDDA" w14:textId="052D1CD4" w:rsidR="00950C14" w:rsidRDefault="00950C14" w:rsidP="00950C14">
      <w:pPr>
        <w:jc w:val="both"/>
      </w:pPr>
      <w:r>
        <w:t xml:space="preserve">In the model there are various logical ways by which </w:t>
      </w:r>
      <w:r w:rsidR="006202DF">
        <w:t>D</w:t>
      </w:r>
      <w:r w:rsidR="0042754E">
        <w:t>istrict</w:t>
      </w:r>
      <w:r>
        <w:t xml:space="preserve"> of Service can be defined:</w:t>
      </w:r>
    </w:p>
    <w:p w14:paraId="5357E754" w14:textId="544E3D0B" w:rsidR="00950C14" w:rsidRDefault="00950C14" w:rsidP="00950C14">
      <w:pPr>
        <w:pStyle w:val="ListParagraph"/>
        <w:numPr>
          <w:ilvl w:val="0"/>
          <w:numId w:val="3"/>
        </w:numPr>
        <w:jc w:val="both"/>
      </w:pPr>
      <w:r>
        <w:t>Using the first event of a</w:t>
      </w:r>
      <w:r w:rsidR="00B12594">
        <w:t>n index</w:t>
      </w:r>
      <w:r>
        <w:t xml:space="preserve"> stay – on the basis that the first </w:t>
      </w:r>
      <w:r w:rsidR="006202DF">
        <w:t>D</w:t>
      </w:r>
      <w:r w:rsidR="0042754E">
        <w:t>istrict</w:t>
      </w:r>
      <w:r>
        <w:t xml:space="preserve"> of Service plans out the management of the patient.  Actions taken by the first </w:t>
      </w:r>
      <w:r w:rsidR="006202DF">
        <w:t>D</w:t>
      </w:r>
      <w:r w:rsidR="0042754E">
        <w:t>istrict</w:t>
      </w:r>
      <w:r>
        <w:t xml:space="preserve"> of Service would impact on the progression of illness and patient outcomes</w:t>
      </w:r>
      <w:r w:rsidR="00B036D6">
        <w:t>,</w:t>
      </w:r>
      <w:r>
        <w:t xml:space="preserve"> </w:t>
      </w:r>
      <w:proofErr w:type="gramStart"/>
      <w:r>
        <w:t>e.g.</w:t>
      </w:r>
      <w:proofErr w:type="gramEnd"/>
      <w:r>
        <w:t xml:space="preserve"> delays in referral or treatment, provision of life saving treatment</w:t>
      </w:r>
      <w:r w:rsidR="00B036D6">
        <w:t>,</w:t>
      </w:r>
      <w:r>
        <w:t xml:space="preserve"> etc.  </w:t>
      </w:r>
    </w:p>
    <w:p w14:paraId="5B0057AD" w14:textId="7343CCF1" w:rsidR="00950C14" w:rsidRDefault="00950C14" w:rsidP="00950C14">
      <w:pPr>
        <w:pStyle w:val="ListParagraph"/>
        <w:numPr>
          <w:ilvl w:val="0"/>
          <w:numId w:val="3"/>
        </w:numPr>
        <w:jc w:val="both"/>
      </w:pPr>
      <w:r>
        <w:t>Using the last event of a</w:t>
      </w:r>
      <w:r w:rsidR="00B12594">
        <w:t>n</w:t>
      </w:r>
      <w:r>
        <w:t xml:space="preserve"> </w:t>
      </w:r>
      <w:r w:rsidR="00B12594">
        <w:t xml:space="preserve">index </w:t>
      </w:r>
      <w:r>
        <w:t xml:space="preserve">stay – on the basis that the last </w:t>
      </w:r>
      <w:r w:rsidR="006202DF">
        <w:t>D</w:t>
      </w:r>
      <w:r w:rsidR="0042754E">
        <w:t>istrict</w:t>
      </w:r>
      <w:r>
        <w:t xml:space="preserve"> of Service is closest to the readmission stay. </w:t>
      </w:r>
      <w:proofErr w:type="gramStart"/>
      <w:r>
        <w:t>Therefore</w:t>
      </w:r>
      <w:proofErr w:type="gramEnd"/>
      <w:r>
        <w:t xml:space="preserve"> actions taken by last </w:t>
      </w:r>
      <w:r w:rsidR="006202DF">
        <w:t>D</w:t>
      </w:r>
      <w:r w:rsidR="0042754E">
        <w:t>istrict</w:t>
      </w:r>
      <w:r>
        <w:t xml:space="preserve"> of Service are more likely to influence subsequent events leading to readmission</w:t>
      </w:r>
      <w:r w:rsidR="00B036D6">
        <w:t>, e.g. discharge planning, inter-provider communication between hospital and non-hospital care.</w:t>
      </w:r>
      <w:r>
        <w:t xml:space="preserve">  </w:t>
      </w:r>
    </w:p>
    <w:p w14:paraId="21B86D36" w14:textId="2B7142A3" w:rsidR="00950C14" w:rsidRDefault="00C77D95" w:rsidP="00B12594">
      <w:pPr>
        <w:pStyle w:val="ListParagraph"/>
        <w:numPr>
          <w:ilvl w:val="0"/>
          <w:numId w:val="3"/>
        </w:numPr>
        <w:jc w:val="both"/>
      </w:pPr>
      <w:r>
        <w:t xml:space="preserve">Using the event that has the highest case-weights </w:t>
      </w:r>
      <w:r w:rsidR="00B12594">
        <w:t xml:space="preserve">in the index stay </w:t>
      </w:r>
      <w:r>
        <w:t xml:space="preserve">– on the basis that these events are most resource intensive and likely to have greater treatment involvement or longer length of stay.  </w:t>
      </w:r>
    </w:p>
    <w:p w14:paraId="3B42733B" w14:textId="3DCE0952" w:rsidR="00950C14" w:rsidRDefault="0011330E" w:rsidP="00254C1E">
      <w:pPr>
        <w:jc w:val="both"/>
      </w:pPr>
      <w:r>
        <w:t>E</w:t>
      </w:r>
      <w:r w:rsidR="00B036D6">
        <w:t xml:space="preserve">ach event has its own </w:t>
      </w:r>
      <w:r w:rsidR="006202DF">
        <w:t>D</w:t>
      </w:r>
      <w:r w:rsidR="0042754E">
        <w:t>istrict</w:t>
      </w:r>
      <w:r w:rsidR="00950C14" w:rsidRPr="00950C14">
        <w:t xml:space="preserve"> of Service</w:t>
      </w:r>
      <w:r w:rsidR="00B036D6">
        <w:t xml:space="preserve">. However, when reporting at an </w:t>
      </w:r>
      <w:r w:rsidR="00B036D6" w:rsidRPr="00B12594">
        <w:t xml:space="preserve">aggregated </w:t>
      </w:r>
      <w:r w:rsidR="006202DF">
        <w:t>D</w:t>
      </w:r>
      <w:r w:rsidR="0042754E">
        <w:t>istrict</w:t>
      </w:r>
      <w:r w:rsidR="00B036D6" w:rsidRPr="00B12594">
        <w:t xml:space="preserve"> view, </w:t>
      </w:r>
      <w:r w:rsidR="006202DF">
        <w:t>D</w:t>
      </w:r>
      <w:r w:rsidR="0042754E">
        <w:t>istrict</w:t>
      </w:r>
      <w:r w:rsidR="00B036D6" w:rsidRPr="00B12594">
        <w:t xml:space="preserve"> of service </w:t>
      </w:r>
      <w:r w:rsidR="00B12594" w:rsidRPr="00B12594">
        <w:t xml:space="preserve">based on </w:t>
      </w:r>
      <w:r w:rsidR="00B12594" w:rsidRPr="00BE624E">
        <w:t>the last event</w:t>
      </w:r>
      <w:r w:rsidR="00B12594" w:rsidRPr="00B12594">
        <w:t xml:space="preserve"> of an index </w:t>
      </w:r>
      <w:r w:rsidR="00950C14" w:rsidRPr="00B12594">
        <w:t>stay</w:t>
      </w:r>
      <w:r w:rsidR="00B036D6" w:rsidRPr="00B12594">
        <w:t xml:space="preserve"> is applied</w:t>
      </w:r>
      <w:r w:rsidR="00950C14" w:rsidRPr="00B12594">
        <w:t>.</w:t>
      </w:r>
      <w:r w:rsidR="00950C14" w:rsidRPr="00950C14">
        <w:t xml:space="preserve">  </w:t>
      </w:r>
    </w:p>
    <w:p w14:paraId="22E21B7D" w14:textId="2DC3A251" w:rsidR="0011330E" w:rsidRPr="00CC192E" w:rsidRDefault="0011330E" w:rsidP="00254C1E">
      <w:pPr>
        <w:jc w:val="both"/>
        <w:rPr>
          <w:highlight w:val="yellow"/>
        </w:rPr>
      </w:pPr>
      <w:r>
        <w:rPr>
          <w:rFonts w:ascii="Verdana" w:hAnsi="Verdana"/>
        </w:rPr>
        <w:t xml:space="preserve">  </w:t>
      </w:r>
    </w:p>
    <w:p w14:paraId="443777B3" w14:textId="77777777" w:rsidR="00BC677E" w:rsidRPr="002C5FE2" w:rsidRDefault="00BC677E" w:rsidP="005731A2">
      <w:pPr>
        <w:pStyle w:val="Heading2"/>
        <w:jc w:val="both"/>
      </w:pPr>
      <w:bookmarkStart w:id="9" w:name="_Toc173318864"/>
      <w:r w:rsidRPr="002C5FE2">
        <w:t xml:space="preserve">Key Concepts: Inpatient Events &amp; </w:t>
      </w:r>
      <w:r w:rsidR="00A742EF" w:rsidRPr="002C5FE2">
        <w:t>S</w:t>
      </w:r>
      <w:r w:rsidRPr="002C5FE2">
        <w:t>tays</w:t>
      </w:r>
      <w:bookmarkEnd w:id="9"/>
    </w:p>
    <w:p w14:paraId="1EF7F7E7" w14:textId="78B9778C" w:rsidR="00354B44" w:rsidRPr="002C5FE2" w:rsidRDefault="00354B44" w:rsidP="005731A2">
      <w:pPr>
        <w:jc w:val="both"/>
      </w:pPr>
      <w:r w:rsidRPr="002C5FE2">
        <w:t>From the outset of this technical document</w:t>
      </w:r>
      <w:r w:rsidR="0011330E">
        <w:t>,</w:t>
      </w:r>
      <w:r w:rsidRPr="002C5FE2">
        <w:t xml:space="preserve"> three important concepts need to be understood</w:t>
      </w:r>
      <w:r w:rsidR="00C77D95">
        <w:t>:</w:t>
      </w:r>
      <w:r w:rsidR="00C77D95" w:rsidRPr="002C5FE2">
        <w:t xml:space="preserve"> </w:t>
      </w:r>
      <w:r w:rsidR="0011330E">
        <w:t>i</w:t>
      </w:r>
      <w:r w:rsidRPr="002C5FE2">
        <w:t xml:space="preserve">npatient, </w:t>
      </w:r>
      <w:r w:rsidR="0011330E">
        <w:t>e</w:t>
      </w:r>
      <w:r w:rsidRPr="002C5FE2">
        <w:t>vents</w:t>
      </w:r>
      <w:r w:rsidR="00481C52" w:rsidRPr="002C5FE2">
        <w:t xml:space="preserve"> </w:t>
      </w:r>
      <w:sdt>
        <w:sdtPr>
          <w:rPr>
            <w:sz w:val="16"/>
            <w:szCs w:val="16"/>
          </w:rPr>
          <w:id w:val="1020355015"/>
          <w:citation/>
        </w:sdtPr>
        <w:sdtEndPr/>
        <w:sdtContent>
          <w:r w:rsidR="00481C52" w:rsidRPr="00E421E5">
            <w:rPr>
              <w:sz w:val="16"/>
              <w:szCs w:val="16"/>
            </w:rPr>
            <w:fldChar w:fldCharType="begin"/>
          </w:r>
          <w:r w:rsidR="00481C52" w:rsidRPr="00E421E5">
            <w:rPr>
              <w:sz w:val="16"/>
              <w:szCs w:val="16"/>
            </w:rPr>
            <w:instrText xml:space="preserve"> CITATION Com14 \l 5129 </w:instrText>
          </w:r>
          <w:r w:rsidR="00481C52" w:rsidRPr="00E421E5">
            <w:rPr>
              <w:sz w:val="16"/>
              <w:szCs w:val="16"/>
            </w:rPr>
            <w:fldChar w:fldCharType="separate"/>
          </w:r>
          <w:r w:rsidR="00730C38" w:rsidRPr="00730C38">
            <w:rPr>
              <w:noProof/>
              <w:sz w:val="16"/>
              <w:szCs w:val="16"/>
            </w:rPr>
            <w:t>[1]</w:t>
          </w:r>
          <w:r w:rsidR="00481C52" w:rsidRPr="00E421E5">
            <w:rPr>
              <w:sz w:val="16"/>
              <w:szCs w:val="16"/>
            </w:rPr>
            <w:fldChar w:fldCharType="end"/>
          </w:r>
        </w:sdtContent>
      </w:sdt>
      <w:r w:rsidRPr="002C5FE2">
        <w:t xml:space="preserve"> and </w:t>
      </w:r>
      <w:r w:rsidR="0011330E">
        <w:t>s</w:t>
      </w:r>
      <w:r w:rsidRPr="002C5FE2">
        <w:t>tays</w:t>
      </w:r>
      <w:r w:rsidR="00557007" w:rsidRPr="002C5FE2">
        <w:t xml:space="preserve"> </w:t>
      </w:r>
      <w:sdt>
        <w:sdtPr>
          <w:rPr>
            <w:sz w:val="16"/>
            <w:szCs w:val="16"/>
          </w:rPr>
          <w:id w:val="919374014"/>
          <w:citation/>
        </w:sdtPr>
        <w:sdtEndPr/>
        <w:sdtContent>
          <w:r w:rsidR="00557007" w:rsidRPr="00E421E5">
            <w:rPr>
              <w:sz w:val="16"/>
              <w:szCs w:val="16"/>
            </w:rPr>
            <w:fldChar w:fldCharType="begin"/>
          </w:r>
          <w:r w:rsidR="00557007" w:rsidRPr="00E421E5">
            <w:rPr>
              <w:sz w:val="16"/>
              <w:szCs w:val="16"/>
            </w:rPr>
            <w:instrText xml:space="preserve">CITATION Per15 \l 5129 </w:instrText>
          </w:r>
          <w:r w:rsidR="00557007" w:rsidRPr="00E421E5">
            <w:rPr>
              <w:sz w:val="16"/>
              <w:szCs w:val="16"/>
            </w:rPr>
            <w:fldChar w:fldCharType="separate"/>
          </w:r>
          <w:r w:rsidR="00730C38" w:rsidRPr="00730C38">
            <w:rPr>
              <w:noProof/>
              <w:sz w:val="16"/>
              <w:szCs w:val="16"/>
            </w:rPr>
            <w:t>[2]</w:t>
          </w:r>
          <w:r w:rsidR="00557007" w:rsidRPr="00E421E5">
            <w:rPr>
              <w:sz w:val="16"/>
              <w:szCs w:val="16"/>
            </w:rPr>
            <w:fldChar w:fldCharType="end"/>
          </w:r>
        </w:sdtContent>
      </w:sdt>
      <w:r w:rsidRPr="002C5FE2">
        <w:t xml:space="preserve">. These concepts are </w:t>
      </w:r>
      <w:r w:rsidR="005914D8" w:rsidRPr="002C5FE2">
        <w:t xml:space="preserve">consistent with </w:t>
      </w:r>
      <w:r w:rsidRPr="002C5FE2">
        <w:t xml:space="preserve">the Acute </w:t>
      </w:r>
      <w:r w:rsidR="003952DB">
        <w:t xml:space="preserve">Hospital Bed Days </w:t>
      </w:r>
      <w:r w:rsidR="005914D8" w:rsidRPr="002C5FE2">
        <w:t>measure</w:t>
      </w:r>
      <w:r w:rsidRPr="002C5FE2">
        <w:t>.</w:t>
      </w:r>
    </w:p>
    <w:p w14:paraId="29EE25A5" w14:textId="77777777" w:rsidR="00951070" w:rsidRPr="002C5FE2" w:rsidRDefault="00951070" w:rsidP="005731A2">
      <w:pPr>
        <w:jc w:val="both"/>
      </w:pPr>
    </w:p>
    <w:p w14:paraId="302704C8" w14:textId="77777777" w:rsidR="00951070" w:rsidRPr="002C5FE2" w:rsidRDefault="00951070" w:rsidP="001642E8">
      <w:pPr>
        <w:pStyle w:val="Heading3"/>
      </w:pPr>
      <w:bookmarkStart w:id="10" w:name="_Toc173318865"/>
      <w:r w:rsidRPr="002C5FE2">
        <w:t>Inpatient</w:t>
      </w:r>
      <w:bookmarkEnd w:id="10"/>
    </w:p>
    <w:p w14:paraId="2C9C1242" w14:textId="19E50D19" w:rsidR="00CC192E" w:rsidRPr="00CC192E" w:rsidRDefault="00CC192E" w:rsidP="005731A2">
      <w:pPr>
        <w:jc w:val="both"/>
        <w:rPr>
          <w:highlight w:val="yellow"/>
        </w:rPr>
      </w:pPr>
      <w:r w:rsidRPr="002C5FE2">
        <w:t xml:space="preserve">While better defined in other places, the broad concept of an ‘inpatient’ </w:t>
      </w:r>
      <w:r w:rsidR="00B61117">
        <w:t>in</w:t>
      </w:r>
      <w:r w:rsidRPr="002C5FE2">
        <w:t xml:space="preserve"> the NZ public health setting refers to a patient who has been admitted to a facility for the purposes of </w:t>
      </w:r>
      <w:r w:rsidRPr="002C5FE2">
        <w:lastRenderedPageBreak/>
        <w:t xml:space="preserve">treatment and care for </w:t>
      </w:r>
      <w:proofErr w:type="gramStart"/>
      <w:r w:rsidRPr="002C5FE2">
        <w:t>a period of time</w:t>
      </w:r>
      <w:proofErr w:type="gramEnd"/>
      <w:r w:rsidRPr="002C5FE2">
        <w:t>.  An inpatient can be</w:t>
      </w:r>
      <w:r>
        <w:t xml:space="preserve"> identified by unique </w:t>
      </w:r>
      <w:r w:rsidR="00D73BF3">
        <w:t>National Health Index (</w:t>
      </w:r>
      <w:r>
        <w:t>NHI</w:t>
      </w:r>
      <w:r w:rsidR="00D73BF3">
        <w:t>)</w:t>
      </w:r>
      <w:r>
        <w:t xml:space="preserve"> number in the routinely collected administration dataset.</w:t>
      </w:r>
    </w:p>
    <w:p w14:paraId="6C36F5E7" w14:textId="77777777" w:rsidR="00951070" w:rsidRPr="00CC192E" w:rsidRDefault="00951070" w:rsidP="005731A2">
      <w:pPr>
        <w:jc w:val="both"/>
        <w:rPr>
          <w:highlight w:val="yellow"/>
        </w:rPr>
      </w:pPr>
    </w:p>
    <w:p w14:paraId="13849382" w14:textId="77777777" w:rsidR="00951070" w:rsidRPr="002C5FE2" w:rsidRDefault="00951070" w:rsidP="001642E8">
      <w:pPr>
        <w:pStyle w:val="Heading3"/>
      </w:pPr>
      <w:bookmarkStart w:id="11" w:name="_Toc173318866"/>
      <w:r w:rsidRPr="002C5FE2">
        <w:t>Events</w:t>
      </w:r>
      <w:bookmarkEnd w:id="11"/>
    </w:p>
    <w:p w14:paraId="5A59127C" w14:textId="4C6CF20F" w:rsidR="00C77D95" w:rsidRPr="002C5FE2" w:rsidRDefault="00573182" w:rsidP="00C77D95">
      <w:pPr>
        <w:jc w:val="both"/>
      </w:pPr>
      <w:r>
        <w:t>An ‘e</w:t>
      </w:r>
      <w:r w:rsidR="00C77D95" w:rsidRPr="002C5FE2">
        <w:t xml:space="preserve">vent’ refers to the period of care undertaken for a patient that has a specific start and end date and times. They identify the distinct elements of duration, period, facility, </w:t>
      </w:r>
      <w:r>
        <w:t xml:space="preserve">health </w:t>
      </w:r>
      <w:r w:rsidR="00C77D95" w:rsidRPr="002C5FE2">
        <w:t>specialty</w:t>
      </w:r>
      <w:r>
        <w:t xml:space="preserve"> </w:t>
      </w:r>
      <w:r w:rsidR="00C77D95" w:rsidRPr="002C5FE2">
        <w:t>responsible, diagnosis and treatments for the individual patient as well as many administrative attributes like funder, admission type</w:t>
      </w:r>
      <w:r w:rsidR="00C77D95">
        <w:t xml:space="preserve"> and patient demographics,</w:t>
      </w:r>
      <w:r w:rsidR="00C77D95" w:rsidRPr="002C5FE2">
        <w:t xml:space="preserve"> etc.</w:t>
      </w:r>
    </w:p>
    <w:p w14:paraId="20EE422A" w14:textId="77777777" w:rsidR="00951070" w:rsidRPr="002C5FE2" w:rsidRDefault="00951070" w:rsidP="005731A2">
      <w:pPr>
        <w:jc w:val="both"/>
      </w:pPr>
    </w:p>
    <w:p w14:paraId="6F6CFFC6" w14:textId="77777777" w:rsidR="00951070" w:rsidRPr="002C5FE2" w:rsidRDefault="00302662" w:rsidP="001642E8">
      <w:pPr>
        <w:pStyle w:val="Heading3"/>
      </w:pPr>
      <w:bookmarkStart w:id="12" w:name="_Ref457222832"/>
      <w:bookmarkStart w:id="13" w:name="_Ref457222849"/>
      <w:bookmarkStart w:id="14" w:name="_Toc173318867"/>
      <w:r w:rsidRPr="002C5FE2">
        <w:t>Stays</w:t>
      </w:r>
      <w:bookmarkEnd w:id="12"/>
      <w:bookmarkEnd w:id="13"/>
      <w:bookmarkEnd w:id="14"/>
    </w:p>
    <w:p w14:paraId="439D49D0" w14:textId="29A3696F" w:rsidR="005914D8" w:rsidRPr="002C5FE2" w:rsidRDefault="005914D8" w:rsidP="005731A2">
      <w:pPr>
        <w:jc w:val="both"/>
      </w:pPr>
      <w:r w:rsidRPr="002C5FE2">
        <w:t>The concept of a ‘</w:t>
      </w:r>
      <w:r w:rsidR="00573182">
        <w:t>s</w:t>
      </w:r>
      <w:r w:rsidRPr="002C5FE2">
        <w:t xml:space="preserve">tay’ aligns </w:t>
      </w:r>
      <w:r w:rsidR="002B3F97" w:rsidRPr="002C5FE2">
        <w:t xml:space="preserve">largely </w:t>
      </w:r>
      <w:r w:rsidRPr="002C5FE2">
        <w:t xml:space="preserve">with other analytical efforts with relevant measures, such as Ownership OS3: Inpatient Average Length of Stay (ALOS) and </w:t>
      </w:r>
      <w:r w:rsidR="003952DB">
        <w:t>system level measure SL6</w:t>
      </w:r>
      <w:r w:rsidRPr="002C5FE2">
        <w:t xml:space="preserve">: Acute </w:t>
      </w:r>
      <w:r w:rsidR="003952DB">
        <w:t xml:space="preserve">Hospital Bed Days </w:t>
      </w:r>
      <w:r w:rsidR="003B39A9" w:rsidRPr="002C5FE2">
        <w:t xml:space="preserve">under the </w:t>
      </w:r>
      <w:r w:rsidR="003952DB">
        <w:t>wider system level measure</w:t>
      </w:r>
      <w:r w:rsidR="006E2D57">
        <w:t>s</w:t>
      </w:r>
      <w:r w:rsidR="003952DB">
        <w:t xml:space="preserve"> and the </w:t>
      </w:r>
      <w:proofErr w:type="gramStart"/>
      <w:r w:rsidR="006202DF">
        <w:t>D</w:t>
      </w:r>
      <w:r w:rsidR="0042754E">
        <w:t>istrict</w:t>
      </w:r>
      <w:proofErr w:type="gramEnd"/>
      <w:r w:rsidR="003B39A9" w:rsidRPr="002C5FE2">
        <w:t xml:space="preserve"> non-financial monitoring framework</w:t>
      </w:r>
      <w:r w:rsidRPr="002C5FE2">
        <w:t xml:space="preserve">. In this measure, it refers to a sequence of patient events (each with a distinct admit and discharge date and time) that can be logically joined </w:t>
      </w:r>
      <w:r w:rsidR="00573182">
        <w:t>together to form an inpatient ‘s</w:t>
      </w:r>
      <w:r w:rsidRPr="002C5FE2">
        <w:t xml:space="preserve">tay’. </w:t>
      </w:r>
    </w:p>
    <w:p w14:paraId="38C71E4F" w14:textId="5DBB2545" w:rsidR="00C77D95" w:rsidRPr="002C5FE2" w:rsidRDefault="00573182" w:rsidP="00C77D95">
      <w:pPr>
        <w:jc w:val="both"/>
      </w:pPr>
      <w:r>
        <w:t xml:space="preserve">Multiple </w:t>
      </w:r>
      <w:r w:rsidR="00C77D95" w:rsidRPr="002C5FE2">
        <w:t xml:space="preserve">events </w:t>
      </w:r>
      <w:proofErr w:type="gramStart"/>
      <w:r w:rsidR="00C77D95" w:rsidRPr="002C5FE2">
        <w:t>are considered to be</w:t>
      </w:r>
      <w:proofErr w:type="gramEnd"/>
      <w:r w:rsidR="00C77D95" w:rsidRPr="002C5FE2">
        <w:t xml:space="preserve"> part of the same stay if the following criteria are met:</w:t>
      </w:r>
    </w:p>
    <w:p w14:paraId="49E27BCA" w14:textId="16EA2882" w:rsidR="00C77D95" w:rsidRDefault="00C77D95" w:rsidP="00C77D95">
      <w:pPr>
        <w:pStyle w:val="ListParagraph"/>
        <w:numPr>
          <w:ilvl w:val="0"/>
          <w:numId w:val="18"/>
        </w:numPr>
        <w:jc w:val="both"/>
      </w:pPr>
      <w:r w:rsidRPr="002C5FE2">
        <w:t xml:space="preserve">The </w:t>
      </w:r>
      <w:r w:rsidR="00573182">
        <w:t xml:space="preserve">first and subsequent </w:t>
      </w:r>
      <w:r w:rsidRPr="002C5FE2">
        <w:t>event</w:t>
      </w:r>
      <w:r>
        <w:t>s</w:t>
      </w:r>
      <w:r w:rsidRPr="002C5FE2">
        <w:t xml:space="preserve"> have the same National Health Index, </w:t>
      </w:r>
    </w:p>
    <w:p w14:paraId="10B3CBFA" w14:textId="77777777" w:rsidR="00C77D95" w:rsidRDefault="00C77D95" w:rsidP="00C77D95">
      <w:pPr>
        <w:pStyle w:val="ListParagraph"/>
        <w:numPr>
          <w:ilvl w:val="1"/>
          <w:numId w:val="18"/>
        </w:numPr>
        <w:jc w:val="both"/>
      </w:pPr>
      <w:r w:rsidRPr="00F740B2">
        <w:t>The events are associated with the same person and have the s</w:t>
      </w:r>
      <w:r>
        <w:t xml:space="preserve">ame patient identifier </w:t>
      </w:r>
      <w:proofErr w:type="gramStart"/>
      <w:r>
        <w:t>i.e.</w:t>
      </w:r>
      <w:proofErr w:type="gramEnd"/>
      <w:r>
        <w:t xml:space="preserve"> NHI</w:t>
      </w:r>
    </w:p>
    <w:p w14:paraId="5CA4F642" w14:textId="7D109B3E" w:rsidR="00C77D95" w:rsidRPr="002C5FE2" w:rsidRDefault="00C77D95" w:rsidP="00C77D95">
      <w:pPr>
        <w:pStyle w:val="ListParagraph"/>
        <w:numPr>
          <w:ilvl w:val="1"/>
          <w:numId w:val="18"/>
        </w:numPr>
        <w:jc w:val="both"/>
      </w:pPr>
      <w:r w:rsidRPr="00F740B2">
        <w:t>The events may be at facilities overseen by d</w:t>
      </w:r>
      <w:r>
        <w:t xml:space="preserve">ifferent </w:t>
      </w:r>
      <w:r w:rsidR="006202DF">
        <w:t>D</w:t>
      </w:r>
      <w:r w:rsidR="0042754E">
        <w:t>istrict</w:t>
      </w:r>
      <w:r>
        <w:t>s.</w:t>
      </w:r>
    </w:p>
    <w:p w14:paraId="658D885C" w14:textId="051850BC" w:rsidR="00E14D95" w:rsidRDefault="004D3709" w:rsidP="00982C5F">
      <w:pPr>
        <w:ind w:firstLine="360"/>
        <w:jc w:val="both"/>
      </w:pPr>
      <w:r w:rsidRPr="002C5FE2">
        <w:t>and,</w:t>
      </w:r>
    </w:p>
    <w:p w14:paraId="69544DAE" w14:textId="6235072B" w:rsidR="00982C5F" w:rsidRPr="002C5FE2" w:rsidRDefault="00982C5F" w:rsidP="00982C5F">
      <w:pPr>
        <w:ind w:firstLine="360"/>
        <w:jc w:val="both"/>
      </w:pPr>
      <w:r>
        <w:t>either:</w:t>
      </w:r>
    </w:p>
    <w:p w14:paraId="232970DE" w14:textId="498E0B4C" w:rsidR="00982C5F" w:rsidRDefault="004D3709" w:rsidP="00982C5F">
      <w:pPr>
        <w:pStyle w:val="ListParagraph"/>
        <w:numPr>
          <w:ilvl w:val="0"/>
          <w:numId w:val="18"/>
        </w:numPr>
        <w:jc w:val="both"/>
      </w:pPr>
      <w:r w:rsidRPr="002C5FE2">
        <w:t>t</w:t>
      </w:r>
      <w:r w:rsidR="00E14D95" w:rsidRPr="002C5FE2">
        <w:t>he second event starts within 6 hours</w:t>
      </w:r>
      <w:r w:rsidRPr="002C5FE2">
        <w:t xml:space="preserve">, </w:t>
      </w:r>
    </w:p>
    <w:p w14:paraId="377FE9FA" w14:textId="06777C1D" w:rsidR="00982C5F" w:rsidRDefault="00982C5F" w:rsidP="00982C5F">
      <w:pPr>
        <w:pStyle w:val="ListParagraph"/>
        <w:numPr>
          <w:ilvl w:val="1"/>
          <w:numId w:val="18"/>
        </w:numPr>
        <w:jc w:val="both"/>
      </w:pPr>
      <w:r w:rsidRPr="00F740B2">
        <w:t>Sequential events that are up to 6 hours in the difference between the patient’s discharge time (of the prior event) and admit date and time, do not require a transfer fla</w:t>
      </w:r>
      <w:r>
        <w:t>g to be deemed part of the stay</w:t>
      </w:r>
      <w:r w:rsidR="00BE36FA">
        <w:t>.</w:t>
      </w:r>
    </w:p>
    <w:p w14:paraId="5F6A5E51" w14:textId="07DBC6EC" w:rsidR="004D3709" w:rsidRPr="002C5FE2" w:rsidRDefault="004D3709" w:rsidP="00982C5F">
      <w:pPr>
        <w:ind w:left="360"/>
        <w:jc w:val="both"/>
      </w:pPr>
      <w:r w:rsidRPr="002C5FE2">
        <w:t>or,</w:t>
      </w:r>
    </w:p>
    <w:p w14:paraId="04258636" w14:textId="2B95B2A9" w:rsidR="00951070" w:rsidRDefault="004D3709" w:rsidP="00982C5F">
      <w:pPr>
        <w:pStyle w:val="ListParagraph"/>
        <w:numPr>
          <w:ilvl w:val="0"/>
          <w:numId w:val="18"/>
        </w:numPr>
        <w:jc w:val="both"/>
      </w:pPr>
      <w:r w:rsidRPr="002C5FE2">
        <w:t xml:space="preserve">the first event has a valid transfer </w:t>
      </w:r>
      <w:proofErr w:type="gramStart"/>
      <w:r w:rsidRPr="002C5FE2">
        <w:t>flag</w:t>
      </w:r>
      <w:proofErr w:type="gramEnd"/>
      <w:r w:rsidRPr="002C5FE2">
        <w:t xml:space="preserve"> and t</w:t>
      </w:r>
      <w:r w:rsidR="00E14D95" w:rsidRPr="002C5FE2">
        <w:t>he second event starts within 24 hours</w:t>
      </w:r>
    </w:p>
    <w:p w14:paraId="412F4858" w14:textId="77777777" w:rsidR="00982C5F" w:rsidRDefault="00982C5F" w:rsidP="00982C5F">
      <w:pPr>
        <w:pStyle w:val="ListParagraph"/>
        <w:numPr>
          <w:ilvl w:val="1"/>
          <w:numId w:val="18"/>
        </w:numPr>
        <w:jc w:val="both"/>
      </w:pPr>
      <w:r w:rsidRPr="00F740B2">
        <w:t xml:space="preserve">The prior event ends in a transfer </w:t>
      </w:r>
      <w:proofErr w:type="gramStart"/>
      <w:r w:rsidRPr="00F740B2">
        <w:t>i.e.</w:t>
      </w:r>
      <w:proofErr w:type="gramEnd"/>
      <w:r w:rsidRPr="00F740B2">
        <w:t xml:space="preserve"> each event in the sequence ends with a transfer indicator, aside from the last event</w:t>
      </w:r>
    </w:p>
    <w:p w14:paraId="4DF72931" w14:textId="4627F890" w:rsidR="00982C5F" w:rsidRDefault="00982C5F" w:rsidP="00982C5F">
      <w:pPr>
        <w:pStyle w:val="ListParagraph"/>
        <w:numPr>
          <w:ilvl w:val="1"/>
          <w:numId w:val="18"/>
        </w:numPr>
        <w:jc w:val="both"/>
      </w:pPr>
      <w:r w:rsidRPr="00F740B2">
        <w:t>There is less than 24 hours between the end of one event and the start of the next event</w:t>
      </w:r>
      <w:r w:rsidR="00BE36FA">
        <w:t>.</w:t>
      </w:r>
    </w:p>
    <w:p w14:paraId="074947B6" w14:textId="6986C940" w:rsidR="00542F8C" w:rsidRDefault="00542F8C" w:rsidP="00DD1F30">
      <w:pPr>
        <w:jc w:val="both"/>
      </w:pPr>
      <w:r>
        <w:t>Transfer flag is identified with the following event end type codes:</w:t>
      </w:r>
    </w:p>
    <w:p w14:paraId="0E0D264E" w14:textId="77777777" w:rsidR="00542F8C" w:rsidRPr="00542F8C" w:rsidRDefault="00542F8C" w:rsidP="00542F8C">
      <w:pPr>
        <w:pStyle w:val="ListParagraph"/>
        <w:numPr>
          <w:ilvl w:val="0"/>
          <w:numId w:val="3"/>
        </w:numPr>
        <w:jc w:val="both"/>
      </w:pPr>
      <w:r w:rsidRPr="00542F8C">
        <w:t xml:space="preserve">DA Discharge to acute specialist facility </w:t>
      </w:r>
    </w:p>
    <w:p w14:paraId="29832B12" w14:textId="77777777" w:rsidR="00542F8C" w:rsidRPr="00542F8C" w:rsidRDefault="00542F8C" w:rsidP="00542F8C">
      <w:pPr>
        <w:pStyle w:val="ListParagraph"/>
        <w:numPr>
          <w:ilvl w:val="0"/>
          <w:numId w:val="3"/>
        </w:numPr>
        <w:jc w:val="both"/>
      </w:pPr>
      <w:r w:rsidRPr="00542F8C">
        <w:t xml:space="preserve">DF Change of </w:t>
      </w:r>
      <w:proofErr w:type="gramStart"/>
      <w:r w:rsidRPr="00542F8C">
        <w:t>funder</w:t>
      </w:r>
      <w:proofErr w:type="gramEnd"/>
      <w:r w:rsidRPr="00542F8C">
        <w:t xml:space="preserve"> </w:t>
      </w:r>
    </w:p>
    <w:p w14:paraId="281815E0" w14:textId="77777777" w:rsidR="00542F8C" w:rsidRPr="00542F8C" w:rsidRDefault="00542F8C" w:rsidP="00542F8C">
      <w:pPr>
        <w:pStyle w:val="ListParagraph"/>
        <w:numPr>
          <w:ilvl w:val="0"/>
          <w:numId w:val="3"/>
        </w:numPr>
        <w:jc w:val="both"/>
      </w:pPr>
      <w:r w:rsidRPr="00542F8C">
        <w:t xml:space="preserve">DO Discharge of a patient kept sustainable for organ </w:t>
      </w:r>
      <w:proofErr w:type="gramStart"/>
      <w:r w:rsidRPr="00542F8C">
        <w:t>donation</w:t>
      </w:r>
      <w:proofErr w:type="gramEnd"/>
      <w:r w:rsidRPr="00542F8C">
        <w:t xml:space="preserve"> </w:t>
      </w:r>
    </w:p>
    <w:p w14:paraId="3F0BFF07" w14:textId="77777777" w:rsidR="00542F8C" w:rsidRPr="00542F8C" w:rsidRDefault="00542F8C" w:rsidP="00542F8C">
      <w:pPr>
        <w:pStyle w:val="ListParagraph"/>
        <w:numPr>
          <w:ilvl w:val="0"/>
          <w:numId w:val="3"/>
        </w:numPr>
        <w:jc w:val="both"/>
      </w:pPr>
      <w:r w:rsidRPr="00542F8C">
        <w:t xml:space="preserve">DP Psychiatric patient transferred for further psychiatric </w:t>
      </w:r>
      <w:proofErr w:type="gramStart"/>
      <w:r w:rsidRPr="00542F8C">
        <w:t>care</w:t>
      </w:r>
      <w:proofErr w:type="gramEnd"/>
      <w:r w:rsidRPr="00542F8C">
        <w:t xml:space="preserve"> </w:t>
      </w:r>
    </w:p>
    <w:p w14:paraId="4A43826A" w14:textId="77777777" w:rsidR="00542F8C" w:rsidRPr="00542F8C" w:rsidRDefault="00542F8C" w:rsidP="00542F8C">
      <w:pPr>
        <w:pStyle w:val="ListParagraph"/>
        <w:numPr>
          <w:ilvl w:val="0"/>
          <w:numId w:val="3"/>
        </w:numPr>
        <w:jc w:val="both"/>
      </w:pPr>
      <w:r w:rsidRPr="00542F8C">
        <w:t xml:space="preserve">DT Discharge of patient to another healthcare facility </w:t>
      </w:r>
    </w:p>
    <w:p w14:paraId="1AEEF24E" w14:textId="77777777" w:rsidR="00542F8C" w:rsidRPr="00542F8C" w:rsidRDefault="00542F8C" w:rsidP="00542F8C">
      <w:pPr>
        <w:pStyle w:val="ListParagraph"/>
        <w:numPr>
          <w:ilvl w:val="0"/>
          <w:numId w:val="3"/>
        </w:numPr>
        <w:jc w:val="both"/>
      </w:pPr>
      <w:r w:rsidRPr="00542F8C">
        <w:t xml:space="preserve">DW Discharge to other service within same facility </w:t>
      </w:r>
    </w:p>
    <w:p w14:paraId="5BD24CFC" w14:textId="77777777" w:rsidR="00542F8C" w:rsidRPr="00542F8C" w:rsidRDefault="00542F8C" w:rsidP="00542F8C">
      <w:pPr>
        <w:pStyle w:val="ListParagraph"/>
        <w:numPr>
          <w:ilvl w:val="0"/>
          <w:numId w:val="3"/>
        </w:numPr>
        <w:jc w:val="both"/>
      </w:pPr>
      <w:r w:rsidRPr="00542F8C">
        <w:t>ET Discharge from ED acute facility to another healthcare facility</w:t>
      </w:r>
    </w:p>
    <w:p w14:paraId="645FDC34" w14:textId="77777777" w:rsidR="00775258" w:rsidRDefault="00775258" w:rsidP="00DD1F30">
      <w:pPr>
        <w:jc w:val="both"/>
      </w:pPr>
    </w:p>
    <w:p w14:paraId="110B2C69" w14:textId="77777777" w:rsidR="00775258" w:rsidRDefault="00775258" w:rsidP="00775258">
      <w:pPr>
        <w:jc w:val="both"/>
      </w:pPr>
      <w:r>
        <w:t xml:space="preserve">All events within a stay will be counted as an acute stay if the </w:t>
      </w:r>
      <w:r w:rsidRPr="00702607">
        <w:rPr>
          <w:rStyle w:val="Strong"/>
        </w:rPr>
        <w:t>first event is acute</w:t>
      </w:r>
      <w:r>
        <w:t>, regardless of whether any other events in that stay are acute or not.</w:t>
      </w:r>
    </w:p>
    <w:p w14:paraId="04FB4622" w14:textId="50475476" w:rsidR="0004764C" w:rsidRDefault="00542F8C" w:rsidP="00DD1F30">
      <w:pPr>
        <w:jc w:val="both"/>
      </w:pPr>
      <w:r w:rsidRPr="00542F8C">
        <w:lastRenderedPageBreak/>
        <w:t xml:space="preserve">A stay is deemed to be a </w:t>
      </w:r>
      <w:r w:rsidR="0004764C" w:rsidRPr="00542F8C">
        <w:t xml:space="preserve">complete stay </w:t>
      </w:r>
      <w:r w:rsidRPr="00542F8C">
        <w:t>when the last event of the stay is within the reporting period with no transfer flag indicating that the patient has been transferred.</w:t>
      </w:r>
    </w:p>
    <w:p w14:paraId="0F14DE09" w14:textId="2EA50CDA" w:rsidR="00CF7FAD" w:rsidRDefault="00CF7FAD" w:rsidP="00CF7FAD">
      <w:pPr>
        <w:jc w:val="both"/>
      </w:pPr>
      <w:r>
        <w:t>Day case events, non-</w:t>
      </w:r>
      <w:proofErr w:type="spellStart"/>
      <w:r>
        <w:t>casemix</w:t>
      </w:r>
      <w:proofErr w:type="spellEnd"/>
      <w:r>
        <w:t xml:space="preserve"> events and mental health events, </w:t>
      </w:r>
      <w:proofErr w:type="gramStart"/>
      <w:r>
        <w:t>where ever</w:t>
      </w:r>
      <w:proofErr w:type="gramEnd"/>
      <w:r>
        <w:t xml:space="preserve"> they occur in the sequence of events, are included in a stay.</w:t>
      </w:r>
    </w:p>
    <w:p w14:paraId="3D3CE17A" w14:textId="77777777" w:rsidR="00542F8C" w:rsidRDefault="00542F8C" w:rsidP="00DD1F30">
      <w:pPr>
        <w:jc w:val="both"/>
      </w:pPr>
    </w:p>
    <w:p w14:paraId="5CF155C2" w14:textId="1FA05C7A" w:rsidR="00DD1F30" w:rsidRPr="002C5FE2" w:rsidRDefault="00F00E66" w:rsidP="00DD1F30">
      <w:pPr>
        <w:pStyle w:val="Heading2"/>
      </w:pPr>
      <w:bookmarkStart w:id="15" w:name="_Toc173318868"/>
      <w:r>
        <w:t>Key Concepts: Index and R</w:t>
      </w:r>
      <w:r w:rsidR="00E062F7">
        <w:t>eadmission S</w:t>
      </w:r>
      <w:r w:rsidR="00DD1F30" w:rsidRPr="002C5FE2">
        <w:t>tays</w:t>
      </w:r>
      <w:bookmarkEnd w:id="15"/>
    </w:p>
    <w:p w14:paraId="6A2D0A4F" w14:textId="38C5F1A1" w:rsidR="00DD1F30" w:rsidRPr="002C5FE2" w:rsidRDefault="00DD1F30" w:rsidP="00DD1F30">
      <w:pPr>
        <w:jc w:val="both"/>
      </w:pPr>
      <w:r w:rsidRPr="002C5FE2">
        <w:t xml:space="preserve">The analysis, reporting, </w:t>
      </w:r>
      <w:proofErr w:type="gramStart"/>
      <w:r w:rsidRPr="002C5FE2">
        <w:t>performance</w:t>
      </w:r>
      <w:proofErr w:type="gramEnd"/>
      <w:r w:rsidRPr="002C5FE2">
        <w:t xml:space="preserve"> and quality improvement effort regarding acute readmissions, require definitions of an individual patient’s first stay (known as the ‘Index Stay’) and the second emergency inpatient stay (known as the ‘Acute Readmission Stay’).</w:t>
      </w:r>
    </w:p>
    <w:p w14:paraId="1A7D8504" w14:textId="0FF984FF" w:rsidR="00DD1F30" w:rsidRPr="002C5FE2" w:rsidRDefault="00DD1F30" w:rsidP="00DD1F30">
      <w:pPr>
        <w:jc w:val="both"/>
      </w:pPr>
      <w:r w:rsidRPr="002C5FE2">
        <w:rPr>
          <w:lang w:val="en-AU"/>
        </w:rPr>
        <w:t>The key elements when defining an acute readmission for a patient, include:</w:t>
      </w:r>
    </w:p>
    <w:p w14:paraId="6FDA033B" w14:textId="008E9B8A" w:rsidR="00DD1F30" w:rsidRPr="002C5FE2" w:rsidRDefault="00DD1F30" w:rsidP="00DD1F30">
      <w:pPr>
        <w:pStyle w:val="ListParagraph"/>
        <w:numPr>
          <w:ilvl w:val="0"/>
          <w:numId w:val="14"/>
        </w:numPr>
        <w:jc w:val="both"/>
      </w:pPr>
      <w:r w:rsidRPr="002C5FE2">
        <w:t xml:space="preserve">The </w:t>
      </w:r>
      <w:r w:rsidR="00ED3EE6">
        <w:t>i</w:t>
      </w:r>
      <w:r w:rsidRPr="002C5FE2">
        <w:t xml:space="preserve">ndex </w:t>
      </w:r>
      <w:proofErr w:type="gramStart"/>
      <w:r w:rsidR="00ED3EE6">
        <w:t>s</w:t>
      </w:r>
      <w:r w:rsidRPr="002C5FE2">
        <w:t>tay</w:t>
      </w:r>
      <w:proofErr w:type="gramEnd"/>
    </w:p>
    <w:p w14:paraId="19BAE20D" w14:textId="0A34A907" w:rsidR="00DD1F30" w:rsidRPr="002C5FE2" w:rsidRDefault="00DD1F30" w:rsidP="00DD1F30">
      <w:pPr>
        <w:pStyle w:val="ListParagraph"/>
        <w:numPr>
          <w:ilvl w:val="0"/>
          <w:numId w:val="14"/>
        </w:numPr>
        <w:jc w:val="both"/>
      </w:pPr>
      <w:r w:rsidRPr="002C5FE2">
        <w:t xml:space="preserve">The </w:t>
      </w:r>
      <w:r w:rsidR="00ED3EE6">
        <w:t>a</w:t>
      </w:r>
      <w:r w:rsidRPr="002C5FE2">
        <w:t xml:space="preserve">cute </w:t>
      </w:r>
      <w:r w:rsidR="00ED3EE6">
        <w:t>r</w:t>
      </w:r>
      <w:r w:rsidRPr="002C5FE2">
        <w:t xml:space="preserve">eadmission </w:t>
      </w:r>
      <w:proofErr w:type="gramStart"/>
      <w:r w:rsidR="00ED3EE6">
        <w:t>s</w:t>
      </w:r>
      <w:r w:rsidRPr="002C5FE2">
        <w:t>tay</w:t>
      </w:r>
      <w:proofErr w:type="gramEnd"/>
    </w:p>
    <w:p w14:paraId="3C99AAA7" w14:textId="71DD1631" w:rsidR="00DD1F30" w:rsidRDefault="00DD1F30" w:rsidP="00DD1F30">
      <w:pPr>
        <w:pStyle w:val="ListParagraph"/>
        <w:numPr>
          <w:ilvl w:val="0"/>
          <w:numId w:val="14"/>
        </w:numPr>
        <w:jc w:val="both"/>
      </w:pPr>
      <w:r w:rsidRPr="002C5FE2">
        <w:t xml:space="preserve">The period between the </w:t>
      </w:r>
      <w:r w:rsidR="00ED3EE6">
        <w:t xml:space="preserve">index </w:t>
      </w:r>
      <w:proofErr w:type="gramStart"/>
      <w:r w:rsidR="00ED3EE6">
        <w:t>s</w:t>
      </w:r>
      <w:r w:rsidRPr="002C5FE2">
        <w:t>tay</w:t>
      </w:r>
      <w:proofErr w:type="gramEnd"/>
      <w:r w:rsidRPr="002C5FE2">
        <w:t xml:space="preserve"> </w:t>
      </w:r>
      <w:r w:rsidR="00ED3EE6">
        <w:t>d</w:t>
      </w:r>
      <w:r w:rsidRPr="002C5FE2">
        <w:t xml:space="preserve">ischarge </w:t>
      </w:r>
      <w:r w:rsidR="00ED3EE6">
        <w:t>d</w:t>
      </w:r>
      <w:r w:rsidRPr="002C5FE2">
        <w:t xml:space="preserve">ate and the </w:t>
      </w:r>
      <w:r w:rsidR="00ED3EE6">
        <w:t>a</w:t>
      </w:r>
      <w:r w:rsidRPr="002C5FE2">
        <w:t xml:space="preserve">cute </w:t>
      </w:r>
      <w:r w:rsidR="00ED3EE6">
        <w:t>r</w:t>
      </w:r>
      <w:r w:rsidRPr="002C5FE2">
        <w:t xml:space="preserve">eadmission </w:t>
      </w:r>
      <w:r w:rsidR="00ED3EE6">
        <w:t>a</w:t>
      </w:r>
      <w:r w:rsidRPr="002C5FE2">
        <w:t xml:space="preserve">dmit </w:t>
      </w:r>
      <w:r w:rsidR="00ED3EE6">
        <w:t>d</w:t>
      </w:r>
      <w:r w:rsidRPr="002C5FE2">
        <w:t>ate.</w:t>
      </w:r>
    </w:p>
    <w:p w14:paraId="1B69F3E8" w14:textId="77777777" w:rsidR="007859A3" w:rsidRPr="002C5FE2" w:rsidRDefault="007859A3" w:rsidP="007859A3">
      <w:pPr>
        <w:pStyle w:val="ListParagraph"/>
        <w:jc w:val="both"/>
      </w:pPr>
    </w:p>
    <w:p w14:paraId="3A124877" w14:textId="6BB0CCB6" w:rsidR="00D07B40" w:rsidRPr="002C5FE2" w:rsidRDefault="00507DE2" w:rsidP="007859A3">
      <w:pPr>
        <w:pStyle w:val="Heading3"/>
      </w:pPr>
      <w:bookmarkStart w:id="16" w:name="_Toc173318869"/>
      <w:r>
        <w:t>Description of an I</w:t>
      </w:r>
      <w:r w:rsidR="00D07B40" w:rsidRPr="002C5FE2">
        <w:t xml:space="preserve">ndex </w:t>
      </w:r>
      <w:r w:rsidR="00E062F7">
        <w:t>S</w:t>
      </w:r>
      <w:r w:rsidR="00D07B40">
        <w:t>tay</w:t>
      </w:r>
      <w:bookmarkEnd w:id="16"/>
    </w:p>
    <w:p w14:paraId="6A72C289" w14:textId="567B1C0A" w:rsidR="00D07B40" w:rsidRDefault="00D07B40" w:rsidP="00D07B40">
      <w:pPr>
        <w:jc w:val="both"/>
      </w:pPr>
      <w:r w:rsidRPr="00F740B2">
        <w:t xml:space="preserve">The source of </w:t>
      </w:r>
      <w:r w:rsidR="00522814" w:rsidRPr="00F740B2">
        <w:t xml:space="preserve">index </w:t>
      </w:r>
      <w:r w:rsidR="00F740B2" w:rsidRPr="00F740B2">
        <w:t xml:space="preserve">stay </w:t>
      </w:r>
      <w:r w:rsidRPr="00F740B2">
        <w:t xml:space="preserve">data for the measure will be the National Minimum Dataset (NMDS). The events in NMDS will be used to count the </w:t>
      </w:r>
      <w:r w:rsidR="00522814" w:rsidRPr="00F740B2">
        <w:t>denominator</w:t>
      </w:r>
      <w:r w:rsidRPr="00F740B2">
        <w:t xml:space="preserve"> of this measure</w:t>
      </w:r>
      <w:r w:rsidR="00F740B2">
        <w:t>, index stays</w:t>
      </w:r>
      <w:r w:rsidRPr="00F740B2">
        <w:t>. Events will be joined together into stays. The rules that define the joining together of indi</w:t>
      </w:r>
      <w:r w:rsidR="00821CCC">
        <w:t xml:space="preserve">vidual patient events to form an index </w:t>
      </w:r>
      <w:r w:rsidRPr="00F740B2">
        <w:t xml:space="preserve">stay are </w:t>
      </w:r>
      <w:r w:rsidR="003952DB">
        <w:t xml:space="preserve">listed in </w:t>
      </w:r>
      <w:r w:rsidR="006F60CF">
        <w:t xml:space="preserve">section </w:t>
      </w:r>
      <w:r w:rsidR="00CC1445">
        <w:fldChar w:fldCharType="begin"/>
      </w:r>
      <w:r w:rsidR="00CC1445">
        <w:instrText xml:space="preserve"> REF _Ref457222832 \r \h </w:instrText>
      </w:r>
      <w:r w:rsidR="00CC1445">
        <w:fldChar w:fldCharType="separate"/>
      </w:r>
      <w:r w:rsidR="00DA17CE">
        <w:t>2.2.3</w:t>
      </w:r>
      <w:r w:rsidR="00CC1445">
        <w:fldChar w:fldCharType="end"/>
      </w:r>
      <w:r w:rsidR="003952DB">
        <w:t xml:space="preserve"> </w:t>
      </w:r>
      <w:r w:rsidR="00982C5F">
        <w:t>above.</w:t>
      </w:r>
    </w:p>
    <w:p w14:paraId="32D107E2" w14:textId="77777777" w:rsidR="00D07B40" w:rsidRPr="003952DB" w:rsidRDefault="00D07B40" w:rsidP="003952DB">
      <w:pPr>
        <w:jc w:val="both"/>
        <w:rPr>
          <w:highlight w:val="yellow"/>
        </w:rPr>
      </w:pPr>
    </w:p>
    <w:p w14:paraId="126B5665" w14:textId="3757A5E8" w:rsidR="00D07B40" w:rsidRPr="005665E9" w:rsidRDefault="00D07B40" w:rsidP="00D07B40">
      <w:pPr>
        <w:pStyle w:val="Heading3"/>
      </w:pPr>
      <w:bookmarkStart w:id="17" w:name="_Toc173318870"/>
      <w:r>
        <w:t xml:space="preserve">Decision </w:t>
      </w:r>
      <w:r w:rsidR="00187BE7">
        <w:t>Flow</w:t>
      </w:r>
      <w:r>
        <w:t xml:space="preserve"> for an </w:t>
      </w:r>
      <w:r w:rsidR="00507DE2">
        <w:t>I</w:t>
      </w:r>
      <w:r>
        <w:t xml:space="preserve">ndex </w:t>
      </w:r>
      <w:r w:rsidR="00E062F7">
        <w:t>S</w:t>
      </w:r>
      <w:r>
        <w:t>tay</w:t>
      </w:r>
      <w:bookmarkEnd w:id="17"/>
    </w:p>
    <w:p w14:paraId="7A45E55D" w14:textId="02667AFD" w:rsidR="00D07B40" w:rsidRDefault="00D07B40" w:rsidP="00D07B40">
      <w:pPr>
        <w:jc w:val="both"/>
      </w:pPr>
      <w:r w:rsidRPr="00CA6EFE">
        <w:t>The following process</w:t>
      </w:r>
      <w:r w:rsidR="006B5ABA">
        <w:t xml:space="preserve"> decision </w:t>
      </w:r>
      <w:r w:rsidR="00187BE7">
        <w:t>flow</w:t>
      </w:r>
      <w:r w:rsidR="006B5ABA">
        <w:t xml:space="preserve"> diagram (Figure 1</w:t>
      </w:r>
      <w:r w:rsidRPr="00CA6EFE">
        <w:t>) shows the logical process for identifying index stays. The order is not necessarily relevant since the exclusions applied can be overlapped.</w:t>
      </w:r>
    </w:p>
    <w:p w14:paraId="667D25A2" w14:textId="0D663C66" w:rsidR="00D07B40" w:rsidRDefault="00D07B40" w:rsidP="00ED3EE6">
      <w:pPr>
        <w:keepNext/>
        <w:jc w:val="both"/>
        <w:rPr>
          <w:b/>
          <w:lang w:val="en-AU"/>
        </w:rPr>
      </w:pPr>
      <w:r w:rsidRPr="00E565EC">
        <w:rPr>
          <w:b/>
          <w:lang w:val="en-AU"/>
        </w:rPr>
        <w:lastRenderedPageBreak/>
        <w:t>Fig</w:t>
      </w:r>
      <w:r w:rsidR="006B5ABA">
        <w:rPr>
          <w:b/>
          <w:lang w:val="en-AU"/>
        </w:rPr>
        <w:t>ure 1</w:t>
      </w:r>
      <w:r w:rsidRPr="00E565EC">
        <w:rPr>
          <w:b/>
          <w:lang w:val="en-AU"/>
        </w:rPr>
        <w:t xml:space="preserve">. </w:t>
      </w:r>
      <w:r>
        <w:rPr>
          <w:b/>
          <w:lang w:val="en-AU"/>
        </w:rPr>
        <w:t xml:space="preserve">Index stay decision </w:t>
      </w:r>
      <w:r w:rsidR="00187BE7">
        <w:rPr>
          <w:b/>
          <w:lang w:val="en-AU"/>
        </w:rPr>
        <w:t>flow</w:t>
      </w:r>
      <w:r>
        <w:rPr>
          <w:b/>
          <w:lang w:val="en-AU"/>
        </w:rPr>
        <w:t xml:space="preserve"> </w:t>
      </w:r>
      <w:proofErr w:type="gramStart"/>
      <w:r>
        <w:rPr>
          <w:b/>
          <w:lang w:val="en-AU"/>
        </w:rPr>
        <w:t>diagram</w:t>
      </w:r>
      <w:proofErr w:type="gramEnd"/>
    </w:p>
    <w:p w14:paraId="6A1993A3" w14:textId="55F5076E" w:rsidR="00D07B40" w:rsidRPr="00251915" w:rsidRDefault="00F00E66" w:rsidP="00745038">
      <w:pPr>
        <w:keepNext/>
        <w:jc w:val="center"/>
      </w:pPr>
      <w:r w:rsidRPr="00F00E66">
        <w:rPr>
          <w:noProof/>
          <w:lang w:eastAsia="zh-CN"/>
        </w:rPr>
        <w:drawing>
          <wp:inline distT="0" distB="0" distL="0" distR="0" wp14:anchorId="1072CBB9" wp14:editId="3E22BE8D">
            <wp:extent cx="2915920" cy="5322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5920" cy="5322570"/>
                    </a:xfrm>
                    <a:prstGeom prst="rect">
                      <a:avLst/>
                    </a:prstGeom>
                    <a:noFill/>
                    <a:ln>
                      <a:noFill/>
                    </a:ln>
                  </pic:spPr>
                </pic:pic>
              </a:graphicData>
            </a:graphic>
          </wp:inline>
        </w:drawing>
      </w:r>
    </w:p>
    <w:p w14:paraId="7241C19B" w14:textId="77777777" w:rsidR="00D07B40" w:rsidRPr="00251915" w:rsidRDefault="00D07B40" w:rsidP="00D07B40">
      <w:pPr>
        <w:jc w:val="both"/>
      </w:pPr>
    </w:p>
    <w:p w14:paraId="5BCB36AA" w14:textId="4CB35521" w:rsidR="00D07B40" w:rsidRPr="00251915" w:rsidRDefault="00D07B40" w:rsidP="007859A3">
      <w:pPr>
        <w:pStyle w:val="Heading3"/>
      </w:pPr>
      <w:bookmarkStart w:id="18" w:name="_Toc173318871"/>
      <w:r w:rsidRPr="00251915">
        <w:t xml:space="preserve">Description of a </w:t>
      </w:r>
      <w:r w:rsidR="00507DE2" w:rsidRPr="00251915">
        <w:t>R</w:t>
      </w:r>
      <w:r w:rsidRPr="00251915">
        <w:t xml:space="preserve">eadmission </w:t>
      </w:r>
      <w:r w:rsidR="00E062F7">
        <w:t>S</w:t>
      </w:r>
      <w:r w:rsidRPr="00251915">
        <w:t>tay</w:t>
      </w:r>
      <w:bookmarkEnd w:id="18"/>
    </w:p>
    <w:p w14:paraId="2E016709" w14:textId="7E151BCD" w:rsidR="00522814" w:rsidRPr="00F740B2" w:rsidRDefault="00522814" w:rsidP="00522814">
      <w:pPr>
        <w:jc w:val="both"/>
      </w:pPr>
      <w:r w:rsidRPr="00F740B2">
        <w:t xml:space="preserve">The source of readmission </w:t>
      </w:r>
      <w:r w:rsidR="00F740B2" w:rsidRPr="00F740B2">
        <w:t xml:space="preserve">stay </w:t>
      </w:r>
      <w:r w:rsidRPr="00F740B2">
        <w:t xml:space="preserve">data for the measure will be the National Minimum Dataset (NMDS). The events in NMDS will be used to count the numerator of this measure, acute </w:t>
      </w:r>
      <w:r w:rsidR="00F740B2" w:rsidRPr="00F740B2">
        <w:t>readmission stays</w:t>
      </w:r>
      <w:r w:rsidRPr="00F740B2">
        <w:t xml:space="preserve">. Events will be joined together into stays. </w:t>
      </w:r>
      <w:r w:rsidR="00821CCC" w:rsidRPr="00F740B2">
        <w:t>The rules that define the joining together of indi</w:t>
      </w:r>
      <w:r w:rsidR="00821CCC">
        <w:t xml:space="preserve">vidual patient events to form an acute readmission </w:t>
      </w:r>
      <w:r w:rsidR="00821CCC" w:rsidRPr="00F740B2">
        <w:t xml:space="preserve">stay are </w:t>
      </w:r>
      <w:r w:rsidR="00821CCC">
        <w:t xml:space="preserve">listed in </w:t>
      </w:r>
      <w:r w:rsidR="006F60CF">
        <w:t xml:space="preserve">section </w:t>
      </w:r>
      <w:r w:rsidR="00CC1445">
        <w:fldChar w:fldCharType="begin"/>
      </w:r>
      <w:r w:rsidR="00CC1445">
        <w:instrText xml:space="preserve"> REF _Ref457222849 \r \h </w:instrText>
      </w:r>
      <w:r w:rsidR="00CC1445">
        <w:fldChar w:fldCharType="separate"/>
      </w:r>
      <w:r w:rsidR="00DA17CE">
        <w:t>2.2.3</w:t>
      </w:r>
      <w:r w:rsidR="00CC1445">
        <w:fldChar w:fldCharType="end"/>
      </w:r>
      <w:r w:rsidR="00821CCC">
        <w:t xml:space="preserve"> above</w:t>
      </w:r>
      <w:r w:rsidR="00ED3EE6">
        <w:t>.</w:t>
      </w:r>
    </w:p>
    <w:p w14:paraId="2BF53115" w14:textId="7A8E4AA4" w:rsidR="00F740B2" w:rsidRPr="00F740B2" w:rsidRDefault="00F740B2" w:rsidP="00F740B2">
      <w:pPr>
        <w:jc w:val="both"/>
      </w:pPr>
      <w:r w:rsidRPr="00F740B2">
        <w:t xml:space="preserve">All events within a stay will be counted as an acute </w:t>
      </w:r>
      <w:r w:rsidR="00821CCC">
        <w:t xml:space="preserve">readmission </w:t>
      </w:r>
      <w:r w:rsidRPr="00F740B2">
        <w:t xml:space="preserve">stay if the </w:t>
      </w:r>
      <w:r w:rsidRPr="00F740B2">
        <w:rPr>
          <w:rStyle w:val="Strong"/>
        </w:rPr>
        <w:t>first event is acute</w:t>
      </w:r>
      <w:r w:rsidRPr="00F740B2">
        <w:t>, regardless of whether any other events in that stay are acute or not.</w:t>
      </w:r>
    </w:p>
    <w:p w14:paraId="18DBE7E5" w14:textId="77777777" w:rsidR="00F740B2" w:rsidRDefault="00F740B2" w:rsidP="00522814">
      <w:pPr>
        <w:jc w:val="both"/>
      </w:pPr>
    </w:p>
    <w:p w14:paraId="3D2F3309" w14:textId="1D909B7C" w:rsidR="00522814" w:rsidRPr="005665E9" w:rsidRDefault="00522814" w:rsidP="00522814">
      <w:pPr>
        <w:pStyle w:val="Heading3"/>
      </w:pPr>
      <w:bookmarkStart w:id="19" w:name="_Toc173318872"/>
      <w:r>
        <w:t xml:space="preserve">Decision </w:t>
      </w:r>
      <w:r w:rsidR="00187BE7">
        <w:t>Flow</w:t>
      </w:r>
      <w:r>
        <w:t xml:space="preserve"> for a </w:t>
      </w:r>
      <w:r w:rsidR="00507DE2">
        <w:t>R</w:t>
      </w:r>
      <w:r>
        <w:t xml:space="preserve">eadmission </w:t>
      </w:r>
      <w:r w:rsidR="00E062F7">
        <w:t>S</w:t>
      </w:r>
      <w:r>
        <w:t>tay</w:t>
      </w:r>
      <w:bookmarkEnd w:id="19"/>
    </w:p>
    <w:p w14:paraId="24C0C4A3" w14:textId="587A3F53" w:rsidR="00522814" w:rsidRDefault="00522814" w:rsidP="00522814">
      <w:pPr>
        <w:jc w:val="both"/>
      </w:pPr>
      <w:r>
        <w:t>The following process</w:t>
      </w:r>
      <w:r w:rsidR="006B5ABA">
        <w:t xml:space="preserve"> decision </w:t>
      </w:r>
      <w:r w:rsidR="00187BE7">
        <w:t>flow</w:t>
      </w:r>
      <w:r w:rsidR="006B5ABA">
        <w:t xml:space="preserve"> diagram (Figure 2</w:t>
      </w:r>
      <w:r>
        <w:t>) shows the logical process in identifying readmission inpatient stays. The order is not necessarily relevant since the exclusions applied can be overlapped.</w:t>
      </w:r>
    </w:p>
    <w:p w14:paraId="12447942" w14:textId="6F324CDF" w:rsidR="00522814" w:rsidRPr="00F00E66" w:rsidRDefault="00522814" w:rsidP="00507DE2">
      <w:pPr>
        <w:keepNext/>
        <w:jc w:val="both"/>
        <w:rPr>
          <w:b/>
        </w:rPr>
      </w:pPr>
      <w:r w:rsidRPr="00F00E66">
        <w:rPr>
          <w:b/>
        </w:rPr>
        <w:lastRenderedPageBreak/>
        <w:t xml:space="preserve">Figure </w:t>
      </w:r>
      <w:r w:rsidR="006B5ABA" w:rsidRPr="00F00E66">
        <w:rPr>
          <w:b/>
        </w:rPr>
        <w:t>2</w:t>
      </w:r>
      <w:r w:rsidRPr="00F00E66">
        <w:rPr>
          <w:b/>
        </w:rPr>
        <w:t xml:space="preserve">. Readmission inpatient stay decision </w:t>
      </w:r>
      <w:r w:rsidR="00187BE7" w:rsidRPr="00F00E66">
        <w:rPr>
          <w:b/>
        </w:rPr>
        <w:t>flow</w:t>
      </w:r>
      <w:r w:rsidRPr="00F00E66">
        <w:rPr>
          <w:b/>
        </w:rPr>
        <w:t xml:space="preserve"> diagram</w:t>
      </w:r>
    </w:p>
    <w:p w14:paraId="5467FEF6" w14:textId="3F703B1E" w:rsidR="00D07B40" w:rsidRPr="00F00E66" w:rsidRDefault="005B6E37" w:rsidP="001A012C">
      <w:pPr>
        <w:keepNext/>
        <w:jc w:val="center"/>
      </w:pPr>
      <w:r w:rsidRPr="005B6E37">
        <w:rPr>
          <w:noProof/>
          <w:lang w:eastAsia="zh-CN"/>
        </w:rPr>
        <w:drawing>
          <wp:inline distT="0" distB="0" distL="0" distR="0" wp14:anchorId="3D39D432" wp14:editId="6AD875AE">
            <wp:extent cx="2914650" cy="5343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5343525"/>
                    </a:xfrm>
                    <a:prstGeom prst="rect">
                      <a:avLst/>
                    </a:prstGeom>
                    <a:noFill/>
                    <a:ln>
                      <a:noFill/>
                    </a:ln>
                  </pic:spPr>
                </pic:pic>
              </a:graphicData>
            </a:graphic>
          </wp:inline>
        </w:drawing>
      </w:r>
    </w:p>
    <w:p w14:paraId="184F5CE0" w14:textId="77777777" w:rsidR="007859A3" w:rsidRPr="00F00E66" w:rsidRDefault="007859A3" w:rsidP="007859A3">
      <w:pPr>
        <w:jc w:val="both"/>
      </w:pPr>
    </w:p>
    <w:p w14:paraId="37AAC395" w14:textId="7CE04C30" w:rsidR="007859A3" w:rsidRPr="00F00E66" w:rsidRDefault="007859A3" w:rsidP="007859A3">
      <w:pPr>
        <w:pStyle w:val="Heading3"/>
      </w:pPr>
      <w:bookmarkStart w:id="20" w:name="_Toc173318873"/>
      <w:r w:rsidRPr="00F00E66">
        <w:t xml:space="preserve">The </w:t>
      </w:r>
      <w:r w:rsidR="00507DE2" w:rsidRPr="00F00E66">
        <w:t>A</w:t>
      </w:r>
      <w:r w:rsidRPr="00F00E66">
        <w:t xml:space="preserve">lgorithm of </w:t>
      </w:r>
      <w:r w:rsidR="00507DE2" w:rsidRPr="00F00E66">
        <w:t>I</w:t>
      </w:r>
      <w:r w:rsidRPr="00F00E66">
        <w:t xml:space="preserve">ndex and </w:t>
      </w:r>
      <w:r w:rsidR="00507DE2" w:rsidRPr="00F00E66">
        <w:t>R</w:t>
      </w:r>
      <w:r w:rsidRPr="00F00E66">
        <w:t xml:space="preserve">eadmission </w:t>
      </w:r>
      <w:r w:rsidR="00507DE2" w:rsidRPr="00F00E66">
        <w:t>S</w:t>
      </w:r>
      <w:r w:rsidRPr="00F00E66">
        <w:t>tays</w:t>
      </w:r>
      <w:bookmarkEnd w:id="20"/>
    </w:p>
    <w:p w14:paraId="2D1E0C8A" w14:textId="4F2677DE" w:rsidR="007859A3" w:rsidRDefault="007859A3" w:rsidP="007859A3">
      <w:pPr>
        <w:jc w:val="both"/>
      </w:pPr>
      <w:r w:rsidRPr="00F00E66">
        <w:t xml:space="preserve">Figure </w:t>
      </w:r>
      <w:r w:rsidR="006B5ABA" w:rsidRPr="00F00E66">
        <w:t>3</w:t>
      </w:r>
      <w:r w:rsidRPr="00F00E66">
        <w:t xml:space="preserve"> illustrates an example of an index stay, a corresponding acute</w:t>
      </w:r>
      <w:r>
        <w:t xml:space="preserve"> readmission stay and the period between the index and the readmission stay in a timeline graph. </w:t>
      </w:r>
    </w:p>
    <w:p w14:paraId="74D3C2B3" w14:textId="77777777" w:rsidR="007859A3" w:rsidRPr="005665E9" w:rsidRDefault="007859A3" w:rsidP="007859A3">
      <w:pPr>
        <w:jc w:val="both"/>
      </w:pPr>
      <w:r>
        <w:t xml:space="preserve">It should be acknowledged that a patient may potentially have </w:t>
      </w:r>
      <w:proofErr w:type="gramStart"/>
      <w:r>
        <w:t>a number of</w:t>
      </w:r>
      <w:proofErr w:type="gramEnd"/>
      <w:r>
        <w:t xml:space="preserve"> stays over a set length of time which each could qualify as index and readmission stay pairs. This highlights an important feature for the counting of readmission stays, </w:t>
      </w:r>
      <w:proofErr w:type="gramStart"/>
      <w:r>
        <w:t>i.e.</w:t>
      </w:r>
      <w:proofErr w:type="gramEnd"/>
      <w:r>
        <w:t xml:space="preserve"> by stay, and not </w:t>
      </w:r>
      <w:r w:rsidRPr="005665E9">
        <w:t>individual patient. Hence, each time an inpatient stay has been identified, it has the potential to become:</w:t>
      </w:r>
    </w:p>
    <w:p w14:paraId="7AE1528C" w14:textId="77777777" w:rsidR="007859A3" w:rsidRPr="005665E9" w:rsidRDefault="007859A3" w:rsidP="007859A3">
      <w:pPr>
        <w:pStyle w:val="ListParagraph"/>
        <w:numPr>
          <w:ilvl w:val="0"/>
          <w:numId w:val="14"/>
        </w:numPr>
        <w:jc w:val="both"/>
      </w:pPr>
      <w:r w:rsidRPr="005665E9">
        <w:t xml:space="preserve">A readmission </w:t>
      </w:r>
      <w:proofErr w:type="gramStart"/>
      <w:r w:rsidRPr="005665E9">
        <w:t>stay</w:t>
      </w:r>
      <w:proofErr w:type="gramEnd"/>
      <w:r w:rsidRPr="005665E9">
        <w:t xml:space="preserve"> for a prior index stay, or </w:t>
      </w:r>
    </w:p>
    <w:p w14:paraId="3128B913" w14:textId="77777777" w:rsidR="007859A3" w:rsidRPr="005665E9" w:rsidRDefault="007859A3" w:rsidP="007859A3">
      <w:pPr>
        <w:pStyle w:val="ListParagraph"/>
        <w:numPr>
          <w:ilvl w:val="0"/>
          <w:numId w:val="14"/>
        </w:numPr>
        <w:jc w:val="both"/>
      </w:pPr>
      <w:r w:rsidRPr="005665E9">
        <w:t xml:space="preserve">An index </w:t>
      </w:r>
      <w:proofErr w:type="gramStart"/>
      <w:r w:rsidRPr="005665E9">
        <w:t>stay</w:t>
      </w:r>
      <w:proofErr w:type="gramEnd"/>
      <w:r w:rsidRPr="005665E9">
        <w:t xml:space="preserve"> for a future readmission stay.</w:t>
      </w:r>
    </w:p>
    <w:p w14:paraId="0250DD41" w14:textId="77777777" w:rsidR="007859A3" w:rsidRDefault="007859A3" w:rsidP="007859A3">
      <w:pPr>
        <w:jc w:val="both"/>
        <w:rPr>
          <w:highlight w:val="yellow"/>
        </w:rPr>
      </w:pPr>
    </w:p>
    <w:p w14:paraId="7344C7CC" w14:textId="26578E1C" w:rsidR="007859A3" w:rsidRPr="00507DE2" w:rsidRDefault="006B5ABA" w:rsidP="002C40AD">
      <w:pPr>
        <w:keepNext/>
        <w:jc w:val="both"/>
        <w:rPr>
          <w:b/>
        </w:rPr>
      </w:pPr>
      <w:r w:rsidRPr="00507DE2">
        <w:rPr>
          <w:b/>
        </w:rPr>
        <w:lastRenderedPageBreak/>
        <w:t>Figure 3</w:t>
      </w:r>
      <w:r w:rsidR="007859A3" w:rsidRPr="00507DE2">
        <w:rPr>
          <w:b/>
        </w:rPr>
        <w:t xml:space="preserve">. Example of patient events joined as index and readmission </w:t>
      </w:r>
      <w:proofErr w:type="gramStart"/>
      <w:r w:rsidR="007859A3" w:rsidRPr="00507DE2">
        <w:rPr>
          <w:b/>
        </w:rPr>
        <w:t>stays</w:t>
      </w:r>
      <w:proofErr w:type="gramEnd"/>
    </w:p>
    <w:p w14:paraId="32AC6CEE" w14:textId="4F220E76" w:rsidR="007859A3" w:rsidRDefault="007859A3" w:rsidP="002C40AD">
      <w:pPr>
        <w:keepNext/>
        <w:jc w:val="center"/>
        <w:rPr>
          <w:highlight w:val="yellow"/>
        </w:rPr>
      </w:pPr>
      <w:r>
        <w:rPr>
          <w:rFonts w:ascii="Calibri" w:eastAsia="Calibri" w:hAnsi="Calibri"/>
          <w:noProof/>
          <w:sz w:val="22"/>
          <w:lang w:eastAsia="zh-CN"/>
        </w:rPr>
        <w:drawing>
          <wp:inline distT="0" distB="0" distL="0" distR="0" wp14:anchorId="5D9E2DC9" wp14:editId="39B425FC">
            <wp:extent cx="6276975" cy="3028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6975" cy="3028950"/>
                    </a:xfrm>
                    <a:prstGeom prst="rect">
                      <a:avLst/>
                    </a:prstGeom>
                    <a:noFill/>
                    <a:ln>
                      <a:noFill/>
                    </a:ln>
                  </pic:spPr>
                </pic:pic>
              </a:graphicData>
            </a:graphic>
          </wp:inline>
        </w:drawing>
      </w:r>
    </w:p>
    <w:p w14:paraId="1BDBA375" w14:textId="77777777" w:rsidR="007859A3" w:rsidRPr="00DD1F30" w:rsidRDefault="007859A3" w:rsidP="007859A3">
      <w:pPr>
        <w:jc w:val="both"/>
        <w:rPr>
          <w:highlight w:val="yellow"/>
        </w:rPr>
      </w:pPr>
    </w:p>
    <w:p w14:paraId="541A6D6F" w14:textId="76E0A80E" w:rsidR="007859A3" w:rsidRPr="005665E9" w:rsidRDefault="005B6E37" w:rsidP="007859A3">
      <w:pPr>
        <w:pStyle w:val="Heading3"/>
      </w:pPr>
      <w:bookmarkStart w:id="21" w:name="_Toc173318874"/>
      <w:r>
        <w:t>Interval</w:t>
      </w:r>
      <w:r w:rsidRPr="005665E9">
        <w:t xml:space="preserve"> </w:t>
      </w:r>
      <w:r w:rsidR="00DC5076">
        <w:t>b</w:t>
      </w:r>
      <w:r w:rsidR="007859A3" w:rsidRPr="005665E9">
        <w:t xml:space="preserve">etween </w:t>
      </w:r>
      <w:r w:rsidR="00DC5076">
        <w:t>I</w:t>
      </w:r>
      <w:r w:rsidR="007859A3" w:rsidRPr="005665E9">
        <w:t xml:space="preserve">ndex and </w:t>
      </w:r>
      <w:r w:rsidR="00DC5076">
        <w:t>R</w:t>
      </w:r>
      <w:r w:rsidR="007859A3" w:rsidRPr="005665E9">
        <w:t xml:space="preserve">eadmission </w:t>
      </w:r>
      <w:r w:rsidR="00DC5076">
        <w:t>S</w:t>
      </w:r>
      <w:r w:rsidR="007859A3" w:rsidRPr="005665E9">
        <w:t>tays</w:t>
      </w:r>
      <w:bookmarkEnd w:id="21"/>
    </w:p>
    <w:p w14:paraId="14E5226E" w14:textId="6AACDC18" w:rsidR="007859A3" w:rsidRDefault="007859A3" w:rsidP="007859A3">
      <w:pPr>
        <w:jc w:val="both"/>
      </w:pPr>
      <w:r w:rsidRPr="005665E9">
        <w:t xml:space="preserve">As demonstrated in Figure </w:t>
      </w:r>
      <w:r w:rsidR="00ED3EE6">
        <w:t>3</w:t>
      </w:r>
      <w:r w:rsidRPr="005665E9">
        <w:t>, the time</w:t>
      </w:r>
      <w:r>
        <w:t xml:space="preserve"> </w:t>
      </w:r>
      <w:r w:rsidR="007E478A">
        <w:t>interval</w:t>
      </w:r>
      <w:r>
        <w:t xml:space="preserve"> is specified as the days between the index stay discharge date and the acute readmission stay admit date for the patient.</w:t>
      </w:r>
    </w:p>
    <w:p w14:paraId="3566870A" w14:textId="3F0BFF08" w:rsidR="007859A3" w:rsidRDefault="007859A3" w:rsidP="007859A3">
      <w:pPr>
        <w:jc w:val="both"/>
      </w:pPr>
      <w:r>
        <w:t xml:space="preserve">Acute readmission can occur for </w:t>
      </w:r>
      <w:proofErr w:type="gramStart"/>
      <w:r>
        <w:t>a number of</w:t>
      </w:r>
      <w:proofErr w:type="gramEnd"/>
      <w:r>
        <w:t xml:space="preserve"> reasons which change over time from a discharge. </w:t>
      </w:r>
      <w:proofErr w:type="gramStart"/>
      <w:r>
        <w:t>Therefore</w:t>
      </w:r>
      <w:proofErr w:type="gramEnd"/>
      <w:r>
        <w:t xml:space="preserve"> readmission defined at different time points can reflect that patients have a range of needs and receive different services at different points on their journey. Four </w:t>
      </w:r>
      <w:r w:rsidR="00ED3EE6">
        <w:t>intervals</w:t>
      </w:r>
      <w:r>
        <w:t xml:space="preserve"> of readmissio</w:t>
      </w:r>
      <w:r w:rsidR="00ED3EE6">
        <w:t>ns measure are derived (Table 2</w:t>
      </w:r>
      <w:r>
        <w:t>).</w:t>
      </w:r>
      <w:r w:rsidR="00ED3EE6">
        <w:t xml:space="preserve">  Each of these intervals are mutually exclusive of one and others.</w:t>
      </w:r>
    </w:p>
    <w:p w14:paraId="39576380" w14:textId="10D7B474" w:rsidR="007859A3" w:rsidRDefault="007859A3" w:rsidP="007859A3">
      <w:pPr>
        <w:jc w:val="both"/>
        <w:rPr>
          <w:highlight w:val="yellow"/>
        </w:rPr>
      </w:pPr>
      <w:r w:rsidRPr="00EF3C25">
        <w:rPr>
          <w:b/>
        </w:rPr>
        <w:t>Table</w:t>
      </w:r>
      <w:r>
        <w:rPr>
          <w:b/>
        </w:rPr>
        <w:t xml:space="preserve"> </w:t>
      </w:r>
      <w:r w:rsidR="00ED3EE6">
        <w:rPr>
          <w:b/>
        </w:rPr>
        <w:t>2</w:t>
      </w:r>
      <w:r w:rsidRPr="00EF3C25">
        <w:rPr>
          <w:b/>
        </w:rPr>
        <w:t xml:space="preserve">. Four </w:t>
      </w:r>
      <w:r w:rsidR="00ED3EE6">
        <w:rPr>
          <w:b/>
        </w:rPr>
        <w:t>intervals</w:t>
      </w:r>
      <w:r w:rsidRPr="00EF3C25">
        <w:rPr>
          <w:b/>
        </w:rPr>
        <w:t xml:space="preserve"> of readmission measure based on the difference between index stay discharge date and readmission stay admit </w:t>
      </w:r>
      <w:proofErr w:type="gramStart"/>
      <w:r w:rsidRPr="00EF3C25">
        <w:rPr>
          <w:b/>
        </w:rPr>
        <w:t>date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7178"/>
      </w:tblGrid>
      <w:tr w:rsidR="007859A3" w:rsidRPr="00BB0DD7" w14:paraId="0C3BA755" w14:textId="77777777" w:rsidTr="0099764F">
        <w:trPr>
          <w:jc w:val="center"/>
        </w:trPr>
        <w:tc>
          <w:tcPr>
            <w:tcW w:w="1838" w:type="dxa"/>
            <w:shd w:val="clear" w:color="auto" w:fill="9CC2E5"/>
          </w:tcPr>
          <w:p w14:paraId="6890E94F" w14:textId="735814AC" w:rsidR="007859A3" w:rsidRPr="00BB0DD7" w:rsidRDefault="00ED3EE6" w:rsidP="007859A3">
            <w:pPr>
              <w:spacing w:before="0" w:line="240" w:lineRule="auto"/>
              <w:jc w:val="both"/>
              <w:rPr>
                <w:b/>
              </w:rPr>
            </w:pPr>
            <w:r>
              <w:rPr>
                <w:b/>
              </w:rPr>
              <w:t>Interval</w:t>
            </w:r>
          </w:p>
        </w:tc>
        <w:tc>
          <w:tcPr>
            <w:tcW w:w="7178" w:type="dxa"/>
            <w:shd w:val="clear" w:color="auto" w:fill="9CC2E5"/>
          </w:tcPr>
          <w:p w14:paraId="1A53644D" w14:textId="77777777" w:rsidR="007859A3" w:rsidRPr="00BB0DD7" w:rsidRDefault="007859A3" w:rsidP="007859A3">
            <w:pPr>
              <w:spacing w:before="0" w:line="240" w:lineRule="auto"/>
              <w:jc w:val="both"/>
              <w:rPr>
                <w:b/>
              </w:rPr>
            </w:pPr>
            <w:r w:rsidRPr="00BB0DD7">
              <w:rPr>
                <w:b/>
              </w:rPr>
              <w:t>Description</w:t>
            </w:r>
          </w:p>
        </w:tc>
      </w:tr>
      <w:tr w:rsidR="007859A3" w:rsidRPr="00BB0DD7" w14:paraId="13206127" w14:textId="77777777" w:rsidTr="0099764F">
        <w:trPr>
          <w:jc w:val="center"/>
        </w:trPr>
        <w:tc>
          <w:tcPr>
            <w:tcW w:w="1838" w:type="dxa"/>
          </w:tcPr>
          <w:p w14:paraId="678F14AF" w14:textId="77777777" w:rsidR="007859A3" w:rsidRPr="00BB0DD7" w:rsidRDefault="007859A3" w:rsidP="007859A3">
            <w:pPr>
              <w:spacing w:before="0" w:line="240" w:lineRule="auto"/>
              <w:jc w:val="both"/>
              <w:rPr>
                <w:b/>
              </w:rPr>
            </w:pPr>
            <w:r>
              <w:rPr>
                <w:b/>
              </w:rPr>
              <w:t>0-</w:t>
            </w:r>
            <w:r w:rsidRPr="00BB0DD7">
              <w:rPr>
                <w:b/>
              </w:rPr>
              <w:t>3 days</w:t>
            </w:r>
          </w:p>
        </w:tc>
        <w:tc>
          <w:tcPr>
            <w:tcW w:w="7178" w:type="dxa"/>
          </w:tcPr>
          <w:p w14:paraId="77196F3D" w14:textId="77777777" w:rsidR="007859A3" w:rsidRPr="00BB0DD7" w:rsidRDefault="007859A3" w:rsidP="007859A3">
            <w:pPr>
              <w:spacing w:before="0" w:line="240" w:lineRule="auto"/>
              <w:jc w:val="both"/>
            </w:pPr>
            <w:r w:rsidRPr="00BB0DD7">
              <w:t>Readmissions within three days represent a potential failure in clinical care and discharge. There is a high probability that readmission stay will be for the same or similar clinical reasons to the index stay.</w:t>
            </w:r>
          </w:p>
          <w:p w14:paraId="25CD660E" w14:textId="77777777" w:rsidR="007859A3" w:rsidRPr="00BB0DD7" w:rsidRDefault="007859A3" w:rsidP="007859A3">
            <w:pPr>
              <w:spacing w:before="0" w:line="240" w:lineRule="auto"/>
              <w:jc w:val="both"/>
            </w:pPr>
          </w:p>
          <w:p w14:paraId="53D0FA55" w14:textId="77777777" w:rsidR="007859A3" w:rsidRPr="00BB0DD7" w:rsidRDefault="007859A3" w:rsidP="007859A3">
            <w:pPr>
              <w:spacing w:before="0" w:line="240" w:lineRule="auto"/>
              <w:jc w:val="both"/>
            </w:pPr>
            <w:r w:rsidRPr="00BB0DD7">
              <w:t>Key focus – clinical issues.</w:t>
            </w:r>
          </w:p>
        </w:tc>
      </w:tr>
      <w:tr w:rsidR="007859A3" w:rsidRPr="00BB0DD7" w14:paraId="33FE81AB" w14:textId="77777777" w:rsidTr="0099764F">
        <w:trPr>
          <w:jc w:val="center"/>
        </w:trPr>
        <w:tc>
          <w:tcPr>
            <w:tcW w:w="1838" w:type="dxa"/>
          </w:tcPr>
          <w:p w14:paraId="5C3BD993" w14:textId="77777777" w:rsidR="007859A3" w:rsidRPr="00BB0DD7" w:rsidRDefault="007859A3" w:rsidP="007859A3">
            <w:pPr>
              <w:spacing w:before="0" w:line="240" w:lineRule="auto"/>
              <w:jc w:val="both"/>
              <w:rPr>
                <w:b/>
              </w:rPr>
            </w:pPr>
            <w:r>
              <w:rPr>
                <w:b/>
              </w:rPr>
              <w:t>4-</w:t>
            </w:r>
            <w:r w:rsidRPr="00BB0DD7">
              <w:rPr>
                <w:b/>
              </w:rPr>
              <w:t>7 days</w:t>
            </w:r>
          </w:p>
        </w:tc>
        <w:tc>
          <w:tcPr>
            <w:tcW w:w="7178" w:type="dxa"/>
          </w:tcPr>
          <w:p w14:paraId="7F16D662" w14:textId="77777777" w:rsidR="007859A3" w:rsidRPr="00BB0DD7" w:rsidRDefault="007859A3" w:rsidP="007859A3">
            <w:pPr>
              <w:spacing w:before="0" w:line="240" w:lineRule="auto"/>
              <w:jc w:val="both"/>
            </w:pPr>
            <w:r w:rsidRPr="00BB0DD7">
              <w:t xml:space="preserve">Readmissions </w:t>
            </w:r>
            <w:r>
              <w:t xml:space="preserve">between four and </w:t>
            </w:r>
            <w:r w:rsidRPr="00BB0DD7">
              <w:t>seven days also represent a potential failure in discharge. Again, there is a higher probability that readmission will be for the same or similar clinical reasons to the index stay, with services supporting the discharge in place.</w:t>
            </w:r>
          </w:p>
          <w:p w14:paraId="2A2B62B7" w14:textId="77777777" w:rsidR="007859A3" w:rsidRPr="00BB0DD7" w:rsidRDefault="007859A3" w:rsidP="007859A3">
            <w:pPr>
              <w:spacing w:before="0" w:line="240" w:lineRule="auto"/>
              <w:jc w:val="both"/>
            </w:pPr>
          </w:p>
          <w:p w14:paraId="5D76DCB9" w14:textId="77777777" w:rsidR="007859A3" w:rsidRPr="00BB0DD7" w:rsidRDefault="007859A3" w:rsidP="007859A3">
            <w:pPr>
              <w:spacing w:before="0" w:line="240" w:lineRule="auto"/>
              <w:jc w:val="both"/>
            </w:pPr>
            <w:r w:rsidRPr="00BB0DD7">
              <w:t>Key focus – discharge and coordination issues.</w:t>
            </w:r>
          </w:p>
        </w:tc>
      </w:tr>
      <w:tr w:rsidR="007859A3" w:rsidRPr="00BB0DD7" w14:paraId="316788D7" w14:textId="77777777" w:rsidTr="0099764F">
        <w:trPr>
          <w:jc w:val="center"/>
        </w:trPr>
        <w:tc>
          <w:tcPr>
            <w:tcW w:w="1838" w:type="dxa"/>
          </w:tcPr>
          <w:p w14:paraId="45C15C81" w14:textId="77777777" w:rsidR="007859A3" w:rsidRPr="00BB0DD7" w:rsidRDefault="007859A3" w:rsidP="007859A3">
            <w:pPr>
              <w:spacing w:before="0" w:line="240" w:lineRule="auto"/>
              <w:jc w:val="both"/>
              <w:rPr>
                <w:b/>
              </w:rPr>
            </w:pPr>
            <w:r>
              <w:rPr>
                <w:b/>
              </w:rPr>
              <w:t>8-</w:t>
            </w:r>
            <w:r w:rsidRPr="00BB0DD7">
              <w:rPr>
                <w:b/>
              </w:rPr>
              <w:t>28 days</w:t>
            </w:r>
          </w:p>
        </w:tc>
        <w:tc>
          <w:tcPr>
            <w:tcW w:w="7178" w:type="dxa"/>
          </w:tcPr>
          <w:p w14:paraId="2606A379" w14:textId="77777777" w:rsidR="007859A3" w:rsidRPr="00BB0DD7" w:rsidRDefault="007859A3" w:rsidP="007859A3">
            <w:pPr>
              <w:spacing w:before="0" w:line="240" w:lineRule="auto"/>
              <w:jc w:val="both"/>
            </w:pPr>
            <w:r w:rsidRPr="00BB0DD7">
              <w:t xml:space="preserve">Readmissions </w:t>
            </w:r>
            <w:r>
              <w:t xml:space="preserve">between eight and </w:t>
            </w:r>
            <w:r w:rsidRPr="00BB0DD7">
              <w:t xml:space="preserve">28 days have been the traditional performance measure in New Zealand.  </w:t>
            </w:r>
            <w:proofErr w:type="gramStart"/>
            <w:r w:rsidRPr="00BB0DD7">
              <w:t>The majority of</w:t>
            </w:r>
            <w:proofErr w:type="gramEnd"/>
            <w:r w:rsidRPr="00BB0DD7">
              <w:t xml:space="preserve"> readmissions occur before this time point. After this point, readmissions appear to be more constant across time. It may also be the time after which readmissions are more likely to be for conditions unrelated to the index admission.</w:t>
            </w:r>
          </w:p>
          <w:p w14:paraId="67BA0DEE" w14:textId="77777777" w:rsidR="007859A3" w:rsidRPr="00BB0DD7" w:rsidRDefault="007859A3" w:rsidP="007859A3">
            <w:pPr>
              <w:spacing w:before="0" w:line="240" w:lineRule="auto"/>
              <w:jc w:val="both"/>
            </w:pPr>
          </w:p>
          <w:p w14:paraId="67B54D68" w14:textId="77777777" w:rsidR="007859A3" w:rsidRPr="00BB0DD7" w:rsidRDefault="007859A3" w:rsidP="007859A3">
            <w:pPr>
              <w:spacing w:before="0" w:line="240" w:lineRule="auto"/>
              <w:jc w:val="both"/>
            </w:pPr>
            <w:r w:rsidRPr="00BB0DD7">
              <w:t xml:space="preserve">Key focus – discharge, </w:t>
            </w:r>
            <w:proofErr w:type="gramStart"/>
            <w:r w:rsidRPr="00BB0DD7">
              <w:t>coordination</w:t>
            </w:r>
            <w:proofErr w:type="gramEnd"/>
            <w:r w:rsidRPr="00BB0DD7">
              <w:t xml:space="preserve"> and community care issues.</w:t>
            </w:r>
          </w:p>
        </w:tc>
      </w:tr>
      <w:tr w:rsidR="007859A3" w:rsidRPr="00BB0DD7" w14:paraId="10095FDE" w14:textId="77777777" w:rsidTr="0099764F">
        <w:trPr>
          <w:jc w:val="center"/>
        </w:trPr>
        <w:tc>
          <w:tcPr>
            <w:tcW w:w="1838" w:type="dxa"/>
          </w:tcPr>
          <w:p w14:paraId="6BF975D2" w14:textId="77777777" w:rsidR="007859A3" w:rsidRPr="00BB0DD7" w:rsidRDefault="007859A3" w:rsidP="007859A3">
            <w:pPr>
              <w:spacing w:before="0" w:line="240" w:lineRule="auto"/>
              <w:jc w:val="both"/>
              <w:rPr>
                <w:b/>
              </w:rPr>
            </w:pPr>
            <w:r>
              <w:rPr>
                <w:b/>
              </w:rPr>
              <w:lastRenderedPageBreak/>
              <w:t>29-</w:t>
            </w:r>
            <w:r w:rsidRPr="00BB0DD7">
              <w:rPr>
                <w:b/>
              </w:rPr>
              <w:t>180 days</w:t>
            </w:r>
          </w:p>
        </w:tc>
        <w:tc>
          <w:tcPr>
            <w:tcW w:w="7178" w:type="dxa"/>
          </w:tcPr>
          <w:p w14:paraId="5C29F1B3" w14:textId="67658C03" w:rsidR="007859A3" w:rsidRPr="00BB0DD7" w:rsidRDefault="007859A3" w:rsidP="007859A3">
            <w:pPr>
              <w:spacing w:before="0" w:line="240" w:lineRule="auto"/>
              <w:jc w:val="both"/>
            </w:pPr>
            <w:r w:rsidRPr="00BB0DD7">
              <w:t xml:space="preserve">Readmissions </w:t>
            </w:r>
            <w:r w:rsidR="007E478A">
              <w:t xml:space="preserve">occurring after a </w:t>
            </w:r>
            <w:r w:rsidRPr="00BB0DD7">
              <w:t xml:space="preserve">longer </w:t>
            </w:r>
            <w:r w:rsidR="007E478A">
              <w:t>interval</w:t>
            </w:r>
            <w:r w:rsidRPr="00BB0DD7">
              <w:t xml:space="preserve"> allow consideration of community services and general practice to support care.  Towards 180 days, long-term conditions and frailty are likely to be key contributors.</w:t>
            </w:r>
          </w:p>
          <w:p w14:paraId="502A35F8" w14:textId="77777777" w:rsidR="007859A3" w:rsidRPr="00BB0DD7" w:rsidRDefault="007859A3" w:rsidP="007859A3">
            <w:pPr>
              <w:spacing w:before="0" w:line="240" w:lineRule="auto"/>
              <w:jc w:val="both"/>
            </w:pPr>
          </w:p>
          <w:p w14:paraId="7E65520B" w14:textId="77777777" w:rsidR="007859A3" w:rsidRPr="00BB0DD7" w:rsidRDefault="007859A3" w:rsidP="007859A3">
            <w:pPr>
              <w:spacing w:before="0" w:line="240" w:lineRule="auto"/>
              <w:jc w:val="both"/>
            </w:pPr>
            <w:r w:rsidRPr="00BB0DD7">
              <w:t>Key focus – support and community care issues.</w:t>
            </w:r>
          </w:p>
        </w:tc>
      </w:tr>
    </w:tbl>
    <w:p w14:paraId="226F14CB" w14:textId="77777777" w:rsidR="00DD1F30" w:rsidRDefault="00DD1F30" w:rsidP="005731A2">
      <w:pPr>
        <w:jc w:val="both"/>
        <w:rPr>
          <w:highlight w:val="yellow"/>
        </w:rPr>
      </w:pPr>
    </w:p>
    <w:p w14:paraId="7A1306EC" w14:textId="3DA458AD" w:rsidR="004B6974" w:rsidRPr="003F5C66" w:rsidRDefault="004B6974" w:rsidP="004B6974">
      <w:pPr>
        <w:pStyle w:val="Heading1"/>
      </w:pPr>
      <w:bookmarkStart w:id="22" w:name="_Toc173318875"/>
      <w:r w:rsidRPr="004B6974">
        <w:t>Counting of Index and Readmission Stays</w:t>
      </w:r>
      <w:bookmarkEnd w:id="22"/>
    </w:p>
    <w:p w14:paraId="4FA24D66" w14:textId="6F841FF6" w:rsidR="004F0D5D" w:rsidRPr="00F15CB2" w:rsidRDefault="004F0D5D" w:rsidP="004F0D5D">
      <w:pPr>
        <w:jc w:val="both"/>
      </w:pPr>
      <w:r w:rsidRPr="00F15CB2">
        <w:t xml:space="preserve">The measure is meant to be comprehensive. </w:t>
      </w:r>
      <w:proofErr w:type="gramStart"/>
      <w:r w:rsidRPr="00F15CB2">
        <w:t>So</w:t>
      </w:r>
      <w:proofErr w:type="gramEnd"/>
      <w:r w:rsidRPr="00F15CB2">
        <w:t xml:space="preserve"> all types of </w:t>
      </w:r>
      <w:r w:rsidR="00E15389">
        <w:t xml:space="preserve">hospital inpatient stays associated with an </w:t>
      </w:r>
      <w:r w:rsidRPr="00F15CB2">
        <w:t xml:space="preserve">acute </w:t>
      </w:r>
      <w:r w:rsidR="00F15CB2" w:rsidRPr="00F15CB2">
        <w:t xml:space="preserve">readmission </w:t>
      </w:r>
      <w:r w:rsidR="00E15389">
        <w:t>stay</w:t>
      </w:r>
      <w:r w:rsidRPr="00F15CB2">
        <w:t xml:space="preserve"> should be included unless there is a strong rationale for exclusion. For the </w:t>
      </w:r>
      <w:r w:rsidR="00AF54A1">
        <w:t>prevention</w:t>
      </w:r>
      <w:r w:rsidRPr="00F15CB2">
        <w:t xml:space="preserve"> of confusion, the activities that are explicitly included or excluded are outlined below.</w:t>
      </w:r>
    </w:p>
    <w:p w14:paraId="1B72388C" w14:textId="76651A15" w:rsidR="008D70EA" w:rsidRDefault="008D70EA" w:rsidP="008D70EA">
      <w:pPr>
        <w:jc w:val="both"/>
      </w:pPr>
      <w:r>
        <w:t>Both the inclusion and exclusion rules are applied at ‘Inpatient stay’ level rather than ‘Inpatient event’ level</w:t>
      </w:r>
      <w:r w:rsidR="00ED3EE6">
        <w:t xml:space="preserve"> in all four intervals of the readmission measure</w:t>
      </w:r>
      <w:r>
        <w:t xml:space="preserve">. </w:t>
      </w:r>
      <w:r w:rsidR="00ED3EE6">
        <w:t xml:space="preserve">Counting of index and readmission stays under each interval is </w:t>
      </w:r>
      <w:r w:rsidR="009262FD">
        <w:t xml:space="preserve">restricted to the specific interval criteria, </w:t>
      </w:r>
      <w:proofErr w:type="gramStart"/>
      <w:r w:rsidR="009262FD">
        <w:t>i.e.</w:t>
      </w:r>
      <w:proofErr w:type="gramEnd"/>
      <w:r w:rsidR="009262FD">
        <w:t xml:space="preserve"> readmission within 0-3 days, 4-7 days, etc.</w:t>
      </w:r>
    </w:p>
    <w:p w14:paraId="1F46B65F" w14:textId="52CFB3AA" w:rsidR="008D70EA" w:rsidRDefault="008D70EA" w:rsidP="008D70EA">
      <w:pPr>
        <w:jc w:val="both"/>
      </w:pPr>
      <w:r>
        <w:t xml:space="preserve">For example, if a stay contains both </w:t>
      </w:r>
      <w:proofErr w:type="spellStart"/>
      <w:r w:rsidR="00745038">
        <w:t>casemix</w:t>
      </w:r>
      <w:proofErr w:type="spellEnd"/>
      <w:r>
        <w:t xml:space="preserve"> events and non-</w:t>
      </w:r>
      <w:proofErr w:type="spellStart"/>
      <w:r w:rsidR="00745038">
        <w:t>casemix</w:t>
      </w:r>
      <w:proofErr w:type="spellEnd"/>
      <w:r>
        <w:t xml:space="preserve"> events, the stay will be determined as a </w:t>
      </w:r>
      <w:proofErr w:type="spellStart"/>
      <w:r w:rsidR="00745038">
        <w:t>casemix</w:t>
      </w:r>
      <w:proofErr w:type="spellEnd"/>
      <w:r>
        <w:t xml:space="preserve"> stay. </w:t>
      </w:r>
      <w:proofErr w:type="gramStart"/>
      <w:r>
        <w:t>Therefore</w:t>
      </w:r>
      <w:proofErr w:type="gramEnd"/>
      <w:r>
        <w:t xml:space="preserve"> the non-</w:t>
      </w:r>
      <w:proofErr w:type="spellStart"/>
      <w:r w:rsidR="00745038">
        <w:t>casemix</w:t>
      </w:r>
      <w:proofErr w:type="spellEnd"/>
      <w:r>
        <w:t xml:space="preserve"> events that form a part of the stay will not be excluded since non-</w:t>
      </w:r>
      <w:proofErr w:type="spellStart"/>
      <w:r w:rsidR="00745038">
        <w:t>casemix</w:t>
      </w:r>
      <w:proofErr w:type="spellEnd"/>
      <w:r>
        <w:t xml:space="preserve"> exclusion is applied at the ‘Inpatient stay’ level rather than ‘Inpatient event’ level.  As an example, many non-</w:t>
      </w:r>
      <w:proofErr w:type="spellStart"/>
      <w:r w:rsidR="00745038">
        <w:t>casemix</w:t>
      </w:r>
      <w:proofErr w:type="spellEnd"/>
      <w:r>
        <w:t xml:space="preserve"> </w:t>
      </w:r>
      <w:r w:rsidR="00AF54A1">
        <w:t>A</w:t>
      </w:r>
      <w:r w:rsidR="00AF54A1" w:rsidRPr="0078519F">
        <w:t xml:space="preserve">ssessment, </w:t>
      </w:r>
      <w:r w:rsidR="00AF54A1">
        <w:t>t</w:t>
      </w:r>
      <w:r w:rsidR="00AF54A1" w:rsidRPr="0078519F">
        <w:t xml:space="preserve">reatment and </w:t>
      </w:r>
      <w:r w:rsidR="00AF54A1">
        <w:t>rehabilitation (</w:t>
      </w:r>
      <w:r>
        <w:t>ATR</w:t>
      </w:r>
      <w:r w:rsidR="00AF54A1">
        <w:t>)</w:t>
      </w:r>
      <w:r>
        <w:t xml:space="preserve"> inpatient events are admitted immediately after the discharge from </w:t>
      </w:r>
      <w:proofErr w:type="spellStart"/>
      <w:r w:rsidR="00745038">
        <w:t>casemix</w:t>
      </w:r>
      <w:proofErr w:type="spellEnd"/>
      <w:r>
        <w:t xml:space="preserve"> events (</w:t>
      </w:r>
      <w:proofErr w:type="gramStart"/>
      <w:r>
        <w:t>e.g.</w:t>
      </w:r>
      <w:proofErr w:type="gramEnd"/>
      <w:r>
        <w:t xml:space="preserve"> Surgical discharge events). These inpatient stays will be deemed as </w:t>
      </w:r>
      <w:proofErr w:type="spellStart"/>
      <w:r w:rsidR="00745038">
        <w:t>casemix</w:t>
      </w:r>
      <w:proofErr w:type="spellEnd"/>
      <w:r>
        <w:t xml:space="preserve"> stays. As a result, the ATR events will be included since they form a part of the </w:t>
      </w:r>
      <w:proofErr w:type="spellStart"/>
      <w:r w:rsidR="00745038">
        <w:t>casemix</w:t>
      </w:r>
      <w:proofErr w:type="spellEnd"/>
      <w:r>
        <w:t xml:space="preserve"> stays.  </w:t>
      </w:r>
    </w:p>
    <w:p w14:paraId="76CF23CA" w14:textId="77777777" w:rsidR="008D70EA" w:rsidRDefault="008D70EA" w:rsidP="008D70EA">
      <w:pPr>
        <w:jc w:val="both"/>
      </w:pPr>
    </w:p>
    <w:p w14:paraId="52DAA120" w14:textId="64491AB1" w:rsidR="00EB7139" w:rsidRPr="008D70EA" w:rsidRDefault="00D07B40" w:rsidP="004B6974">
      <w:pPr>
        <w:pStyle w:val="Heading2"/>
      </w:pPr>
      <w:bookmarkStart w:id="23" w:name="_Toc173318876"/>
      <w:r w:rsidRPr="008D70EA">
        <w:t xml:space="preserve">Outline of </w:t>
      </w:r>
      <w:r w:rsidR="00DC5076">
        <w:t>I</w:t>
      </w:r>
      <w:r w:rsidR="00EB7139" w:rsidRPr="008D70EA">
        <w:t>nclusions</w:t>
      </w:r>
      <w:bookmarkEnd w:id="23"/>
    </w:p>
    <w:p w14:paraId="198D9207" w14:textId="03342EDC" w:rsidR="008D70EA" w:rsidRDefault="00D81B55" w:rsidP="00D81B55">
      <w:pPr>
        <w:jc w:val="both"/>
      </w:pPr>
      <w:r>
        <w:t xml:space="preserve">An ‘inclusion’ refers to </w:t>
      </w:r>
      <w:r w:rsidR="008D70EA">
        <w:t xml:space="preserve">an activity </w:t>
      </w:r>
      <w:r>
        <w:t>that remains in the dataset</w:t>
      </w:r>
      <w:r w:rsidR="008D70EA">
        <w:t xml:space="preserve">.  Some of these activities are flagged or grouped </w:t>
      </w:r>
      <w:proofErr w:type="gramStart"/>
      <w:r>
        <w:t xml:space="preserve">as </w:t>
      </w:r>
      <w:r w:rsidR="007E478A">
        <w:t xml:space="preserve">a </w:t>
      </w:r>
      <w:r w:rsidR="008D70EA">
        <w:t>way to</w:t>
      </w:r>
      <w:proofErr w:type="gramEnd"/>
      <w:r w:rsidR="008D70EA">
        <w:t xml:space="preserve"> stratify the data</w:t>
      </w:r>
      <w:r>
        <w:t xml:space="preserve"> </w:t>
      </w:r>
      <w:r w:rsidR="008D70EA">
        <w:t xml:space="preserve">to assist information users to conduct additional analysis to understand their patient’s care and stay data. For instance, </w:t>
      </w:r>
      <w:r>
        <w:t xml:space="preserve">further clinical analysis </w:t>
      </w:r>
      <w:r w:rsidR="008D70EA">
        <w:t>can be done to compare</w:t>
      </w:r>
      <w:r>
        <w:t xml:space="preserve"> readmission</w:t>
      </w:r>
      <w:r w:rsidR="009C15A6">
        <w:t>s</w:t>
      </w:r>
      <w:r>
        <w:t xml:space="preserve"> between different clinical categories of patients. </w:t>
      </w:r>
    </w:p>
    <w:p w14:paraId="1FABE5AF" w14:textId="4062F260" w:rsidR="0088211C" w:rsidRDefault="00D81B55" w:rsidP="0088211C">
      <w:pPr>
        <w:jc w:val="both"/>
      </w:pPr>
      <w:r>
        <w:t>The following are included in both the index and readmission stay</w:t>
      </w:r>
      <w:r w:rsidR="00F00E66">
        <w:t>s</w:t>
      </w:r>
      <w:r>
        <w:t xml:space="preserve"> and have been flagged to allow </w:t>
      </w:r>
      <w:r w:rsidRPr="008D70EA">
        <w:t>further analysis:</w:t>
      </w:r>
    </w:p>
    <w:p w14:paraId="28141EC1" w14:textId="77777777" w:rsidR="00C77D95" w:rsidRDefault="00C77D95" w:rsidP="00C77D95">
      <w:pPr>
        <w:ind w:left="360"/>
        <w:jc w:val="both"/>
      </w:pPr>
      <w:r>
        <w:t>With a flag:</w:t>
      </w:r>
    </w:p>
    <w:p w14:paraId="26EC9613" w14:textId="77777777" w:rsidR="00C77D95" w:rsidRPr="008D70EA" w:rsidRDefault="00C77D95" w:rsidP="00C77D95">
      <w:pPr>
        <w:pStyle w:val="ListParagraph"/>
        <w:numPr>
          <w:ilvl w:val="0"/>
          <w:numId w:val="3"/>
        </w:numPr>
        <w:jc w:val="both"/>
      </w:pPr>
      <w:r w:rsidRPr="008D70EA">
        <w:t>Inpatient short stays at emergency department (ED)</w:t>
      </w:r>
      <w:r>
        <w:t xml:space="preserve">, aka ED short stays </w:t>
      </w:r>
    </w:p>
    <w:p w14:paraId="5D462713" w14:textId="77777777" w:rsidR="00C77D95" w:rsidRPr="008D70EA" w:rsidRDefault="00C77D95" w:rsidP="00C77D95">
      <w:pPr>
        <w:pStyle w:val="ListParagraph"/>
        <w:numPr>
          <w:ilvl w:val="0"/>
          <w:numId w:val="3"/>
        </w:numPr>
        <w:jc w:val="both"/>
      </w:pPr>
      <w:r w:rsidRPr="008D70EA">
        <w:t xml:space="preserve">Palliative </w:t>
      </w:r>
      <w:r>
        <w:t>c</w:t>
      </w:r>
      <w:r w:rsidRPr="008D70EA">
        <w:t>are</w:t>
      </w:r>
    </w:p>
    <w:p w14:paraId="6755EB60" w14:textId="32FAE787" w:rsidR="00C77D95" w:rsidRPr="0034297B" w:rsidRDefault="00C77D95" w:rsidP="00C77D95">
      <w:pPr>
        <w:pStyle w:val="ListParagraph"/>
        <w:numPr>
          <w:ilvl w:val="0"/>
          <w:numId w:val="3"/>
        </w:numPr>
        <w:jc w:val="both"/>
      </w:pPr>
      <w:r w:rsidRPr="0034297B">
        <w:t xml:space="preserve">Cancer treatments </w:t>
      </w:r>
    </w:p>
    <w:p w14:paraId="6633BC28" w14:textId="77777777" w:rsidR="00C77D95" w:rsidRPr="008D70EA" w:rsidRDefault="00C77D95" w:rsidP="00C77D95">
      <w:pPr>
        <w:pStyle w:val="ListParagraph"/>
        <w:numPr>
          <w:ilvl w:val="0"/>
          <w:numId w:val="3"/>
        </w:numPr>
        <w:jc w:val="both"/>
      </w:pPr>
      <w:r w:rsidRPr="008D70EA">
        <w:t xml:space="preserve">Paediatric </w:t>
      </w:r>
      <w:r>
        <w:t>services</w:t>
      </w:r>
    </w:p>
    <w:p w14:paraId="69C63527" w14:textId="15FC89AA" w:rsidR="00C77D95" w:rsidRPr="008D70EA" w:rsidRDefault="00234DB6" w:rsidP="00C77D95">
      <w:pPr>
        <w:pStyle w:val="ListParagraph"/>
        <w:numPr>
          <w:ilvl w:val="0"/>
          <w:numId w:val="3"/>
        </w:numPr>
        <w:jc w:val="both"/>
      </w:pPr>
      <w:r>
        <w:t>Geriatric services</w:t>
      </w:r>
    </w:p>
    <w:p w14:paraId="73F20536" w14:textId="77777777" w:rsidR="00C77D95" w:rsidRDefault="00C77D95" w:rsidP="00C77D95">
      <w:pPr>
        <w:pStyle w:val="ListParagraph"/>
        <w:numPr>
          <w:ilvl w:val="0"/>
          <w:numId w:val="3"/>
        </w:numPr>
        <w:jc w:val="both"/>
      </w:pPr>
      <w:r w:rsidRPr="008D70EA">
        <w:t>Long term conditions</w:t>
      </w:r>
    </w:p>
    <w:p w14:paraId="26BEE5F9" w14:textId="30D5F3CE" w:rsidR="00C77D95" w:rsidRDefault="00C77D95" w:rsidP="00C77D95">
      <w:pPr>
        <w:pStyle w:val="ListParagraph"/>
        <w:numPr>
          <w:ilvl w:val="0"/>
          <w:numId w:val="3"/>
        </w:numPr>
        <w:jc w:val="both"/>
      </w:pPr>
      <w:r>
        <w:t xml:space="preserve">Mental health events (that is, individual events embedded in stays, except </w:t>
      </w:r>
      <w:r w:rsidR="00450C9F">
        <w:t xml:space="preserve">when </w:t>
      </w:r>
      <w:r w:rsidR="00E563B5">
        <w:t xml:space="preserve">a </w:t>
      </w:r>
      <w:r w:rsidR="00450C9F">
        <w:t xml:space="preserve">stay started with </w:t>
      </w:r>
      <w:r>
        <w:t>the first event</w:t>
      </w:r>
      <w:r w:rsidR="00450C9F">
        <w:t xml:space="preserve"> being a mental health event</w:t>
      </w:r>
      <w:r>
        <w:t>)</w:t>
      </w:r>
    </w:p>
    <w:p w14:paraId="048956F4" w14:textId="77777777" w:rsidR="00C77D95" w:rsidRDefault="00C77D95" w:rsidP="00C77D95">
      <w:pPr>
        <w:pStyle w:val="ListParagraph"/>
        <w:numPr>
          <w:ilvl w:val="0"/>
          <w:numId w:val="3"/>
        </w:numPr>
        <w:jc w:val="both"/>
      </w:pPr>
      <w:r w:rsidRPr="008D70EA">
        <w:t>Overseas patients</w:t>
      </w:r>
      <w:r>
        <w:t>.</w:t>
      </w:r>
    </w:p>
    <w:p w14:paraId="38017836" w14:textId="633290A3" w:rsidR="0039114D" w:rsidRPr="00393853" w:rsidRDefault="00BE624E" w:rsidP="00BE624E">
      <w:pPr>
        <w:keepNext/>
        <w:ind w:left="360"/>
        <w:jc w:val="both"/>
        <w:rPr>
          <w:caps/>
        </w:rPr>
      </w:pPr>
      <w:r w:rsidRPr="00BE624E">
        <w:t xml:space="preserve">If Ambulatory Sensitive Hospitalisation (ASH) conditions such as ischaemic heart disease, diabetes, stroke, </w:t>
      </w:r>
      <w:proofErr w:type="gramStart"/>
      <w:r w:rsidRPr="00BE624E">
        <w:t>asthma</w:t>
      </w:r>
      <w:proofErr w:type="gramEnd"/>
      <w:r w:rsidRPr="00BE624E">
        <w:t xml:space="preserve"> and COPD were to be included the future revised </w:t>
      </w:r>
      <w:r w:rsidRPr="00BE624E">
        <w:lastRenderedPageBreak/>
        <w:t>model, this would require significant changes on the current model and definitions would need to be agreed to.</w:t>
      </w:r>
      <w:r>
        <w:t xml:space="preserve">  </w:t>
      </w:r>
      <w:r w:rsidR="0039114D">
        <w:t xml:space="preserve">  </w:t>
      </w:r>
    </w:p>
    <w:p w14:paraId="6A00B3E0" w14:textId="77777777" w:rsidR="0039114D" w:rsidRDefault="0039114D" w:rsidP="0039114D">
      <w:pPr>
        <w:jc w:val="both"/>
      </w:pPr>
    </w:p>
    <w:p w14:paraId="23D98BC9" w14:textId="77777777" w:rsidR="00C77D95" w:rsidRDefault="00C77D95" w:rsidP="00C77D95">
      <w:pPr>
        <w:keepNext/>
        <w:ind w:left="360"/>
        <w:jc w:val="both"/>
      </w:pPr>
      <w:r>
        <w:t>Without a flag:</w:t>
      </w:r>
    </w:p>
    <w:p w14:paraId="6BD459E3" w14:textId="73914227" w:rsidR="00C77D95" w:rsidRDefault="00C77D95" w:rsidP="00C77D95">
      <w:pPr>
        <w:pStyle w:val="ListParagraph"/>
        <w:keepNext/>
        <w:numPr>
          <w:ilvl w:val="0"/>
          <w:numId w:val="3"/>
        </w:numPr>
        <w:jc w:val="both"/>
      </w:pPr>
      <w:r>
        <w:t xml:space="preserve">Assessment, </w:t>
      </w:r>
      <w:proofErr w:type="gramStart"/>
      <w:r>
        <w:t>treatment</w:t>
      </w:r>
      <w:proofErr w:type="gramEnd"/>
      <w:r>
        <w:t xml:space="preserve"> and rehabilitation </w:t>
      </w:r>
      <w:r w:rsidR="0034297B">
        <w:t>services</w:t>
      </w:r>
      <w:r>
        <w:t xml:space="preserve"> (that is, individual events embedded in stays)</w:t>
      </w:r>
    </w:p>
    <w:p w14:paraId="4C893853" w14:textId="2D660C80" w:rsidR="00C77D95" w:rsidRPr="008D70EA" w:rsidRDefault="00C77D95" w:rsidP="00C77D95">
      <w:pPr>
        <w:pStyle w:val="ListParagraph"/>
        <w:numPr>
          <w:ilvl w:val="0"/>
          <w:numId w:val="3"/>
        </w:numPr>
        <w:jc w:val="both"/>
      </w:pPr>
      <w:r w:rsidRPr="008D70EA">
        <w:t>Event leave days (that is, leave day</w:t>
      </w:r>
      <w:r w:rsidR="009C15A6">
        <w:t>s</w:t>
      </w:r>
      <w:r w:rsidRPr="008D70EA">
        <w:t xml:space="preserve"> are not subtracted)</w:t>
      </w:r>
      <w:r>
        <w:t>.</w:t>
      </w:r>
    </w:p>
    <w:p w14:paraId="4742A07E" w14:textId="77777777" w:rsidR="00C77D95" w:rsidRDefault="00C77D95" w:rsidP="00C77D95">
      <w:pPr>
        <w:jc w:val="both"/>
      </w:pPr>
      <w:r>
        <w:t>The following are included in the index stays but excluded from the readmission stays:</w:t>
      </w:r>
    </w:p>
    <w:p w14:paraId="6213E188" w14:textId="77777777" w:rsidR="00C77D95" w:rsidRDefault="00C77D95" w:rsidP="00C77D95">
      <w:pPr>
        <w:pStyle w:val="ListParagraph"/>
        <w:numPr>
          <w:ilvl w:val="0"/>
          <w:numId w:val="3"/>
        </w:numPr>
        <w:jc w:val="both"/>
      </w:pPr>
      <w:r w:rsidRPr="00D81B55">
        <w:t>Non-acute stays (the first event has a non-acute admission type)</w:t>
      </w:r>
    </w:p>
    <w:p w14:paraId="2FBFFD7E" w14:textId="3EEF6FB0" w:rsidR="00C77D95" w:rsidRDefault="00C77D95" w:rsidP="00C77D95">
      <w:pPr>
        <w:pStyle w:val="ListParagraph"/>
        <w:numPr>
          <w:ilvl w:val="0"/>
          <w:numId w:val="3"/>
        </w:numPr>
        <w:jc w:val="both"/>
      </w:pPr>
      <w:r w:rsidRPr="0088211C">
        <w:t xml:space="preserve">Maternity </w:t>
      </w:r>
      <w:proofErr w:type="gramStart"/>
      <w:r w:rsidRPr="0088211C">
        <w:t>services</w:t>
      </w:r>
      <w:r w:rsidR="0031750D">
        <w:t>(</w:t>
      </w:r>
      <w:proofErr w:type="gramEnd"/>
      <w:r w:rsidR="0031750D">
        <w:t>Caesarean Delivery and Vaginal Delivery)</w:t>
      </w:r>
    </w:p>
    <w:p w14:paraId="736C9181" w14:textId="77777777" w:rsidR="00C77D95" w:rsidRDefault="00C77D95" w:rsidP="00C77D95">
      <w:pPr>
        <w:jc w:val="both"/>
      </w:pPr>
      <w:r w:rsidRPr="0088211C">
        <w:t xml:space="preserve">The following are included in the </w:t>
      </w:r>
      <w:r>
        <w:t xml:space="preserve">readmission </w:t>
      </w:r>
      <w:r w:rsidRPr="0088211C">
        <w:t>stay</w:t>
      </w:r>
      <w:r>
        <w:t>s</w:t>
      </w:r>
      <w:r w:rsidRPr="0088211C">
        <w:t xml:space="preserve"> but excluded from the </w:t>
      </w:r>
      <w:r>
        <w:t xml:space="preserve">index </w:t>
      </w:r>
      <w:r w:rsidRPr="0088211C">
        <w:t>stay:</w:t>
      </w:r>
    </w:p>
    <w:p w14:paraId="2716EDB0" w14:textId="77777777" w:rsidR="00C77D95" w:rsidRDefault="00C77D95" w:rsidP="00C77D95">
      <w:pPr>
        <w:pStyle w:val="ListParagraph"/>
        <w:numPr>
          <w:ilvl w:val="0"/>
          <w:numId w:val="3"/>
        </w:numPr>
        <w:jc w:val="both"/>
      </w:pPr>
      <w:r>
        <w:t>Deceased patients.</w:t>
      </w:r>
    </w:p>
    <w:p w14:paraId="7C1F56D5" w14:textId="59531739" w:rsidR="00C3649F" w:rsidRPr="0088211C" w:rsidRDefault="00C3649F" w:rsidP="00C77D95">
      <w:pPr>
        <w:pStyle w:val="ListParagraph"/>
        <w:numPr>
          <w:ilvl w:val="0"/>
          <w:numId w:val="3"/>
        </w:numPr>
        <w:jc w:val="both"/>
      </w:pPr>
      <w:r>
        <w:t>Incomplete stays</w:t>
      </w:r>
    </w:p>
    <w:p w14:paraId="35A93B1A" w14:textId="77777777" w:rsidR="00C77D95" w:rsidRPr="0040738B" w:rsidRDefault="00C77D95" w:rsidP="00C77D95">
      <w:pPr>
        <w:jc w:val="both"/>
      </w:pPr>
      <w:r w:rsidRPr="0040738B">
        <w:t>The ru</w:t>
      </w:r>
      <w:r>
        <w:t xml:space="preserve">le for these inclusions </w:t>
      </w:r>
      <w:proofErr w:type="gramStart"/>
      <w:r>
        <w:t>are</w:t>
      </w:r>
      <w:proofErr w:type="gramEnd"/>
      <w:r>
        <w:t xml:space="preserve"> in s</w:t>
      </w:r>
      <w:r w:rsidRPr="0040738B">
        <w:t xml:space="preserve">ection </w:t>
      </w:r>
      <w:r>
        <w:fldChar w:fldCharType="begin"/>
      </w:r>
      <w:r>
        <w:instrText xml:space="preserve"> REF _Ref448994313 \r \h </w:instrText>
      </w:r>
      <w:r>
        <w:fldChar w:fldCharType="separate"/>
      </w:r>
      <w:r w:rsidR="00DA17CE">
        <w:t>3.4</w:t>
      </w:r>
      <w:r>
        <w:fldChar w:fldCharType="end"/>
      </w:r>
      <w:r w:rsidRPr="0040738B">
        <w:t xml:space="preserve"> below.</w:t>
      </w:r>
    </w:p>
    <w:p w14:paraId="1B652579" w14:textId="77777777" w:rsidR="004F0D5D" w:rsidRDefault="004F0D5D" w:rsidP="005731A2">
      <w:pPr>
        <w:jc w:val="both"/>
        <w:rPr>
          <w:highlight w:val="yellow"/>
        </w:rPr>
      </w:pPr>
    </w:p>
    <w:p w14:paraId="678DF462" w14:textId="080C375E" w:rsidR="00C25AB7" w:rsidRPr="00D81B55" w:rsidRDefault="00DC5076" w:rsidP="004B6974">
      <w:pPr>
        <w:pStyle w:val="Heading2"/>
      </w:pPr>
      <w:bookmarkStart w:id="24" w:name="_Toc173318877"/>
      <w:r>
        <w:t>Outline of E</w:t>
      </w:r>
      <w:r w:rsidR="00043D99" w:rsidRPr="00D81B55">
        <w:t>xclusions</w:t>
      </w:r>
      <w:bookmarkEnd w:id="24"/>
    </w:p>
    <w:p w14:paraId="52E4702A" w14:textId="26BEB759" w:rsidR="00C77D95" w:rsidRPr="00D81B55" w:rsidRDefault="00C77D95" w:rsidP="00C77D95">
      <w:pPr>
        <w:jc w:val="both"/>
      </w:pPr>
      <w:r>
        <w:t xml:space="preserve">An ‘exclusion’ identifies data features that have been removed from the counting of index and/or readmission stays, with the intention of improving the integrity of the model. Data that are ‘excluded’ are </w:t>
      </w:r>
      <w:r w:rsidRPr="00D81B55">
        <w:t xml:space="preserve">not available </w:t>
      </w:r>
      <w:r>
        <w:t>in the output</w:t>
      </w:r>
      <w:r w:rsidRPr="00D81B55">
        <w:t>.</w:t>
      </w:r>
    </w:p>
    <w:p w14:paraId="20AFE296" w14:textId="77777777" w:rsidR="00C77D95" w:rsidRPr="00D81B55" w:rsidRDefault="00C77D95" w:rsidP="00C77D95">
      <w:pPr>
        <w:jc w:val="both"/>
      </w:pPr>
      <w:r w:rsidRPr="00D81B55">
        <w:t xml:space="preserve">The following are excluded </w:t>
      </w:r>
      <w:r>
        <w:t>in</w:t>
      </w:r>
      <w:r w:rsidRPr="00D81B55">
        <w:t xml:space="preserve"> both the index and readmission stay</w:t>
      </w:r>
      <w:r>
        <w:t>s</w:t>
      </w:r>
      <w:r w:rsidRPr="00D81B55">
        <w:t>:</w:t>
      </w:r>
    </w:p>
    <w:p w14:paraId="0DB86698" w14:textId="07BCEB9C" w:rsidR="001561CB" w:rsidRPr="007A4834" w:rsidRDefault="00C77D95" w:rsidP="001561CB">
      <w:pPr>
        <w:pStyle w:val="ListParagraph"/>
        <w:numPr>
          <w:ilvl w:val="0"/>
          <w:numId w:val="3"/>
        </w:numPr>
        <w:jc w:val="both"/>
      </w:pPr>
      <w:r w:rsidRPr="00D81B55">
        <w:t>Non-</w:t>
      </w:r>
      <w:proofErr w:type="spellStart"/>
      <w:r>
        <w:t>casemix</w:t>
      </w:r>
      <w:proofErr w:type="spellEnd"/>
      <w:r w:rsidRPr="00D81B55">
        <w:t xml:space="preserve"> stays (all events in the stay are non-</w:t>
      </w:r>
      <w:proofErr w:type="spellStart"/>
      <w:r>
        <w:t>casemix</w:t>
      </w:r>
      <w:proofErr w:type="spellEnd"/>
      <w:r>
        <w:t xml:space="preserve">, defined using </w:t>
      </w:r>
      <w:proofErr w:type="spellStart"/>
      <w:r>
        <w:t>casemix</w:t>
      </w:r>
      <w:proofErr w:type="spellEnd"/>
      <w:r>
        <w:t xml:space="preserve"> filter </w:t>
      </w:r>
      <w:r w:rsidR="001561CB" w:rsidRPr="007A4834">
        <w:t>wiesnz14</w:t>
      </w:r>
      <w:sdt>
        <w:sdtPr>
          <w:id w:val="2036693351"/>
          <w:citation/>
        </w:sdtPr>
        <w:sdtEndPr>
          <w:rPr>
            <w:sz w:val="16"/>
            <w:szCs w:val="16"/>
          </w:rPr>
        </w:sdtEndPr>
        <w:sdtContent>
          <w:r w:rsidR="001561CB" w:rsidRPr="007A4834">
            <w:rPr>
              <w:sz w:val="16"/>
              <w:szCs w:val="16"/>
            </w:rPr>
            <w:fldChar w:fldCharType="begin"/>
          </w:r>
          <w:r w:rsidR="001561CB" w:rsidRPr="007A4834">
            <w:rPr>
              <w:sz w:val="16"/>
              <w:szCs w:val="16"/>
            </w:rPr>
            <w:instrText xml:space="preserve">CITATION Min15 \l 5129 </w:instrText>
          </w:r>
          <w:r w:rsidR="001561CB" w:rsidRPr="007A4834">
            <w:rPr>
              <w:sz w:val="16"/>
              <w:szCs w:val="16"/>
            </w:rPr>
            <w:fldChar w:fldCharType="separate"/>
          </w:r>
          <w:r w:rsidR="00730C38">
            <w:rPr>
              <w:noProof/>
              <w:sz w:val="16"/>
              <w:szCs w:val="16"/>
            </w:rPr>
            <w:t xml:space="preserve"> </w:t>
          </w:r>
          <w:r w:rsidR="00730C38" w:rsidRPr="00730C38">
            <w:rPr>
              <w:noProof/>
              <w:sz w:val="16"/>
              <w:szCs w:val="16"/>
            </w:rPr>
            <w:t>[3]</w:t>
          </w:r>
          <w:r w:rsidR="001561CB" w:rsidRPr="007A4834">
            <w:rPr>
              <w:sz w:val="16"/>
              <w:szCs w:val="16"/>
            </w:rPr>
            <w:fldChar w:fldCharType="end"/>
          </w:r>
        </w:sdtContent>
      </w:sdt>
      <w:r w:rsidR="001561CB" w:rsidRPr="007A4834">
        <w:rPr>
          <w:szCs w:val="20"/>
        </w:rPr>
        <w:t xml:space="preserve">).  The future revised model is expected to use the </w:t>
      </w:r>
      <w:proofErr w:type="spellStart"/>
      <w:r w:rsidR="001561CB" w:rsidRPr="007A4834">
        <w:rPr>
          <w:szCs w:val="20"/>
        </w:rPr>
        <w:t>wiesnz</w:t>
      </w:r>
      <w:proofErr w:type="spellEnd"/>
      <w:r w:rsidR="001561CB" w:rsidRPr="007A4834">
        <w:rPr>
          <w:szCs w:val="20"/>
        </w:rPr>
        <w:t xml:space="preserve"> of the year.  This would allow </w:t>
      </w:r>
      <w:r w:rsidR="006202DF">
        <w:rPr>
          <w:szCs w:val="20"/>
        </w:rPr>
        <w:t>D</w:t>
      </w:r>
      <w:r w:rsidR="0042754E">
        <w:rPr>
          <w:szCs w:val="20"/>
        </w:rPr>
        <w:t>istrict</w:t>
      </w:r>
      <w:r w:rsidR="001561CB" w:rsidRPr="007A4834">
        <w:rPr>
          <w:szCs w:val="20"/>
        </w:rPr>
        <w:t xml:space="preserve">s to reconcile their data to the current year’s methodology based on which they are funded and monitored.  It would also address issues with changing ICD and DRG versions.  The drawback of using </w:t>
      </w:r>
      <w:proofErr w:type="spellStart"/>
      <w:r w:rsidR="001561CB" w:rsidRPr="007A4834">
        <w:rPr>
          <w:szCs w:val="20"/>
        </w:rPr>
        <w:t>wiesnz</w:t>
      </w:r>
      <w:proofErr w:type="spellEnd"/>
      <w:r w:rsidR="001561CB" w:rsidRPr="007A4834">
        <w:rPr>
          <w:szCs w:val="20"/>
        </w:rPr>
        <w:t xml:space="preserve"> of the year is it would limit trend analysis across years.</w:t>
      </w:r>
    </w:p>
    <w:p w14:paraId="545FC6D2" w14:textId="764488C4" w:rsidR="00C77D95" w:rsidRPr="00D81B55" w:rsidRDefault="00C77D95" w:rsidP="001561CB">
      <w:pPr>
        <w:pStyle w:val="ListParagraph"/>
        <w:numPr>
          <w:ilvl w:val="0"/>
          <w:numId w:val="3"/>
        </w:numPr>
        <w:jc w:val="both"/>
      </w:pPr>
      <w:r w:rsidRPr="00D81B55">
        <w:t>Mental health stay</w:t>
      </w:r>
      <w:r>
        <w:t>s (that is, the first event being identified as a mental health event).</w:t>
      </w:r>
    </w:p>
    <w:p w14:paraId="795B5195" w14:textId="77777777" w:rsidR="00C77D95" w:rsidRPr="00D81B55" w:rsidRDefault="00C77D95" w:rsidP="00C77D95">
      <w:pPr>
        <w:jc w:val="both"/>
      </w:pPr>
      <w:r w:rsidRPr="00D81B55">
        <w:t xml:space="preserve">The following are excluded </w:t>
      </w:r>
      <w:r>
        <w:t xml:space="preserve">in </w:t>
      </w:r>
      <w:r w:rsidRPr="00D81B55">
        <w:t xml:space="preserve">the </w:t>
      </w:r>
      <w:r>
        <w:t xml:space="preserve">index </w:t>
      </w:r>
      <w:r w:rsidRPr="00D81B55">
        <w:t>stay</w:t>
      </w:r>
      <w:r>
        <w:t>s</w:t>
      </w:r>
      <w:r w:rsidRPr="00D81B55">
        <w:t xml:space="preserve"> but included in the </w:t>
      </w:r>
      <w:r>
        <w:t>readmission</w:t>
      </w:r>
      <w:r w:rsidRPr="00D81B55">
        <w:t xml:space="preserve"> stay</w:t>
      </w:r>
      <w:r>
        <w:t>s</w:t>
      </w:r>
      <w:r w:rsidRPr="00D81B55">
        <w:t>:</w:t>
      </w:r>
    </w:p>
    <w:p w14:paraId="3F55C587" w14:textId="77777777" w:rsidR="00C77D95" w:rsidRDefault="00C77D95" w:rsidP="00C77D95">
      <w:pPr>
        <w:pStyle w:val="ListParagraph"/>
        <w:numPr>
          <w:ilvl w:val="0"/>
          <w:numId w:val="3"/>
        </w:numPr>
        <w:jc w:val="both"/>
      </w:pPr>
      <w:r>
        <w:t>Deceased patients</w:t>
      </w:r>
    </w:p>
    <w:p w14:paraId="5887A462" w14:textId="77777777" w:rsidR="00C77D95" w:rsidRPr="00D81B55" w:rsidRDefault="00C77D95" w:rsidP="00C77D95">
      <w:pPr>
        <w:pStyle w:val="ListParagraph"/>
        <w:numPr>
          <w:ilvl w:val="0"/>
          <w:numId w:val="3"/>
        </w:numPr>
        <w:jc w:val="both"/>
      </w:pPr>
      <w:r w:rsidRPr="00D81B55">
        <w:t>Incomplete stay</w:t>
      </w:r>
      <w:r>
        <w:t>s.</w:t>
      </w:r>
    </w:p>
    <w:p w14:paraId="66BA235C" w14:textId="77777777" w:rsidR="00C77D95" w:rsidRPr="00D81B55" w:rsidRDefault="00C77D95" w:rsidP="00C77D95">
      <w:pPr>
        <w:jc w:val="both"/>
      </w:pPr>
      <w:r w:rsidRPr="00D81B55">
        <w:t xml:space="preserve">The following are excluded </w:t>
      </w:r>
      <w:r>
        <w:t xml:space="preserve">in </w:t>
      </w:r>
      <w:r w:rsidRPr="00D81B55">
        <w:t>the readmission stay</w:t>
      </w:r>
      <w:r>
        <w:t>s</w:t>
      </w:r>
      <w:r w:rsidRPr="00D81B55">
        <w:t xml:space="preserve"> but included in the index stay</w:t>
      </w:r>
      <w:r>
        <w:t>s</w:t>
      </w:r>
      <w:r w:rsidRPr="00D81B55">
        <w:t>:</w:t>
      </w:r>
    </w:p>
    <w:p w14:paraId="0DEB5F82" w14:textId="77777777" w:rsidR="00C77D95" w:rsidRPr="00D81B55" w:rsidRDefault="00C77D95" w:rsidP="00C77D95">
      <w:pPr>
        <w:pStyle w:val="ListParagraph"/>
        <w:numPr>
          <w:ilvl w:val="0"/>
          <w:numId w:val="3"/>
        </w:numPr>
        <w:jc w:val="both"/>
      </w:pPr>
      <w:r w:rsidRPr="00D81B55">
        <w:t>Non-acute stays (the first event has a non-acute admission type)</w:t>
      </w:r>
    </w:p>
    <w:p w14:paraId="19BBC4F6" w14:textId="75869156" w:rsidR="00C77D95" w:rsidRDefault="0031750D" w:rsidP="00C77D95">
      <w:pPr>
        <w:pStyle w:val="ListParagraph"/>
        <w:numPr>
          <w:ilvl w:val="0"/>
          <w:numId w:val="3"/>
        </w:numPr>
        <w:jc w:val="both"/>
      </w:pPr>
      <w:r>
        <w:t>Maternity services (Caesarean Delivery and Vaginal Delivery)</w:t>
      </w:r>
      <w:r w:rsidR="00C77D95">
        <w:t xml:space="preserve"> </w:t>
      </w:r>
    </w:p>
    <w:p w14:paraId="537FD6D3" w14:textId="6A6EFDCA" w:rsidR="00C77D95" w:rsidRPr="0040738B" w:rsidRDefault="00C77D95" w:rsidP="00C77D95">
      <w:pPr>
        <w:jc w:val="both"/>
      </w:pPr>
      <w:r w:rsidRPr="0040738B">
        <w:t>The ru</w:t>
      </w:r>
      <w:r>
        <w:t xml:space="preserve">le for these inclusions </w:t>
      </w:r>
      <w:proofErr w:type="gramStart"/>
      <w:r>
        <w:t>are</w:t>
      </w:r>
      <w:proofErr w:type="gramEnd"/>
      <w:r>
        <w:t xml:space="preserve"> in s</w:t>
      </w:r>
      <w:r w:rsidRPr="0040738B">
        <w:t xml:space="preserve">ection </w:t>
      </w:r>
      <w:r>
        <w:fldChar w:fldCharType="begin"/>
      </w:r>
      <w:r>
        <w:instrText xml:space="preserve"> REF _Ref449545648 \r \h </w:instrText>
      </w:r>
      <w:r>
        <w:fldChar w:fldCharType="separate"/>
      </w:r>
      <w:r w:rsidR="00DA17CE">
        <w:t>3.5</w:t>
      </w:r>
      <w:r>
        <w:fldChar w:fldCharType="end"/>
      </w:r>
      <w:r w:rsidRPr="0040738B">
        <w:t xml:space="preserve"> below.</w:t>
      </w:r>
      <w:r>
        <w:t xml:space="preserve"> Very small amount of </w:t>
      </w:r>
      <w:r w:rsidR="00E563B5">
        <w:t>incomplete</w:t>
      </w:r>
      <w:r>
        <w:t xml:space="preserve"> data </w:t>
      </w:r>
      <w:proofErr w:type="gramStart"/>
      <w:r>
        <w:t>are</w:t>
      </w:r>
      <w:proofErr w:type="gramEnd"/>
      <w:r>
        <w:t xml:space="preserve"> also excluded in the model, i.e. unknown gender.</w:t>
      </w:r>
    </w:p>
    <w:p w14:paraId="24A3AF06" w14:textId="77777777" w:rsidR="0040738B" w:rsidRDefault="0040738B" w:rsidP="0040738B">
      <w:pPr>
        <w:jc w:val="both"/>
      </w:pPr>
    </w:p>
    <w:p w14:paraId="68DD3AD4" w14:textId="482AF730" w:rsidR="00834F7E" w:rsidRPr="004625A0" w:rsidRDefault="00834F7E" w:rsidP="004B6974">
      <w:pPr>
        <w:pStyle w:val="Heading2"/>
      </w:pPr>
      <w:bookmarkStart w:id="25" w:name="_Ref457225667"/>
      <w:bookmarkStart w:id="26" w:name="_Toc173318878"/>
      <w:r w:rsidRPr="004625A0">
        <w:t>Summary</w:t>
      </w:r>
      <w:r w:rsidR="005665E9" w:rsidRPr="004625A0">
        <w:t xml:space="preserve"> </w:t>
      </w:r>
      <w:r w:rsidR="00DC5076">
        <w:t>T</w:t>
      </w:r>
      <w:r w:rsidR="00D07B40" w:rsidRPr="004625A0">
        <w:t xml:space="preserve">able </w:t>
      </w:r>
      <w:r w:rsidR="005665E9" w:rsidRPr="004625A0">
        <w:t xml:space="preserve">of </w:t>
      </w:r>
      <w:r w:rsidR="00DC5076">
        <w:t>I</w:t>
      </w:r>
      <w:r w:rsidR="005665E9" w:rsidRPr="004625A0">
        <w:t xml:space="preserve">nclusions and </w:t>
      </w:r>
      <w:r w:rsidR="00DC5076">
        <w:t>E</w:t>
      </w:r>
      <w:r w:rsidR="005665E9" w:rsidRPr="004625A0">
        <w:t>xclusions</w:t>
      </w:r>
      <w:bookmarkEnd w:id="25"/>
      <w:bookmarkEnd w:id="26"/>
    </w:p>
    <w:p w14:paraId="15A617A8" w14:textId="13FA946C" w:rsidR="004F0D5D" w:rsidRPr="00117A45" w:rsidRDefault="004F0D5D" w:rsidP="004F0D5D">
      <w:pPr>
        <w:jc w:val="both"/>
        <w:rPr>
          <w:rFonts w:ascii="Verdana" w:hAnsi="Verdana"/>
          <w:color w:val="000000" w:themeColor="text1"/>
        </w:rPr>
      </w:pPr>
      <w:r w:rsidRPr="00117A45">
        <w:rPr>
          <w:rFonts w:ascii="Verdana" w:hAnsi="Verdana"/>
          <w:color w:val="000000" w:themeColor="text1"/>
        </w:rPr>
        <w:t xml:space="preserve">Table </w:t>
      </w:r>
      <w:r w:rsidR="006A0981">
        <w:rPr>
          <w:rFonts w:ascii="Verdana" w:hAnsi="Verdana"/>
          <w:color w:val="000000" w:themeColor="text1"/>
        </w:rPr>
        <w:t>3</w:t>
      </w:r>
      <w:r w:rsidRPr="00117A45">
        <w:rPr>
          <w:rFonts w:ascii="Verdana" w:hAnsi="Verdana"/>
          <w:color w:val="000000" w:themeColor="text1"/>
        </w:rPr>
        <w:t xml:space="preserve"> summaries the exclusions and </w:t>
      </w:r>
      <w:r>
        <w:rPr>
          <w:rFonts w:ascii="Verdana" w:hAnsi="Verdana"/>
          <w:color w:val="000000" w:themeColor="text1"/>
        </w:rPr>
        <w:t>inclusions</w:t>
      </w:r>
      <w:r w:rsidRPr="00117A45">
        <w:rPr>
          <w:rFonts w:ascii="Verdana" w:hAnsi="Verdana"/>
          <w:color w:val="000000" w:themeColor="text1"/>
        </w:rPr>
        <w:t xml:space="preserve"> applied to index and readmission stays. Detail of the exclusions and in</w:t>
      </w:r>
      <w:r>
        <w:rPr>
          <w:rFonts w:ascii="Verdana" w:hAnsi="Verdana"/>
          <w:color w:val="000000" w:themeColor="text1"/>
        </w:rPr>
        <w:t>clusions</w:t>
      </w:r>
      <w:r w:rsidRPr="00117A45">
        <w:rPr>
          <w:rFonts w:ascii="Verdana" w:hAnsi="Verdana"/>
          <w:color w:val="000000" w:themeColor="text1"/>
        </w:rPr>
        <w:t xml:space="preserve"> are described in the </w:t>
      </w:r>
      <w:r>
        <w:rPr>
          <w:rFonts w:ascii="Verdana" w:hAnsi="Verdana"/>
          <w:color w:val="000000" w:themeColor="text1"/>
        </w:rPr>
        <w:t xml:space="preserve">sections that follow. </w:t>
      </w:r>
      <w:r w:rsidRPr="00117A45">
        <w:rPr>
          <w:rFonts w:ascii="Verdana" w:hAnsi="Verdana"/>
          <w:color w:val="000000" w:themeColor="text1"/>
        </w:rPr>
        <w:t xml:space="preserve"> </w:t>
      </w:r>
      <w:r>
        <w:rPr>
          <w:rFonts w:ascii="Verdana" w:hAnsi="Verdana"/>
          <w:color w:val="000000" w:themeColor="text1"/>
        </w:rPr>
        <w:t>The table also shows which groups have been flagged in the data for further analysis.</w:t>
      </w:r>
    </w:p>
    <w:p w14:paraId="6560C109" w14:textId="24B052D8" w:rsidR="006A0981" w:rsidRDefault="006A0981" w:rsidP="00A939D5">
      <w:pPr>
        <w:keepNext/>
        <w:jc w:val="both"/>
        <w:rPr>
          <w:b/>
        </w:rPr>
      </w:pPr>
      <w:r w:rsidRPr="00EF3C25">
        <w:rPr>
          <w:b/>
        </w:rPr>
        <w:lastRenderedPageBreak/>
        <w:t>Table</w:t>
      </w:r>
      <w:r>
        <w:rPr>
          <w:b/>
        </w:rPr>
        <w:t xml:space="preserve"> 3</w:t>
      </w:r>
      <w:r w:rsidRPr="00EF3C25">
        <w:rPr>
          <w:b/>
        </w:rPr>
        <w:t xml:space="preserve">. </w:t>
      </w:r>
      <w:r w:rsidRPr="006A0981">
        <w:rPr>
          <w:b/>
        </w:rPr>
        <w:t>Summary of Exclusions, Inclusions and Flags</w:t>
      </w:r>
    </w:p>
    <w:tbl>
      <w:tblPr>
        <w:tblStyle w:val="TableGrid"/>
        <w:tblW w:w="0" w:type="auto"/>
        <w:tblLook w:val="04A0" w:firstRow="1" w:lastRow="0" w:firstColumn="1" w:lastColumn="0" w:noHBand="0" w:noVBand="1"/>
      </w:tblPr>
      <w:tblGrid>
        <w:gridCol w:w="2660"/>
        <w:gridCol w:w="1263"/>
        <w:gridCol w:w="1351"/>
        <w:gridCol w:w="1335"/>
        <w:gridCol w:w="1517"/>
        <w:gridCol w:w="890"/>
      </w:tblGrid>
      <w:tr w:rsidR="00C77D95" w:rsidRPr="00004B34" w14:paraId="1060AF32" w14:textId="77777777" w:rsidTr="00732A03">
        <w:tc>
          <w:tcPr>
            <w:tcW w:w="2660" w:type="dxa"/>
            <w:vMerge w:val="restart"/>
            <w:shd w:val="clear" w:color="auto" w:fill="9CC2E5" w:themeFill="accent1" w:themeFillTint="99"/>
          </w:tcPr>
          <w:p w14:paraId="42E52C49" w14:textId="77777777" w:rsidR="00C77D95" w:rsidRPr="00004B34" w:rsidRDefault="00C77D95" w:rsidP="00732A03">
            <w:pPr>
              <w:keepNext/>
              <w:spacing w:before="0"/>
              <w:jc w:val="center"/>
              <w:rPr>
                <w:b/>
                <w:color w:val="000000" w:themeColor="text1"/>
                <w:szCs w:val="20"/>
              </w:rPr>
            </w:pPr>
            <w:r w:rsidRPr="00004B34">
              <w:rPr>
                <w:b/>
                <w:color w:val="000000" w:themeColor="text1"/>
                <w:szCs w:val="20"/>
              </w:rPr>
              <w:t>Criteria</w:t>
            </w:r>
          </w:p>
        </w:tc>
        <w:tc>
          <w:tcPr>
            <w:tcW w:w="2614" w:type="dxa"/>
            <w:gridSpan w:val="2"/>
            <w:shd w:val="clear" w:color="auto" w:fill="9CC2E5" w:themeFill="accent1" w:themeFillTint="99"/>
          </w:tcPr>
          <w:p w14:paraId="6CE0B606" w14:textId="77777777" w:rsidR="00C77D95" w:rsidRPr="00004B34" w:rsidRDefault="00C77D95" w:rsidP="00732A03">
            <w:pPr>
              <w:keepNext/>
              <w:spacing w:before="0"/>
              <w:jc w:val="center"/>
              <w:rPr>
                <w:b/>
                <w:color w:val="000000" w:themeColor="text1"/>
                <w:szCs w:val="20"/>
              </w:rPr>
            </w:pPr>
            <w:r w:rsidRPr="00004B34">
              <w:rPr>
                <w:b/>
                <w:color w:val="000000" w:themeColor="text1"/>
                <w:szCs w:val="20"/>
              </w:rPr>
              <w:t>Index Stay</w:t>
            </w:r>
          </w:p>
        </w:tc>
        <w:tc>
          <w:tcPr>
            <w:tcW w:w="2852" w:type="dxa"/>
            <w:gridSpan w:val="2"/>
            <w:shd w:val="clear" w:color="auto" w:fill="9CC2E5" w:themeFill="accent1" w:themeFillTint="99"/>
          </w:tcPr>
          <w:p w14:paraId="03B3E54A" w14:textId="77777777" w:rsidR="00C77D95" w:rsidRPr="00004B34" w:rsidRDefault="00C77D95" w:rsidP="00732A03">
            <w:pPr>
              <w:keepNext/>
              <w:spacing w:before="0"/>
              <w:jc w:val="center"/>
              <w:rPr>
                <w:b/>
                <w:color w:val="000000" w:themeColor="text1"/>
                <w:szCs w:val="20"/>
              </w:rPr>
            </w:pPr>
            <w:r w:rsidRPr="00004B34">
              <w:rPr>
                <w:b/>
                <w:color w:val="000000" w:themeColor="text1"/>
                <w:szCs w:val="20"/>
              </w:rPr>
              <w:t>Readmission Stay</w:t>
            </w:r>
          </w:p>
        </w:tc>
        <w:tc>
          <w:tcPr>
            <w:tcW w:w="890" w:type="dxa"/>
            <w:vMerge w:val="restart"/>
            <w:shd w:val="clear" w:color="auto" w:fill="9CC2E5" w:themeFill="accent1" w:themeFillTint="99"/>
          </w:tcPr>
          <w:p w14:paraId="27700AF2" w14:textId="77777777" w:rsidR="00C77D95" w:rsidRPr="00004B34" w:rsidRDefault="00C77D95" w:rsidP="00732A03">
            <w:pPr>
              <w:keepNext/>
              <w:spacing w:before="0"/>
              <w:jc w:val="center"/>
              <w:rPr>
                <w:b/>
                <w:color w:val="000000" w:themeColor="text1"/>
                <w:szCs w:val="20"/>
              </w:rPr>
            </w:pPr>
            <w:r w:rsidRPr="00004B34">
              <w:rPr>
                <w:b/>
                <w:color w:val="000000" w:themeColor="text1"/>
                <w:szCs w:val="20"/>
              </w:rPr>
              <w:t>Flags</w:t>
            </w:r>
          </w:p>
        </w:tc>
      </w:tr>
      <w:tr w:rsidR="00C77D95" w:rsidRPr="00004B34" w14:paraId="66910303" w14:textId="77777777" w:rsidTr="00732A03">
        <w:tc>
          <w:tcPr>
            <w:tcW w:w="2660" w:type="dxa"/>
            <w:vMerge/>
          </w:tcPr>
          <w:p w14:paraId="682DDD5D" w14:textId="77777777" w:rsidR="00C77D95" w:rsidRPr="00004B34" w:rsidRDefault="00C77D95" w:rsidP="00732A03">
            <w:pPr>
              <w:keepNext/>
              <w:spacing w:before="0"/>
              <w:jc w:val="center"/>
              <w:rPr>
                <w:b/>
                <w:color w:val="000000" w:themeColor="text1"/>
                <w:szCs w:val="20"/>
              </w:rPr>
            </w:pPr>
          </w:p>
        </w:tc>
        <w:tc>
          <w:tcPr>
            <w:tcW w:w="1263" w:type="dxa"/>
            <w:shd w:val="clear" w:color="auto" w:fill="9CC2E5" w:themeFill="accent1" w:themeFillTint="99"/>
          </w:tcPr>
          <w:p w14:paraId="42922E93" w14:textId="77777777" w:rsidR="00C77D95" w:rsidRPr="00004B34" w:rsidRDefault="00C77D95" w:rsidP="00732A03">
            <w:pPr>
              <w:keepNext/>
              <w:spacing w:before="0"/>
              <w:jc w:val="center"/>
              <w:rPr>
                <w:b/>
                <w:color w:val="000000" w:themeColor="text1"/>
                <w:szCs w:val="20"/>
              </w:rPr>
            </w:pPr>
            <w:r w:rsidRPr="00004B34">
              <w:rPr>
                <w:b/>
                <w:color w:val="000000" w:themeColor="text1"/>
                <w:szCs w:val="20"/>
              </w:rPr>
              <w:t>Inclusion</w:t>
            </w:r>
          </w:p>
        </w:tc>
        <w:tc>
          <w:tcPr>
            <w:tcW w:w="1351" w:type="dxa"/>
            <w:shd w:val="clear" w:color="auto" w:fill="9CC2E5" w:themeFill="accent1" w:themeFillTint="99"/>
          </w:tcPr>
          <w:p w14:paraId="7D11858E" w14:textId="77777777" w:rsidR="00C77D95" w:rsidRPr="00004B34" w:rsidRDefault="00C77D95" w:rsidP="00732A03">
            <w:pPr>
              <w:keepNext/>
              <w:spacing w:before="0"/>
              <w:jc w:val="center"/>
              <w:rPr>
                <w:b/>
                <w:color w:val="000000" w:themeColor="text1"/>
                <w:szCs w:val="20"/>
              </w:rPr>
            </w:pPr>
            <w:r w:rsidRPr="00004B34">
              <w:rPr>
                <w:b/>
                <w:color w:val="000000" w:themeColor="text1"/>
                <w:szCs w:val="20"/>
              </w:rPr>
              <w:t>Exclusion</w:t>
            </w:r>
          </w:p>
        </w:tc>
        <w:tc>
          <w:tcPr>
            <w:tcW w:w="1335" w:type="dxa"/>
            <w:shd w:val="clear" w:color="auto" w:fill="9CC2E5" w:themeFill="accent1" w:themeFillTint="99"/>
          </w:tcPr>
          <w:p w14:paraId="243D95B8" w14:textId="77777777" w:rsidR="00C77D95" w:rsidRPr="00004B34" w:rsidRDefault="00C77D95" w:rsidP="00732A03">
            <w:pPr>
              <w:keepNext/>
              <w:spacing w:before="0"/>
              <w:jc w:val="center"/>
              <w:rPr>
                <w:b/>
                <w:color w:val="000000" w:themeColor="text1"/>
                <w:szCs w:val="20"/>
              </w:rPr>
            </w:pPr>
            <w:r w:rsidRPr="00004B34">
              <w:rPr>
                <w:b/>
                <w:color w:val="000000" w:themeColor="text1"/>
                <w:szCs w:val="20"/>
              </w:rPr>
              <w:t>Inclusion</w:t>
            </w:r>
          </w:p>
        </w:tc>
        <w:tc>
          <w:tcPr>
            <w:tcW w:w="1517" w:type="dxa"/>
            <w:shd w:val="clear" w:color="auto" w:fill="9CC2E5" w:themeFill="accent1" w:themeFillTint="99"/>
          </w:tcPr>
          <w:p w14:paraId="69A57481" w14:textId="77777777" w:rsidR="00C77D95" w:rsidRPr="00004B34" w:rsidRDefault="00C77D95" w:rsidP="00732A03">
            <w:pPr>
              <w:keepNext/>
              <w:spacing w:before="0"/>
              <w:jc w:val="center"/>
              <w:rPr>
                <w:b/>
                <w:color w:val="000000" w:themeColor="text1"/>
                <w:szCs w:val="20"/>
              </w:rPr>
            </w:pPr>
            <w:r w:rsidRPr="00004B34">
              <w:rPr>
                <w:b/>
                <w:color w:val="000000" w:themeColor="text1"/>
                <w:szCs w:val="20"/>
              </w:rPr>
              <w:t>Exclusion</w:t>
            </w:r>
          </w:p>
        </w:tc>
        <w:tc>
          <w:tcPr>
            <w:tcW w:w="890" w:type="dxa"/>
            <w:vMerge/>
          </w:tcPr>
          <w:p w14:paraId="0B736FB4" w14:textId="77777777" w:rsidR="00C77D95" w:rsidRPr="00004B34" w:rsidRDefault="00C77D95" w:rsidP="00732A03">
            <w:pPr>
              <w:keepNext/>
              <w:spacing w:before="0"/>
              <w:jc w:val="center"/>
              <w:rPr>
                <w:b/>
                <w:color w:val="000000" w:themeColor="text1"/>
                <w:szCs w:val="20"/>
              </w:rPr>
            </w:pPr>
          </w:p>
        </w:tc>
      </w:tr>
      <w:tr w:rsidR="00C77D95" w:rsidRPr="00004B34" w14:paraId="3EA37547" w14:textId="77777777" w:rsidTr="00732A03">
        <w:tc>
          <w:tcPr>
            <w:tcW w:w="2660" w:type="dxa"/>
          </w:tcPr>
          <w:p w14:paraId="642D73E3" w14:textId="77777777" w:rsidR="00C77D95" w:rsidRPr="00004B34" w:rsidRDefault="00C77D95" w:rsidP="00732A03">
            <w:pPr>
              <w:keepNext/>
              <w:spacing w:before="0"/>
              <w:rPr>
                <w:color w:val="000000" w:themeColor="text1"/>
                <w:szCs w:val="20"/>
              </w:rPr>
            </w:pPr>
            <w:r w:rsidRPr="00004B34">
              <w:rPr>
                <w:color w:val="000000" w:themeColor="text1"/>
                <w:szCs w:val="20"/>
              </w:rPr>
              <w:t>ED short stays</w:t>
            </w:r>
          </w:p>
        </w:tc>
        <w:tc>
          <w:tcPr>
            <w:tcW w:w="1263" w:type="dxa"/>
          </w:tcPr>
          <w:p w14:paraId="3EC3B796" w14:textId="77777777" w:rsidR="00C77D95" w:rsidRPr="00004B34" w:rsidRDefault="00C77D95" w:rsidP="00732A03">
            <w:pPr>
              <w:keepNext/>
              <w:spacing w:before="0"/>
              <w:jc w:val="center"/>
              <w:rPr>
                <w:color w:val="000000" w:themeColor="text1"/>
                <w:szCs w:val="20"/>
              </w:rPr>
            </w:pPr>
            <w:r w:rsidRPr="00004B34">
              <w:rPr>
                <w:color w:val="000000" w:themeColor="text1"/>
                <w:szCs w:val="20"/>
              </w:rPr>
              <w:t>√</w:t>
            </w:r>
          </w:p>
        </w:tc>
        <w:tc>
          <w:tcPr>
            <w:tcW w:w="1351" w:type="dxa"/>
          </w:tcPr>
          <w:p w14:paraId="7566D373" w14:textId="77777777" w:rsidR="00C77D95" w:rsidRPr="00004B34" w:rsidRDefault="00C77D95" w:rsidP="00732A03">
            <w:pPr>
              <w:keepNext/>
              <w:spacing w:before="0"/>
              <w:jc w:val="center"/>
              <w:rPr>
                <w:color w:val="000000" w:themeColor="text1"/>
                <w:szCs w:val="20"/>
              </w:rPr>
            </w:pPr>
          </w:p>
        </w:tc>
        <w:tc>
          <w:tcPr>
            <w:tcW w:w="1335" w:type="dxa"/>
          </w:tcPr>
          <w:p w14:paraId="04CADA71" w14:textId="77777777" w:rsidR="00C77D95" w:rsidRPr="00004B34" w:rsidRDefault="00C77D95" w:rsidP="00732A03">
            <w:pPr>
              <w:keepNext/>
              <w:spacing w:before="0"/>
              <w:jc w:val="center"/>
              <w:rPr>
                <w:color w:val="000000" w:themeColor="text1"/>
                <w:szCs w:val="20"/>
              </w:rPr>
            </w:pPr>
            <w:r w:rsidRPr="00004B34">
              <w:rPr>
                <w:color w:val="000000" w:themeColor="text1"/>
                <w:szCs w:val="20"/>
              </w:rPr>
              <w:t>√</w:t>
            </w:r>
          </w:p>
        </w:tc>
        <w:tc>
          <w:tcPr>
            <w:tcW w:w="1517" w:type="dxa"/>
          </w:tcPr>
          <w:p w14:paraId="752AD7AC" w14:textId="77777777" w:rsidR="00C77D95" w:rsidRPr="00004B34" w:rsidRDefault="00C77D95" w:rsidP="00732A03">
            <w:pPr>
              <w:keepNext/>
              <w:spacing w:before="0"/>
              <w:jc w:val="center"/>
              <w:rPr>
                <w:color w:val="000000" w:themeColor="text1"/>
                <w:szCs w:val="20"/>
              </w:rPr>
            </w:pPr>
          </w:p>
        </w:tc>
        <w:tc>
          <w:tcPr>
            <w:tcW w:w="890" w:type="dxa"/>
          </w:tcPr>
          <w:p w14:paraId="07A0CB49" w14:textId="77777777" w:rsidR="00C77D95" w:rsidRPr="00004B34" w:rsidRDefault="00C77D95" w:rsidP="00732A03">
            <w:pPr>
              <w:keepNext/>
              <w:spacing w:before="0"/>
              <w:jc w:val="center"/>
              <w:rPr>
                <w:color w:val="000000" w:themeColor="text1"/>
                <w:szCs w:val="20"/>
              </w:rPr>
            </w:pPr>
            <w:r w:rsidRPr="00004B34">
              <w:rPr>
                <w:color w:val="000000" w:themeColor="text1"/>
                <w:szCs w:val="20"/>
              </w:rPr>
              <w:t>√</w:t>
            </w:r>
          </w:p>
        </w:tc>
      </w:tr>
      <w:tr w:rsidR="00C77D95" w:rsidRPr="00004B34" w14:paraId="4A54CE90" w14:textId="77777777" w:rsidTr="00732A03">
        <w:tc>
          <w:tcPr>
            <w:tcW w:w="2660" w:type="dxa"/>
          </w:tcPr>
          <w:p w14:paraId="1FD702C1" w14:textId="77777777" w:rsidR="00C77D95" w:rsidRPr="00004B34" w:rsidRDefault="00C77D95" w:rsidP="00732A03">
            <w:pPr>
              <w:keepNext/>
              <w:spacing w:before="0"/>
              <w:rPr>
                <w:color w:val="000000" w:themeColor="text1"/>
                <w:szCs w:val="20"/>
              </w:rPr>
            </w:pPr>
            <w:r w:rsidRPr="00004B34">
              <w:rPr>
                <w:color w:val="000000" w:themeColor="text1"/>
                <w:szCs w:val="20"/>
              </w:rPr>
              <w:t>Palliative care</w:t>
            </w:r>
          </w:p>
        </w:tc>
        <w:tc>
          <w:tcPr>
            <w:tcW w:w="1263" w:type="dxa"/>
          </w:tcPr>
          <w:p w14:paraId="1691776A" w14:textId="77777777" w:rsidR="00C77D95" w:rsidRPr="00004B34" w:rsidRDefault="00C77D95" w:rsidP="00732A03">
            <w:pPr>
              <w:keepNext/>
              <w:spacing w:before="0"/>
              <w:jc w:val="center"/>
              <w:rPr>
                <w:color w:val="000000" w:themeColor="text1"/>
                <w:szCs w:val="20"/>
              </w:rPr>
            </w:pPr>
            <w:r w:rsidRPr="00004B34">
              <w:rPr>
                <w:color w:val="000000" w:themeColor="text1"/>
                <w:szCs w:val="20"/>
              </w:rPr>
              <w:t>√</w:t>
            </w:r>
          </w:p>
        </w:tc>
        <w:tc>
          <w:tcPr>
            <w:tcW w:w="1351" w:type="dxa"/>
          </w:tcPr>
          <w:p w14:paraId="659ED40E" w14:textId="77777777" w:rsidR="00C77D95" w:rsidRPr="00004B34" w:rsidRDefault="00C77D95" w:rsidP="00732A03">
            <w:pPr>
              <w:keepNext/>
              <w:spacing w:before="0"/>
              <w:jc w:val="center"/>
              <w:rPr>
                <w:color w:val="000000" w:themeColor="text1"/>
                <w:szCs w:val="20"/>
              </w:rPr>
            </w:pPr>
          </w:p>
        </w:tc>
        <w:tc>
          <w:tcPr>
            <w:tcW w:w="1335" w:type="dxa"/>
          </w:tcPr>
          <w:p w14:paraId="1939FFEB" w14:textId="77777777" w:rsidR="00C77D95" w:rsidRPr="00004B34" w:rsidRDefault="00C77D95" w:rsidP="00732A03">
            <w:pPr>
              <w:keepNext/>
              <w:spacing w:before="0"/>
              <w:jc w:val="center"/>
              <w:rPr>
                <w:color w:val="000000" w:themeColor="text1"/>
                <w:szCs w:val="20"/>
              </w:rPr>
            </w:pPr>
            <w:r w:rsidRPr="00004B34">
              <w:rPr>
                <w:color w:val="000000" w:themeColor="text1"/>
                <w:szCs w:val="20"/>
              </w:rPr>
              <w:t>√</w:t>
            </w:r>
          </w:p>
        </w:tc>
        <w:tc>
          <w:tcPr>
            <w:tcW w:w="1517" w:type="dxa"/>
          </w:tcPr>
          <w:p w14:paraId="611BA440" w14:textId="77777777" w:rsidR="00C77D95" w:rsidRPr="00004B34" w:rsidRDefault="00C77D95" w:rsidP="00732A03">
            <w:pPr>
              <w:keepNext/>
              <w:spacing w:before="0"/>
              <w:jc w:val="center"/>
              <w:rPr>
                <w:color w:val="000000" w:themeColor="text1"/>
                <w:szCs w:val="20"/>
              </w:rPr>
            </w:pPr>
          </w:p>
        </w:tc>
        <w:tc>
          <w:tcPr>
            <w:tcW w:w="890" w:type="dxa"/>
          </w:tcPr>
          <w:p w14:paraId="7C7908D5" w14:textId="77777777" w:rsidR="00C77D95" w:rsidRPr="00004B34" w:rsidRDefault="00C77D95" w:rsidP="00732A03">
            <w:pPr>
              <w:keepNext/>
              <w:spacing w:before="0"/>
              <w:jc w:val="center"/>
              <w:rPr>
                <w:color w:val="000000" w:themeColor="text1"/>
                <w:szCs w:val="20"/>
              </w:rPr>
            </w:pPr>
            <w:r w:rsidRPr="00004B34">
              <w:rPr>
                <w:color w:val="000000" w:themeColor="text1"/>
                <w:szCs w:val="20"/>
              </w:rPr>
              <w:t>√</w:t>
            </w:r>
          </w:p>
        </w:tc>
      </w:tr>
      <w:tr w:rsidR="00C77D95" w:rsidRPr="00004B34" w14:paraId="229641C8" w14:textId="77777777" w:rsidTr="00732A03">
        <w:tc>
          <w:tcPr>
            <w:tcW w:w="2660" w:type="dxa"/>
          </w:tcPr>
          <w:p w14:paraId="32853577" w14:textId="4AFFE70E" w:rsidR="00C77D95" w:rsidRPr="00004B34" w:rsidRDefault="00E563B5" w:rsidP="00732A03">
            <w:pPr>
              <w:keepNext/>
              <w:spacing w:before="0"/>
              <w:rPr>
                <w:color w:val="000000" w:themeColor="text1"/>
                <w:szCs w:val="20"/>
              </w:rPr>
            </w:pPr>
            <w:r>
              <w:rPr>
                <w:color w:val="000000" w:themeColor="text1"/>
                <w:szCs w:val="20"/>
              </w:rPr>
              <w:t>C</w:t>
            </w:r>
            <w:r w:rsidR="00C77D95" w:rsidRPr="00004B34">
              <w:rPr>
                <w:color w:val="000000" w:themeColor="text1"/>
                <w:szCs w:val="20"/>
              </w:rPr>
              <w:t>ancer treatments</w:t>
            </w:r>
          </w:p>
        </w:tc>
        <w:tc>
          <w:tcPr>
            <w:tcW w:w="1263" w:type="dxa"/>
          </w:tcPr>
          <w:p w14:paraId="3B60F730" w14:textId="77777777" w:rsidR="00C77D95" w:rsidRPr="00004B34" w:rsidRDefault="00C77D95" w:rsidP="00732A03">
            <w:pPr>
              <w:keepNext/>
              <w:spacing w:before="0"/>
              <w:jc w:val="center"/>
              <w:rPr>
                <w:color w:val="000000" w:themeColor="text1"/>
                <w:szCs w:val="20"/>
              </w:rPr>
            </w:pPr>
            <w:r w:rsidRPr="00004B34">
              <w:rPr>
                <w:color w:val="000000" w:themeColor="text1"/>
                <w:szCs w:val="20"/>
              </w:rPr>
              <w:t>√</w:t>
            </w:r>
          </w:p>
        </w:tc>
        <w:tc>
          <w:tcPr>
            <w:tcW w:w="1351" w:type="dxa"/>
          </w:tcPr>
          <w:p w14:paraId="11F7C7EE" w14:textId="77777777" w:rsidR="00C77D95" w:rsidRPr="00004B34" w:rsidRDefault="00C77D95" w:rsidP="00732A03">
            <w:pPr>
              <w:keepNext/>
              <w:spacing w:before="0"/>
              <w:jc w:val="center"/>
              <w:rPr>
                <w:color w:val="000000" w:themeColor="text1"/>
                <w:szCs w:val="20"/>
              </w:rPr>
            </w:pPr>
          </w:p>
        </w:tc>
        <w:tc>
          <w:tcPr>
            <w:tcW w:w="1335" w:type="dxa"/>
          </w:tcPr>
          <w:p w14:paraId="69BDA09E" w14:textId="77777777" w:rsidR="00C77D95" w:rsidRPr="00004B34" w:rsidRDefault="00C77D95" w:rsidP="00732A03">
            <w:pPr>
              <w:keepNext/>
              <w:spacing w:before="0"/>
              <w:jc w:val="center"/>
              <w:rPr>
                <w:color w:val="000000" w:themeColor="text1"/>
                <w:szCs w:val="20"/>
              </w:rPr>
            </w:pPr>
            <w:r w:rsidRPr="00004B34">
              <w:rPr>
                <w:color w:val="000000" w:themeColor="text1"/>
                <w:szCs w:val="20"/>
              </w:rPr>
              <w:t>√</w:t>
            </w:r>
          </w:p>
        </w:tc>
        <w:tc>
          <w:tcPr>
            <w:tcW w:w="1517" w:type="dxa"/>
          </w:tcPr>
          <w:p w14:paraId="2AC7BF37" w14:textId="77777777" w:rsidR="00C77D95" w:rsidRPr="00004B34" w:rsidRDefault="00C77D95" w:rsidP="00732A03">
            <w:pPr>
              <w:keepNext/>
              <w:spacing w:before="0"/>
              <w:jc w:val="center"/>
              <w:rPr>
                <w:color w:val="000000" w:themeColor="text1"/>
                <w:szCs w:val="20"/>
              </w:rPr>
            </w:pPr>
          </w:p>
        </w:tc>
        <w:tc>
          <w:tcPr>
            <w:tcW w:w="890" w:type="dxa"/>
          </w:tcPr>
          <w:p w14:paraId="4BFF7773" w14:textId="77777777" w:rsidR="00C77D95" w:rsidRPr="00004B34" w:rsidRDefault="00C77D95" w:rsidP="00732A03">
            <w:pPr>
              <w:keepNext/>
              <w:spacing w:before="0"/>
              <w:jc w:val="center"/>
              <w:rPr>
                <w:color w:val="000000" w:themeColor="text1"/>
                <w:szCs w:val="20"/>
              </w:rPr>
            </w:pPr>
            <w:r w:rsidRPr="00004B34">
              <w:rPr>
                <w:color w:val="000000" w:themeColor="text1"/>
                <w:szCs w:val="20"/>
              </w:rPr>
              <w:t>√</w:t>
            </w:r>
          </w:p>
        </w:tc>
      </w:tr>
      <w:tr w:rsidR="00C77D95" w:rsidRPr="00004B34" w14:paraId="28A6A4F7" w14:textId="77777777" w:rsidTr="00732A03">
        <w:tc>
          <w:tcPr>
            <w:tcW w:w="2660" w:type="dxa"/>
          </w:tcPr>
          <w:p w14:paraId="796668AC" w14:textId="77777777" w:rsidR="00C77D95" w:rsidRPr="00004B34" w:rsidRDefault="00C77D95" w:rsidP="00732A03">
            <w:pPr>
              <w:spacing w:before="0"/>
              <w:rPr>
                <w:color w:val="000000" w:themeColor="text1"/>
                <w:szCs w:val="20"/>
              </w:rPr>
            </w:pPr>
            <w:r w:rsidRPr="00004B34">
              <w:rPr>
                <w:color w:val="000000" w:themeColor="text1"/>
                <w:szCs w:val="20"/>
              </w:rPr>
              <w:t>Paediatric services</w:t>
            </w:r>
          </w:p>
        </w:tc>
        <w:tc>
          <w:tcPr>
            <w:tcW w:w="1263" w:type="dxa"/>
          </w:tcPr>
          <w:p w14:paraId="68CA9893"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351" w:type="dxa"/>
          </w:tcPr>
          <w:p w14:paraId="3F4C369D" w14:textId="77777777" w:rsidR="00C77D95" w:rsidRPr="00004B34" w:rsidRDefault="00C77D95" w:rsidP="00732A03">
            <w:pPr>
              <w:spacing w:before="0"/>
              <w:jc w:val="center"/>
              <w:rPr>
                <w:color w:val="000000" w:themeColor="text1"/>
                <w:szCs w:val="20"/>
              </w:rPr>
            </w:pPr>
          </w:p>
        </w:tc>
        <w:tc>
          <w:tcPr>
            <w:tcW w:w="1335" w:type="dxa"/>
          </w:tcPr>
          <w:p w14:paraId="69D7FE7F"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517" w:type="dxa"/>
          </w:tcPr>
          <w:p w14:paraId="1E4B49B2" w14:textId="77777777" w:rsidR="00C77D95" w:rsidRPr="00004B34" w:rsidRDefault="00C77D95" w:rsidP="00732A03">
            <w:pPr>
              <w:spacing w:before="0"/>
              <w:jc w:val="center"/>
              <w:rPr>
                <w:color w:val="000000" w:themeColor="text1"/>
                <w:szCs w:val="20"/>
              </w:rPr>
            </w:pPr>
          </w:p>
        </w:tc>
        <w:tc>
          <w:tcPr>
            <w:tcW w:w="890" w:type="dxa"/>
          </w:tcPr>
          <w:p w14:paraId="4956F94C"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r>
      <w:tr w:rsidR="00C77D95" w:rsidRPr="00004B34" w14:paraId="7E28B7C1" w14:textId="77777777" w:rsidTr="00732A03">
        <w:tc>
          <w:tcPr>
            <w:tcW w:w="2660" w:type="dxa"/>
          </w:tcPr>
          <w:p w14:paraId="1C134EBB" w14:textId="77777777" w:rsidR="00C77D95" w:rsidRPr="00004B34" w:rsidRDefault="00C77D95" w:rsidP="00732A03">
            <w:pPr>
              <w:spacing w:before="0"/>
              <w:rPr>
                <w:color w:val="000000" w:themeColor="text1"/>
                <w:szCs w:val="20"/>
              </w:rPr>
            </w:pPr>
            <w:r w:rsidRPr="00004B34">
              <w:rPr>
                <w:color w:val="000000" w:themeColor="text1"/>
                <w:szCs w:val="20"/>
              </w:rPr>
              <w:t>Geriatric services</w:t>
            </w:r>
          </w:p>
        </w:tc>
        <w:tc>
          <w:tcPr>
            <w:tcW w:w="1263" w:type="dxa"/>
          </w:tcPr>
          <w:p w14:paraId="2BC01BD9"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351" w:type="dxa"/>
          </w:tcPr>
          <w:p w14:paraId="03F92B5A" w14:textId="77777777" w:rsidR="00C77D95" w:rsidRPr="00004B34" w:rsidRDefault="00C77D95" w:rsidP="00732A03">
            <w:pPr>
              <w:spacing w:before="0"/>
              <w:jc w:val="center"/>
              <w:rPr>
                <w:color w:val="000000" w:themeColor="text1"/>
                <w:szCs w:val="20"/>
              </w:rPr>
            </w:pPr>
          </w:p>
        </w:tc>
        <w:tc>
          <w:tcPr>
            <w:tcW w:w="1335" w:type="dxa"/>
          </w:tcPr>
          <w:p w14:paraId="0900D52B"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517" w:type="dxa"/>
          </w:tcPr>
          <w:p w14:paraId="7FFE924E" w14:textId="77777777" w:rsidR="00C77D95" w:rsidRPr="00004B34" w:rsidRDefault="00C77D95" w:rsidP="00732A03">
            <w:pPr>
              <w:spacing w:before="0"/>
              <w:jc w:val="center"/>
              <w:rPr>
                <w:color w:val="000000" w:themeColor="text1"/>
                <w:szCs w:val="20"/>
              </w:rPr>
            </w:pPr>
          </w:p>
        </w:tc>
        <w:tc>
          <w:tcPr>
            <w:tcW w:w="890" w:type="dxa"/>
          </w:tcPr>
          <w:p w14:paraId="643FC9AC"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r>
      <w:tr w:rsidR="00C77D95" w:rsidRPr="00004B34" w14:paraId="5A7E3C9C" w14:textId="77777777" w:rsidTr="00732A03">
        <w:tc>
          <w:tcPr>
            <w:tcW w:w="2660" w:type="dxa"/>
          </w:tcPr>
          <w:p w14:paraId="7B1E5302" w14:textId="77777777" w:rsidR="00C77D95" w:rsidRPr="00004B34" w:rsidRDefault="00C77D95" w:rsidP="00732A03">
            <w:pPr>
              <w:spacing w:before="0"/>
              <w:rPr>
                <w:color w:val="000000" w:themeColor="text1"/>
                <w:szCs w:val="20"/>
              </w:rPr>
            </w:pPr>
            <w:r w:rsidRPr="00004B34">
              <w:rPr>
                <w:color w:val="000000" w:themeColor="text1"/>
                <w:szCs w:val="20"/>
              </w:rPr>
              <w:t>Long term conditions</w:t>
            </w:r>
          </w:p>
        </w:tc>
        <w:tc>
          <w:tcPr>
            <w:tcW w:w="1263" w:type="dxa"/>
          </w:tcPr>
          <w:p w14:paraId="55636325"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351" w:type="dxa"/>
          </w:tcPr>
          <w:p w14:paraId="60DF602D" w14:textId="77777777" w:rsidR="00C77D95" w:rsidRPr="00004B34" w:rsidRDefault="00C77D95" w:rsidP="00732A03">
            <w:pPr>
              <w:spacing w:before="0"/>
              <w:jc w:val="center"/>
              <w:rPr>
                <w:color w:val="000000" w:themeColor="text1"/>
                <w:szCs w:val="20"/>
              </w:rPr>
            </w:pPr>
          </w:p>
        </w:tc>
        <w:tc>
          <w:tcPr>
            <w:tcW w:w="1335" w:type="dxa"/>
          </w:tcPr>
          <w:p w14:paraId="7479811A"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517" w:type="dxa"/>
          </w:tcPr>
          <w:p w14:paraId="745AABB7" w14:textId="77777777" w:rsidR="00C77D95" w:rsidRPr="00004B34" w:rsidRDefault="00C77D95" w:rsidP="00732A03">
            <w:pPr>
              <w:spacing w:before="0"/>
              <w:jc w:val="center"/>
              <w:rPr>
                <w:color w:val="000000" w:themeColor="text1"/>
                <w:szCs w:val="20"/>
              </w:rPr>
            </w:pPr>
          </w:p>
        </w:tc>
        <w:tc>
          <w:tcPr>
            <w:tcW w:w="890" w:type="dxa"/>
          </w:tcPr>
          <w:p w14:paraId="557A93A0"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r>
      <w:tr w:rsidR="00C77D95" w:rsidRPr="00004B34" w14:paraId="385618FA" w14:textId="77777777" w:rsidTr="00732A03">
        <w:tc>
          <w:tcPr>
            <w:tcW w:w="2660" w:type="dxa"/>
          </w:tcPr>
          <w:p w14:paraId="37E8248F" w14:textId="77777777" w:rsidR="00C77D95" w:rsidRPr="00004B34" w:rsidRDefault="00C77D95" w:rsidP="00732A03">
            <w:pPr>
              <w:spacing w:before="0"/>
              <w:rPr>
                <w:color w:val="000000" w:themeColor="text1"/>
                <w:szCs w:val="20"/>
              </w:rPr>
            </w:pPr>
            <w:r w:rsidRPr="00004B34">
              <w:rPr>
                <w:color w:val="000000" w:themeColor="text1"/>
                <w:szCs w:val="20"/>
              </w:rPr>
              <w:t>Mental Health events</w:t>
            </w:r>
          </w:p>
        </w:tc>
        <w:tc>
          <w:tcPr>
            <w:tcW w:w="1263" w:type="dxa"/>
          </w:tcPr>
          <w:p w14:paraId="5FCF4D67"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351" w:type="dxa"/>
          </w:tcPr>
          <w:p w14:paraId="2ED93EE3" w14:textId="77777777" w:rsidR="00C77D95" w:rsidRPr="00004B34" w:rsidRDefault="00C77D95" w:rsidP="00732A03">
            <w:pPr>
              <w:spacing w:before="0"/>
              <w:jc w:val="center"/>
              <w:rPr>
                <w:color w:val="000000" w:themeColor="text1"/>
                <w:szCs w:val="20"/>
              </w:rPr>
            </w:pPr>
          </w:p>
        </w:tc>
        <w:tc>
          <w:tcPr>
            <w:tcW w:w="1335" w:type="dxa"/>
          </w:tcPr>
          <w:p w14:paraId="5F4E5577"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517" w:type="dxa"/>
          </w:tcPr>
          <w:p w14:paraId="5B31AF9D" w14:textId="77777777" w:rsidR="00C77D95" w:rsidRPr="00F36E33" w:rsidRDefault="00C77D95" w:rsidP="00732A03">
            <w:pPr>
              <w:spacing w:before="0"/>
              <w:jc w:val="center"/>
              <w:rPr>
                <w:color w:val="000000" w:themeColor="text1"/>
                <w:szCs w:val="20"/>
                <w:highlight w:val="yellow"/>
              </w:rPr>
            </w:pPr>
          </w:p>
        </w:tc>
        <w:tc>
          <w:tcPr>
            <w:tcW w:w="890" w:type="dxa"/>
          </w:tcPr>
          <w:p w14:paraId="1C2AFDC4"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r>
      <w:tr w:rsidR="00C77D95" w:rsidRPr="00004B34" w14:paraId="5B9C818F" w14:textId="77777777" w:rsidTr="00732A03">
        <w:tc>
          <w:tcPr>
            <w:tcW w:w="2660" w:type="dxa"/>
          </w:tcPr>
          <w:p w14:paraId="5A090151" w14:textId="77777777" w:rsidR="00C77D95" w:rsidRPr="00004B34" w:rsidRDefault="00C77D95" w:rsidP="00732A03">
            <w:pPr>
              <w:spacing w:before="0"/>
              <w:rPr>
                <w:color w:val="000000" w:themeColor="text1"/>
                <w:szCs w:val="20"/>
              </w:rPr>
            </w:pPr>
            <w:r w:rsidRPr="00004B34">
              <w:rPr>
                <w:color w:val="000000" w:themeColor="text1"/>
                <w:szCs w:val="20"/>
              </w:rPr>
              <w:t>Overseas patients</w:t>
            </w:r>
          </w:p>
        </w:tc>
        <w:tc>
          <w:tcPr>
            <w:tcW w:w="1263" w:type="dxa"/>
          </w:tcPr>
          <w:p w14:paraId="268459BE"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351" w:type="dxa"/>
          </w:tcPr>
          <w:p w14:paraId="3E739548" w14:textId="77777777" w:rsidR="00C77D95" w:rsidRPr="00004B34" w:rsidRDefault="00C77D95" w:rsidP="00732A03">
            <w:pPr>
              <w:spacing w:before="0"/>
              <w:jc w:val="center"/>
              <w:rPr>
                <w:color w:val="000000" w:themeColor="text1"/>
                <w:szCs w:val="20"/>
              </w:rPr>
            </w:pPr>
          </w:p>
        </w:tc>
        <w:tc>
          <w:tcPr>
            <w:tcW w:w="1335" w:type="dxa"/>
          </w:tcPr>
          <w:p w14:paraId="7332BB07"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517" w:type="dxa"/>
          </w:tcPr>
          <w:p w14:paraId="7C3DED81" w14:textId="77777777" w:rsidR="00C77D95" w:rsidRPr="00004B34" w:rsidRDefault="00C77D95" w:rsidP="00732A03">
            <w:pPr>
              <w:spacing w:before="0"/>
              <w:jc w:val="center"/>
              <w:rPr>
                <w:color w:val="000000" w:themeColor="text1"/>
                <w:szCs w:val="20"/>
              </w:rPr>
            </w:pPr>
          </w:p>
        </w:tc>
        <w:tc>
          <w:tcPr>
            <w:tcW w:w="890" w:type="dxa"/>
          </w:tcPr>
          <w:p w14:paraId="6ECD78B4"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r>
      <w:tr w:rsidR="00C77D95" w:rsidRPr="00004B34" w14:paraId="0EB0397D" w14:textId="77777777" w:rsidTr="00732A03">
        <w:tc>
          <w:tcPr>
            <w:tcW w:w="2660" w:type="dxa"/>
          </w:tcPr>
          <w:p w14:paraId="1E2321A5" w14:textId="77777777" w:rsidR="00C77D95" w:rsidRPr="00004B34" w:rsidRDefault="00C77D95" w:rsidP="00732A03">
            <w:pPr>
              <w:spacing w:before="0"/>
              <w:rPr>
                <w:color w:val="000000" w:themeColor="text1"/>
                <w:szCs w:val="20"/>
              </w:rPr>
            </w:pPr>
            <w:r w:rsidRPr="00004B34">
              <w:rPr>
                <w:color w:val="000000" w:themeColor="text1"/>
                <w:szCs w:val="20"/>
              </w:rPr>
              <w:t>ATR services</w:t>
            </w:r>
          </w:p>
        </w:tc>
        <w:tc>
          <w:tcPr>
            <w:tcW w:w="1263" w:type="dxa"/>
          </w:tcPr>
          <w:p w14:paraId="44CE707D"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351" w:type="dxa"/>
          </w:tcPr>
          <w:p w14:paraId="3EBE3211" w14:textId="77777777" w:rsidR="00C77D95" w:rsidRPr="00004B34" w:rsidRDefault="00C77D95" w:rsidP="00732A03">
            <w:pPr>
              <w:spacing w:before="0"/>
              <w:jc w:val="center"/>
              <w:rPr>
                <w:color w:val="000000" w:themeColor="text1"/>
                <w:szCs w:val="20"/>
              </w:rPr>
            </w:pPr>
          </w:p>
        </w:tc>
        <w:tc>
          <w:tcPr>
            <w:tcW w:w="1335" w:type="dxa"/>
          </w:tcPr>
          <w:p w14:paraId="21939B08"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517" w:type="dxa"/>
          </w:tcPr>
          <w:p w14:paraId="36AF481D" w14:textId="77777777" w:rsidR="00C77D95" w:rsidRPr="00004B34" w:rsidRDefault="00C77D95" w:rsidP="00732A03">
            <w:pPr>
              <w:spacing w:before="0"/>
              <w:jc w:val="center"/>
              <w:rPr>
                <w:color w:val="000000" w:themeColor="text1"/>
                <w:szCs w:val="20"/>
              </w:rPr>
            </w:pPr>
          </w:p>
        </w:tc>
        <w:tc>
          <w:tcPr>
            <w:tcW w:w="890" w:type="dxa"/>
          </w:tcPr>
          <w:p w14:paraId="7D6E61F0" w14:textId="77777777" w:rsidR="00C77D95" w:rsidRPr="00004B34" w:rsidRDefault="00C77D95" w:rsidP="00732A03">
            <w:pPr>
              <w:spacing w:before="0"/>
              <w:jc w:val="center"/>
              <w:rPr>
                <w:color w:val="000000" w:themeColor="text1"/>
                <w:szCs w:val="20"/>
              </w:rPr>
            </w:pPr>
          </w:p>
        </w:tc>
      </w:tr>
      <w:tr w:rsidR="00C77D95" w:rsidRPr="00004B34" w14:paraId="0FCE048A" w14:textId="77777777" w:rsidTr="00732A03">
        <w:tc>
          <w:tcPr>
            <w:tcW w:w="2660" w:type="dxa"/>
          </w:tcPr>
          <w:p w14:paraId="199A2949" w14:textId="77777777" w:rsidR="00C77D95" w:rsidRPr="00004B34" w:rsidRDefault="00C77D95" w:rsidP="00732A03">
            <w:pPr>
              <w:spacing w:before="0"/>
              <w:rPr>
                <w:color w:val="000000" w:themeColor="text1"/>
                <w:szCs w:val="20"/>
              </w:rPr>
            </w:pPr>
            <w:r>
              <w:rPr>
                <w:color w:val="000000" w:themeColor="text1"/>
                <w:szCs w:val="20"/>
              </w:rPr>
              <w:t>Event leave days</w:t>
            </w:r>
          </w:p>
        </w:tc>
        <w:tc>
          <w:tcPr>
            <w:tcW w:w="1263" w:type="dxa"/>
          </w:tcPr>
          <w:p w14:paraId="4A2E83D3"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351" w:type="dxa"/>
          </w:tcPr>
          <w:p w14:paraId="7584193B" w14:textId="77777777" w:rsidR="00C77D95" w:rsidRPr="00004B34" w:rsidRDefault="00C77D95" w:rsidP="00732A03">
            <w:pPr>
              <w:spacing w:before="0"/>
              <w:jc w:val="center"/>
              <w:rPr>
                <w:color w:val="000000" w:themeColor="text1"/>
                <w:szCs w:val="20"/>
              </w:rPr>
            </w:pPr>
          </w:p>
        </w:tc>
        <w:tc>
          <w:tcPr>
            <w:tcW w:w="1335" w:type="dxa"/>
          </w:tcPr>
          <w:p w14:paraId="67C8D5A1"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517" w:type="dxa"/>
          </w:tcPr>
          <w:p w14:paraId="1EB88298" w14:textId="77777777" w:rsidR="00C77D95" w:rsidRPr="00004B34" w:rsidRDefault="00C77D95" w:rsidP="00732A03">
            <w:pPr>
              <w:spacing w:before="0"/>
              <w:jc w:val="center"/>
              <w:rPr>
                <w:color w:val="000000" w:themeColor="text1"/>
                <w:szCs w:val="20"/>
              </w:rPr>
            </w:pPr>
          </w:p>
        </w:tc>
        <w:tc>
          <w:tcPr>
            <w:tcW w:w="890" w:type="dxa"/>
          </w:tcPr>
          <w:p w14:paraId="2776B36C" w14:textId="77777777" w:rsidR="00C77D95" w:rsidRPr="00F36E33" w:rsidRDefault="00C77D95" w:rsidP="00732A03">
            <w:pPr>
              <w:spacing w:before="0"/>
              <w:jc w:val="center"/>
              <w:rPr>
                <w:color w:val="000000" w:themeColor="text1"/>
                <w:szCs w:val="20"/>
                <w:highlight w:val="yellow"/>
              </w:rPr>
            </w:pPr>
          </w:p>
        </w:tc>
      </w:tr>
      <w:tr w:rsidR="00C77D95" w:rsidRPr="00004B34" w14:paraId="30802D2D" w14:textId="77777777" w:rsidTr="00732A03">
        <w:tc>
          <w:tcPr>
            <w:tcW w:w="2660" w:type="dxa"/>
          </w:tcPr>
          <w:p w14:paraId="6D90CE7D" w14:textId="77777777" w:rsidR="00C77D95" w:rsidRPr="00004B34" w:rsidRDefault="00C77D95" w:rsidP="00732A03">
            <w:pPr>
              <w:spacing w:before="0"/>
              <w:rPr>
                <w:color w:val="000000" w:themeColor="text1"/>
                <w:szCs w:val="20"/>
              </w:rPr>
            </w:pPr>
            <w:r w:rsidRPr="00004B34">
              <w:rPr>
                <w:color w:val="000000" w:themeColor="text1"/>
                <w:szCs w:val="20"/>
              </w:rPr>
              <w:t>Non-acute stays</w:t>
            </w:r>
          </w:p>
        </w:tc>
        <w:tc>
          <w:tcPr>
            <w:tcW w:w="1263" w:type="dxa"/>
          </w:tcPr>
          <w:p w14:paraId="674E7FA1"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351" w:type="dxa"/>
          </w:tcPr>
          <w:p w14:paraId="498324D2" w14:textId="77777777" w:rsidR="00C77D95" w:rsidRPr="00004B34" w:rsidRDefault="00C77D95" w:rsidP="00732A03">
            <w:pPr>
              <w:spacing w:before="0"/>
              <w:jc w:val="center"/>
              <w:rPr>
                <w:color w:val="000000" w:themeColor="text1"/>
                <w:szCs w:val="20"/>
              </w:rPr>
            </w:pPr>
          </w:p>
        </w:tc>
        <w:tc>
          <w:tcPr>
            <w:tcW w:w="1335" w:type="dxa"/>
          </w:tcPr>
          <w:p w14:paraId="47286441" w14:textId="77777777" w:rsidR="00C77D95" w:rsidRPr="00004B34" w:rsidRDefault="00C77D95" w:rsidP="00732A03">
            <w:pPr>
              <w:spacing w:before="0"/>
              <w:jc w:val="center"/>
              <w:rPr>
                <w:color w:val="000000" w:themeColor="text1"/>
                <w:szCs w:val="20"/>
              </w:rPr>
            </w:pPr>
          </w:p>
        </w:tc>
        <w:tc>
          <w:tcPr>
            <w:tcW w:w="1517" w:type="dxa"/>
          </w:tcPr>
          <w:p w14:paraId="739AF4E4"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890" w:type="dxa"/>
          </w:tcPr>
          <w:p w14:paraId="1AB1C285" w14:textId="77777777" w:rsidR="00C77D95" w:rsidRPr="00004B34" w:rsidRDefault="00C77D95" w:rsidP="00732A03">
            <w:pPr>
              <w:spacing w:before="0"/>
              <w:jc w:val="center"/>
              <w:rPr>
                <w:color w:val="000000" w:themeColor="text1"/>
                <w:szCs w:val="20"/>
              </w:rPr>
            </w:pPr>
          </w:p>
        </w:tc>
      </w:tr>
      <w:tr w:rsidR="00C77D95" w:rsidRPr="00004B34" w14:paraId="4BBAD038" w14:textId="77777777" w:rsidTr="00732A03">
        <w:tc>
          <w:tcPr>
            <w:tcW w:w="2660" w:type="dxa"/>
          </w:tcPr>
          <w:p w14:paraId="4051EE6A" w14:textId="468277CB" w:rsidR="00C77D95" w:rsidRPr="00004B34" w:rsidRDefault="0031750D" w:rsidP="00732A03">
            <w:pPr>
              <w:spacing w:before="0"/>
              <w:rPr>
                <w:color w:val="000000" w:themeColor="text1"/>
                <w:szCs w:val="20"/>
              </w:rPr>
            </w:pPr>
            <w:r>
              <w:rPr>
                <w:color w:val="000000" w:themeColor="text1"/>
                <w:szCs w:val="20"/>
              </w:rPr>
              <w:t>Maternity services (Caesarean Delivery and Vaginal Delivery)</w:t>
            </w:r>
          </w:p>
        </w:tc>
        <w:tc>
          <w:tcPr>
            <w:tcW w:w="1263" w:type="dxa"/>
          </w:tcPr>
          <w:p w14:paraId="223434E6"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351" w:type="dxa"/>
          </w:tcPr>
          <w:p w14:paraId="47DE0D9B" w14:textId="77777777" w:rsidR="00C77D95" w:rsidRPr="00004B34" w:rsidRDefault="00C77D95" w:rsidP="00732A03">
            <w:pPr>
              <w:spacing w:before="0"/>
              <w:jc w:val="center"/>
              <w:rPr>
                <w:color w:val="000000" w:themeColor="text1"/>
                <w:szCs w:val="20"/>
              </w:rPr>
            </w:pPr>
          </w:p>
        </w:tc>
        <w:tc>
          <w:tcPr>
            <w:tcW w:w="1335" w:type="dxa"/>
          </w:tcPr>
          <w:p w14:paraId="2CBCDA09" w14:textId="77777777" w:rsidR="00C77D95" w:rsidRPr="00004B34" w:rsidRDefault="00C77D95" w:rsidP="00732A03">
            <w:pPr>
              <w:spacing w:before="0"/>
              <w:jc w:val="center"/>
              <w:rPr>
                <w:color w:val="000000" w:themeColor="text1"/>
                <w:szCs w:val="20"/>
              </w:rPr>
            </w:pPr>
          </w:p>
        </w:tc>
        <w:tc>
          <w:tcPr>
            <w:tcW w:w="1517" w:type="dxa"/>
          </w:tcPr>
          <w:p w14:paraId="6405663B"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890" w:type="dxa"/>
          </w:tcPr>
          <w:p w14:paraId="3E2FD2E7" w14:textId="77777777" w:rsidR="00C77D95" w:rsidRPr="00004B34" w:rsidRDefault="00C77D95" w:rsidP="00732A03">
            <w:pPr>
              <w:spacing w:before="0"/>
              <w:jc w:val="center"/>
              <w:rPr>
                <w:color w:val="000000" w:themeColor="text1"/>
                <w:szCs w:val="20"/>
              </w:rPr>
            </w:pPr>
          </w:p>
        </w:tc>
      </w:tr>
      <w:tr w:rsidR="00C77D95" w:rsidRPr="00004B34" w14:paraId="3BDE4E7B" w14:textId="77777777" w:rsidTr="00732A03">
        <w:tc>
          <w:tcPr>
            <w:tcW w:w="2660" w:type="dxa"/>
          </w:tcPr>
          <w:p w14:paraId="58D2C830" w14:textId="77777777" w:rsidR="00C77D95" w:rsidRPr="00004B34" w:rsidRDefault="00C77D95" w:rsidP="00732A03">
            <w:pPr>
              <w:spacing w:before="0"/>
              <w:rPr>
                <w:color w:val="000000" w:themeColor="text1"/>
                <w:szCs w:val="20"/>
              </w:rPr>
            </w:pPr>
            <w:r w:rsidRPr="00004B34">
              <w:rPr>
                <w:color w:val="000000" w:themeColor="text1"/>
                <w:szCs w:val="20"/>
              </w:rPr>
              <w:t>Deceased patients</w:t>
            </w:r>
          </w:p>
        </w:tc>
        <w:tc>
          <w:tcPr>
            <w:tcW w:w="1263" w:type="dxa"/>
          </w:tcPr>
          <w:p w14:paraId="2956BD18" w14:textId="77777777" w:rsidR="00C77D95" w:rsidRPr="00004B34" w:rsidRDefault="00C77D95" w:rsidP="00732A03">
            <w:pPr>
              <w:spacing w:before="0"/>
              <w:jc w:val="center"/>
              <w:rPr>
                <w:color w:val="000000" w:themeColor="text1"/>
                <w:szCs w:val="20"/>
              </w:rPr>
            </w:pPr>
          </w:p>
        </w:tc>
        <w:tc>
          <w:tcPr>
            <w:tcW w:w="1351" w:type="dxa"/>
          </w:tcPr>
          <w:p w14:paraId="7FA10B85"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335" w:type="dxa"/>
          </w:tcPr>
          <w:p w14:paraId="6043EA4C"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517" w:type="dxa"/>
          </w:tcPr>
          <w:p w14:paraId="28803E8D" w14:textId="77777777" w:rsidR="00C77D95" w:rsidRPr="00004B34" w:rsidRDefault="00C77D95" w:rsidP="00732A03">
            <w:pPr>
              <w:spacing w:before="0"/>
              <w:jc w:val="center"/>
              <w:rPr>
                <w:color w:val="000000" w:themeColor="text1"/>
                <w:szCs w:val="20"/>
              </w:rPr>
            </w:pPr>
          </w:p>
        </w:tc>
        <w:tc>
          <w:tcPr>
            <w:tcW w:w="890" w:type="dxa"/>
          </w:tcPr>
          <w:p w14:paraId="5AEC7200" w14:textId="77777777" w:rsidR="00C77D95" w:rsidRPr="00004B34" w:rsidRDefault="00C77D95" w:rsidP="00732A03">
            <w:pPr>
              <w:spacing w:before="0"/>
              <w:jc w:val="center"/>
              <w:rPr>
                <w:color w:val="000000" w:themeColor="text1"/>
                <w:szCs w:val="20"/>
              </w:rPr>
            </w:pPr>
          </w:p>
        </w:tc>
      </w:tr>
      <w:tr w:rsidR="00C77D95" w:rsidRPr="00004B34" w14:paraId="4C2C0C6B" w14:textId="77777777" w:rsidTr="00732A03">
        <w:tc>
          <w:tcPr>
            <w:tcW w:w="2660" w:type="dxa"/>
          </w:tcPr>
          <w:p w14:paraId="5A758E69" w14:textId="77777777" w:rsidR="00C77D95" w:rsidRPr="00004B34" w:rsidRDefault="00C77D95" w:rsidP="00732A03">
            <w:pPr>
              <w:spacing w:before="0"/>
              <w:rPr>
                <w:color w:val="000000" w:themeColor="text1"/>
                <w:szCs w:val="20"/>
              </w:rPr>
            </w:pPr>
            <w:r w:rsidRPr="00004B34">
              <w:rPr>
                <w:color w:val="000000" w:themeColor="text1"/>
                <w:szCs w:val="20"/>
              </w:rPr>
              <w:t>Incomplete stays</w:t>
            </w:r>
          </w:p>
        </w:tc>
        <w:tc>
          <w:tcPr>
            <w:tcW w:w="1263" w:type="dxa"/>
          </w:tcPr>
          <w:p w14:paraId="6AE54827" w14:textId="77777777" w:rsidR="00C77D95" w:rsidRPr="00004B34" w:rsidRDefault="00C77D95" w:rsidP="00732A03">
            <w:pPr>
              <w:spacing w:before="0"/>
              <w:jc w:val="center"/>
              <w:rPr>
                <w:color w:val="000000" w:themeColor="text1"/>
                <w:szCs w:val="20"/>
              </w:rPr>
            </w:pPr>
          </w:p>
        </w:tc>
        <w:tc>
          <w:tcPr>
            <w:tcW w:w="1351" w:type="dxa"/>
          </w:tcPr>
          <w:p w14:paraId="790E0397"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335" w:type="dxa"/>
          </w:tcPr>
          <w:p w14:paraId="29ACA8C6"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517" w:type="dxa"/>
          </w:tcPr>
          <w:p w14:paraId="5FD38394" w14:textId="77777777" w:rsidR="00C77D95" w:rsidRPr="00004B34" w:rsidRDefault="00C77D95" w:rsidP="00732A03">
            <w:pPr>
              <w:spacing w:before="0"/>
              <w:jc w:val="center"/>
              <w:rPr>
                <w:color w:val="000000" w:themeColor="text1"/>
                <w:szCs w:val="20"/>
              </w:rPr>
            </w:pPr>
          </w:p>
        </w:tc>
        <w:tc>
          <w:tcPr>
            <w:tcW w:w="890" w:type="dxa"/>
          </w:tcPr>
          <w:p w14:paraId="506BA1D3" w14:textId="77777777" w:rsidR="00C77D95" w:rsidRPr="00004B34" w:rsidRDefault="00C77D95" w:rsidP="00732A03">
            <w:pPr>
              <w:spacing w:before="0"/>
              <w:jc w:val="center"/>
              <w:rPr>
                <w:color w:val="000000" w:themeColor="text1"/>
                <w:szCs w:val="20"/>
              </w:rPr>
            </w:pPr>
          </w:p>
        </w:tc>
      </w:tr>
      <w:tr w:rsidR="00C77D95" w:rsidRPr="00004B34" w14:paraId="5009E536" w14:textId="77777777" w:rsidTr="00732A03">
        <w:tc>
          <w:tcPr>
            <w:tcW w:w="2660" w:type="dxa"/>
          </w:tcPr>
          <w:p w14:paraId="50E54CDF" w14:textId="77777777" w:rsidR="00C77D95" w:rsidRPr="00004B34" w:rsidRDefault="00C77D95" w:rsidP="00732A03">
            <w:pPr>
              <w:spacing w:before="0"/>
              <w:rPr>
                <w:color w:val="000000" w:themeColor="text1"/>
                <w:szCs w:val="20"/>
              </w:rPr>
            </w:pPr>
            <w:r w:rsidRPr="00004B34">
              <w:rPr>
                <w:color w:val="000000" w:themeColor="text1"/>
                <w:szCs w:val="20"/>
              </w:rPr>
              <w:t>Non-</w:t>
            </w:r>
            <w:proofErr w:type="spellStart"/>
            <w:r>
              <w:rPr>
                <w:color w:val="000000" w:themeColor="text1"/>
                <w:szCs w:val="20"/>
              </w:rPr>
              <w:t>casemix</w:t>
            </w:r>
            <w:proofErr w:type="spellEnd"/>
            <w:r w:rsidRPr="00004B34">
              <w:rPr>
                <w:color w:val="000000" w:themeColor="text1"/>
                <w:szCs w:val="20"/>
              </w:rPr>
              <w:t xml:space="preserve"> stays</w:t>
            </w:r>
          </w:p>
        </w:tc>
        <w:tc>
          <w:tcPr>
            <w:tcW w:w="1263" w:type="dxa"/>
          </w:tcPr>
          <w:p w14:paraId="07C2E55A" w14:textId="77777777" w:rsidR="00C77D95" w:rsidRPr="00004B34" w:rsidRDefault="00C77D95" w:rsidP="00732A03">
            <w:pPr>
              <w:spacing w:before="0"/>
              <w:jc w:val="center"/>
              <w:rPr>
                <w:color w:val="000000" w:themeColor="text1"/>
                <w:szCs w:val="20"/>
              </w:rPr>
            </w:pPr>
          </w:p>
        </w:tc>
        <w:tc>
          <w:tcPr>
            <w:tcW w:w="1351" w:type="dxa"/>
          </w:tcPr>
          <w:p w14:paraId="5AE5551B" w14:textId="77777777" w:rsidR="00C77D95" w:rsidRPr="005F28BE" w:rsidRDefault="00C77D95" w:rsidP="00732A03">
            <w:pPr>
              <w:spacing w:before="0"/>
              <w:jc w:val="center"/>
              <w:rPr>
                <w:color w:val="000000" w:themeColor="text1"/>
                <w:szCs w:val="20"/>
              </w:rPr>
            </w:pPr>
            <w:r w:rsidRPr="005F28BE">
              <w:rPr>
                <w:color w:val="000000" w:themeColor="text1"/>
                <w:szCs w:val="20"/>
              </w:rPr>
              <w:t>√</w:t>
            </w:r>
          </w:p>
        </w:tc>
        <w:tc>
          <w:tcPr>
            <w:tcW w:w="1335" w:type="dxa"/>
          </w:tcPr>
          <w:p w14:paraId="2AFEDB7B" w14:textId="77777777" w:rsidR="00C77D95" w:rsidRPr="00004B34" w:rsidRDefault="00C77D95" w:rsidP="00732A03">
            <w:pPr>
              <w:spacing w:before="0"/>
              <w:jc w:val="center"/>
              <w:rPr>
                <w:color w:val="000000" w:themeColor="text1"/>
                <w:szCs w:val="20"/>
              </w:rPr>
            </w:pPr>
          </w:p>
        </w:tc>
        <w:tc>
          <w:tcPr>
            <w:tcW w:w="1517" w:type="dxa"/>
          </w:tcPr>
          <w:p w14:paraId="0E36BC07"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890" w:type="dxa"/>
          </w:tcPr>
          <w:p w14:paraId="64D810D0" w14:textId="77777777" w:rsidR="00C77D95" w:rsidRPr="00004B34" w:rsidRDefault="00C77D95" w:rsidP="00732A03">
            <w:pPr>
              <w:spacing w:before="0"/>
              <w:jc w:val="center"/>
              <w:rPr>
                <w:color w:val="000000" w:themeColor="text1"/>
                <w:szCs w:val="20"/>
              </w:rPr>
            </w:pPr>
          </w:p>
        </w:tc>
      </w:tr>
      <w:tr w:rsidR="00C77D95" w:rsidRPr="00004B34" w14:paraId="0407DE81" w14:textId="77777777" w:rsidTr="00732A03">
        <w:tc>
          <w:tcPr>
            <w:tcW w:w="2660" w:type="dxa"/>
          </w:tcPr>
          <w:p w14:paraId="26AB26CE" w14:textId="77777777" w:rsidR="00C77D95" w:rsidRPr="00004B34" w:rsidRDefault="00C77D95" w:rsidP="00732A03">
            <w:pPr>
              <w:spacing w:before="0"/>
              <w:rPr>
                <w:color w:val="000000" w:themeColor="text1"/>
                <w:szCs w:val="20"/>
              </w:rPr>
            </w:pPr>
            <w:r w:rsidRPr="00004B34">
              <w:rPr>
                <w:color w:val="000000" w:themeColor="text1"/>
                <w:szCs w:val="20"/>
              </w:rPr>
              <w:t>Mental Health stay</w:t>
            </w:r>
            <w:r>
              <w:rPr>
                <w:color w:val="000000" w:themeColor="text1"/>
                <w:szCs w:val="20"/>
              </w:rPr>
              <w:t>s</w:t>
            </w:r>
          </w:p>
        </w:tc>
        <w:tc>
          <w:tcPr>
            <w:tcW w:w="1263" w:type="dxa"/>
          </w:tcPr>
          <w:p w14:paraId="0EFC6CAE" w14:textId="77777777" w:rsidR="00C77D95" w:rsidRPr="00004B34" w:rsidRDefault="00C77D95" w:rsidP="00732A03">
            <w:pPr>
              <w:spacing w:before="0"/>
              <w:jc w:val="center"/>
              <w:rPr>
                <w:color w:val="000000" w:themeColor="text1"/>
                <w:szCs w:val="20"/>
              </w:rPr>
            </w:pPr>
          </w:p>
        </w:tc>
        <w:tc>
          <w:tcPr>
            <w:tcW w:w="1351" w:type="dxa"/>
          </w:tcPr>
          <w:p w14:paraId="04E1F966"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1335" w:type="dxa"/>
          </w:tcPr>
          <w:p w14:paraId="6C297BA5" w14:textId="77777777" w:rsidR="00C77D95" w:rsidRPr="00004B34" w:rsidRDefault="00C77D95" w:rsidP="00732A03">
            <w:pPr>
              <w:spacing w:before="0"/>
              <w:jc w:val="center"/>
              <w:rPr>
                <w:color w:val="000000" w:themeColor="text1"/>
                <w:szCs w:val="20"/>
              </w:rPr>
            </w:pPr>
          </w:p>
        </w:tc>
        <w:tc>
          <w:tcPr>
            <w:tcW w:w="1517" w:type="dxa"/>
          </w:tcPr>
          <w:p w14:paraId="0E794E9F" w14:textId="77777777" w:rsidR="00C77D95" w:rsidRPr="00004B34" w:rsidRDefault="00C77D95" w:rsidP="00732A03">
            <w:pPr>
              <w:spacing w:before="0"/>
              <w:jc w:val="center"/>
              <w:rPr>
                <w:color w:val="000000" w:themeColor="text1"/>
                <w:szCs w:val="20"/>
              </w:rPr>
            </w:pPr>
            <w:r w:rsidRPr="00004B34">
              <w:rPr>
                <w:color w:val="000000" w:themeColor="text1"/>
                <w:szCs w:val="20"/>
              </w:rPr>
              <w:t>√</w:t>
            </w:r>
          </w:p>
        </w:tc>
        <w:tc>
          <w:tcPr>
            <w:tcW w:w="890" w:type="dxa"/>
          </w:tcPr>
          <w:p w14:paraId="5EC9EFF8" w14:textId="77777777" w:rsidR="00C77D95" w:rsidRPr="00004B34" w:rsidRDefault="00C77D95" w:rsidP="00732A03">
            <w:pPr>
              <w:spacing w:before="0"/>
              <w:jc w:val="center"/>
              <w:rPr>
                <w:color w:val="000000" w:themeColor="text1"/>
                <w:szCs w:val="20"/>
              </w:rPr>
            </w:pPr>
          </w:p>
        </w:tc>
      </w:tr>
    </w:tbl>
    <w:p w14:paraId="61574CA8" w14:textId="77777777" w:rsidR="00CA6EFE" w:rsidRPr="00CC192E" w:rsidRDefault="00CA6EFE" w:rsidP="005731A2">
      <w:pPr>
        <w:jc w:val="both"/>
        <w:rPr>
          <w:highlight w:val="yellow"/>
        </w:rPr>
      </w:pPr>
    </w:p>
    <w:p w14:paraId="3CF81DEB" w14:textId="04613E7D" w:rsidR="001F709A" w:rsidRPr="00FF7ABD" w:rsidRDefault="007859A3" w:rsidP="005731A2">
      <w:pPr>
        <w:pStyle w:val="Heading2"/>
        <w:jc w:val="both"/>
      </w:pPr>
      <w:bookmarkStart w:id="27" w:name="_Ref448994313"/>
      <w:bookmarkStart w:id="28" w:name="_Ref448994459"/>
      <w:bookmarkStart w:id="29" w:name="_Ref448994479"/>
      <w:bookmarkStart w:id="30" w:name="_Toc173318879"/>
      <w:r>
        <w:t xml:space="preserve">Details of </w:t>
      </w:r>
      <w:r w:rsidR="001F709A" w:rsidRPr="00FF7ABD">
        <w:t>Inclusions</w:t>
      </w:r>
      <w:bookmarkEnd w:id="27"/>
      <w:bookmarkEnd w:id="28"/>
      <w:bookmarkEnd w:id="29"/>
      <w:bookmarkEnd w:id="30"/>
    </w:p>
    <w:p w14:paraId="71B83935" w14:textId="4DF9B2A0" w:rsidR="008A0CC2" w:rsidRPr="00FF7ABD" w:rsidRDefault="00AA607E" w:rsidP="008F3BFF">
      <w:pPr>
        <w:pStyle w:val="Heading3"/>
      </w:pPr>
      <w:bookmarkStart w:id="31" w:name="_Toc173318880"/>
      <w:r w:rsidRPr="00FF7ABD">
        <w:t xml:space="preserve">Inpatient </w:t>
      </w:r>
      <w:r w:rsidR="00DC5076">
        <w:t>S</w:t>
      </w:r>
      <w:r w:rsidRPr="00FF7ABD">
        <w:t xml:space="preserve">hort </w:t>
      </w:r>
      <w:r w:rsidR="00DC5076">
        <w:t>S</w:t>
      </w:r>
      <w:r w:rsidRPr="00FF7ABD">
        <w:t xml:space="preserve">tays </w:t>
      </w:r>
      <w:r w:rsidR="009D4E99" w:rsidRPr="008F3BFF">
        <w:t>at</w:t>
      </w:r>
      <w:r w:rsidRPr="00FF7ABD">
        <w:t xml:space="preserve"> </w:t>
      </w:r>
      <w:r w:rsidR="00DC5076">
        <w:t>E</w:t>
      </w:r>
      <w:r w:rsidRPr="00FF7ABD">
        <w:t xml:space="preserve">mergency </w:t>
      </w:r>
      <w:r w:rsidR="00DC5076">
        <w:t>D</w:t>
      </w:r>
      <w:r w:rsidRPr="00FF7ABD">
        <w:t>epartment</w:t>
      </w:r>
      <w:bookmarkEnd w:id="31"/>
    </w:p>
    <w:p w14:paraId="43778A22" w14:textId="77777777" w:rsidR="00694CA0" w:rsidRPr="008F3BFF" w:rsidRDefault="00694CA0" w:rsidP="00E6454C">
      <w:pPr>
        <w:pStyle w:val="Heading4"/>
      </w:pPr>
      <w:r w:rsidRPr="008F3BFF">
        <w:t>Description</w:t>
      </w:r>
    </w:p>
    <w:p w14:paraId="5DDFA79B" w14:textId="5C4B9876" w:rsidR="00E563B5" w:rsidRDefault="00E563B5" w:rsidP="00E563B5">
      <w:pPr>
        <w:jc w:val="both"/>
      </w:pPr>
      <w:r>
        <w:t>The Ministry of Health defines short stay emergency department events as any hospital discharge where both:</w:t>
      </w:r>
    </w:p>
    <w:p w14:paraId="09FC8E56" w14:textId="292BABF8" w:rsidR="00E563B5" w:rsidRDefault="00E563B5" w:rsidP="00E421E5">
      <w:pPr>
        <w:pStyle w:val="ListParagraph"/>
        <w:numPr>
          <w:ilvl w:val="0"/>
          <w:numId w:val="3"/>
        </w:numPr>
        <w:jc w:val="both"/>
      </w:pPr>
      <w:r>
        <w:t xml:space="preserve">length of stay is zero or one midnight spent in </w:t>
      </w:r>
      <w:proofErr w:type="gramStart"/>
      <w:r>
        <w:t>hospital</w:t>
      </w:r>
      <w:proofErr w:type="gramEnd"/>
    </w:p>
    <w:p w14:paraId="0B7105CA" w14:textId="1E69B3D5" w:rsidR="00C000D1" w:rsidRDefault="00E563B5" w:rsidP="00C000D1">
      <w:pPr>
        <w:pStyle w:val="ListParagraph"/>
        <w:numPr>
          <w:ilvl w:val="0"/>
          <w:numId w:val="3"/>
        </w:numPr>
        <w:jc w:val="both"/>
      </w:pPr>
      <w:r>
        <w:t>health specialty code is M05, M06, M07 or M08.</w:t>
      </w:r>
    </w:p>
    <w:p w14:paraId="5824B417" w14:textId="64F68AEA" w:rsidR="00C000D1" w:rsidRDefault="00C000D1" w:rsidP="00C000D1">
      <w:pPr>
        <w:jc w:val="both"/>
      </w:pPr>
      <w:r>
        <w:t>In the model, short stay ED events are identified if the duration of the event is less than 24 hours and if the discharge was by an emergency department specialist using the above health specialty codes.</w:t>
      </w:r>
    </w:p>
    <w:p w14:paraId="02C58610" w14:textId="77777777" w:rsidR="00C000D1" w:rsidRDefault="00C000D1" w:rsidP="00D85A2C">
      <w:pPr>
        <w:pStyle w:val="Heading4"/>
        <w:numPr>
          <w:ilvl w:val="0"/>
          <w:numId w:val="0"/>
        </w:numPr>
        <w:ind w:left="862"/>
      </w:pPr>
    </w:p>
    <w:p w14:paraId="13EA95F1" w14:textId="77777777" w:rsidR="00694CA0" w:rsidRPr="00FF7ABD" w:rsidRDefault="00694CA0" w:rsidP="00E6454C">
      <w:pPr>
        <w:pStyle w:val="Heading4"/>
      </w:pPr>
      <w:r w:rsidRPr="00FF7ABD">
        <w:t>Explanation</w:t>
      </w:r>
    </w:p>
    <w:p w14:paraId="2E218EC4" w14:textId="163A81C9" w:rsidR="00DD0E27" w:rsidRDefault="006202DF" w:rsidP="00DD0E27">
      <w:pPr>
        <w:jc w:val="both"/>
      </w:pPr>
      <w:r>
        <w:t>D</w:t>
      </w:r>
      <w:r w:rsidR="0042754E">
        <w:t>istrict</w:t>
      </w:r>
      <w:r w:rsidR="00DD0E27" w:rsidRPr="00FF7ABD">
        <w:t xml:space="preserve">s have different models of care. </w:t>
      </w:r>
      <w:proofErr w:type="gramStart"/>
      <w:r w:rsidR="00DD0E27" w:rsidRPr="00FF7ABD">
        <w:t>Generally</w:t>
      </w:r>
      <w:proofErr w:type="gramEnd"/>
      <w:r w:rsidR="00DD0E27" w:rsidRPr="00FF7ABD">
        <w:t xml:space="preserve"> all patients in an emergency department who received treatment for more than three hours would be required to be admitted as an inpatient event.</w:t>
      </w:r>
    </w:p>
    <w:p w14:paraId="2987080F" w14:textId="5D91CA18" w:rsidR="00102773" w:rsidRDefault="00B05603" w:rsidP="005731A2">
      <w:pPr>
        <w:jc w:val="both"/>
      </w:pPr>
      <w:r w:rsidRPr="00FF7ABD">
        <w:t xml:space="preserve">Some debates around whether these </w:t>
      </w:r>
      <w:r w:rsidR="00102773" w:rsidRPr="00FF7ABD">
        <w:t xml:space="preserve">ED </w:t>
      </w:r>
      <w:r w:rsidRPr="00FF7ABD">
        <w:t xml:space="preserve">events </w:t>
      </w:r>
      <w:r w:rsidR="00102773" w:rsidRPr="00FF7ABD">
        <w:t xml:space="preserve">should be excluded because </w:t>
      </w:r>
      <w:r w:rsidRPr="00FF7ABD">
        <w:t xml:space="preserve">of inconsistent practice of the admission rules for these events across </w:t>
      </w:r>
      <w:r w:rsidR="006202DF">
        <w:t>D</w:t>
      </w:r>
      <w:r w:rsidR="0042754E">
        <w:t>istrict</w:t>
      </w:r>
      <w:r w:rsidRPr="00FF7ABD">
        <w:t xml:space="preserve">s. Some </w:t>
      </w:r>
      <w:r w:rsidR="00102773" w:rsidRPr="00FF7ABD">
        <w:t>question</w:t>
      </w:r>
      <w:r w:rsidRPr="00FF7ABD">
        <w:t>s</w:t>
      </w:r>
      <w:r w:rsidR="00102773" w:rsidRPr="00FF7ABD">
        <w:t xml:space="preserve"> w</w:t>
      </w:r>
      <w:r w:rsidRPr="00FF7ABD">
        <w:t>ere</w:t>
      </w:r>
      <w:r w:rsidR="00102773" w:rsidRPr="00FF7ABD">
        <w:t xml:space="preserve"> asked about whether ED bed days </w:t>
      </w:r>
      <w:r w:rsidR="00E741E8" w:rsidRPr="00FF7ABD">
        <w:t xml:space="preserve">are </w:t>
      </w:r>
      <w:r w:rsidR="00102773" w:rsidRPr="00FF7ABD">
        <w:t>the same as other acute bed days</w:t>
      </w:r>
      <w:r w:rsidR="00201864" w:rsidRPr="00FF7ABD">
        <w:t xml:space="preserve"> and on </w:t>
      </w:r>
      <w:r w:rsidR="007D4DF5" w:rsidRPr="00FF7ABD">
        <w:t>how much of ED services are amenable to intervention.</w:t>
      </w:r>
    </w:p>
    <w:p w14:paraId="0B941C1C" w14:textId="3D02DEE6" w:rsidR="00202630" w:rsidRDefault="007D4DF5" w:rsidP="00202630">
      <w:pPr>
        <w:jc w:val="both"/>
      </w:pPr>
      <w:r w:rsidRPr="00FF7ABD">
        <w:t xml:space="preserve">ED is a hospital resource. The measure is about helping the sector to use health resources </w:t>
      </w:r>
      <w:proofErr w:type="gramStart"/>
      <w:r w:rsidRPr="00FF7ABD">
        <w:t>efficiently</w:t>
      </w:r>
      <w:proofErr w:type="gramEnd"/>
      <w:r w:rsidRPr="00FF7ABD">
        <w:t xml:space="preserve"> but the model should not dis</w:t>
      </w:r>
      <w:r w:rsidR="005B6E37">
        <w:t>-</w:t>
      </w:r>
      <w:r w:rsidRPr="00FF7ABD">
        <w:t>incentiv</w:t>
      </w:r>
      <w:r w:rsidR="007E478A">
        <w:t>ise</w:t>
      </w:r>
      <w:r w:rsidRPr="00FF7ABD">
        <w:t xml:space="preserve"> models of care. One of the options is to perhaps mov</w:t>
      </w:r>
      <w:r w:rsidR="007E478A">
        <w:t>e</w:t>
      </w:r>
      <w:r w:rsidRPr="00FF7ABD">
        <w:t xml:space="preserve"> short stay patient numbers to </w:t>
      </w:r>
      <w:r w:rsidR="00202630">
        <w:t>a separate measure</w:t>
      </w:r>
      <w:r w:rsidRPr="00FF7ABD">
        <w:t>. On the other hand</w:t>
      </w:r>
      <w:r w:rsidR="00201864" w:rsidRPr="00FF7ABD">
        <w:t>,</w:t>
      </w:r>
      <w:r w:rsidRPr="00FF7ABD">
        <w:t xml:space="preserve"> </w:t>
      </w:r>
      <w:r w:rsidR="00201864" w:rsidRPr="00FF7ABD">
        <w:t xml:space="preserve">there are </w:t>
      </w:r>
      <w:r w:rsidRPr="00FF7ABD">
        <w:t>concern</w:t>
      </w:r>
      <w:r w:rsidR="00201864" w:rsidRPr="00FF7ABD">
        <w:t>s</w:t>
      </w:r>
      <w:r w:rsidRPr="00FF7ABD">
        <w:t xml:space="preserve"> about not counting this a</w:t>
      </w:r>
      <w:r w:rsidR="00202630">
        <w:t>ctivity as t</w:t>
      </w:r>
      <w:r w:rsidR="00202630" w:rsidRPr="00202630">
        <w:t xml:space="preserve">his type of patient forms a considerable proportion of inpatients in some </w:t>
      </w:r>
      <w:r w:rsidR="006202DF">
        <w:t>D</w:t>
      </w:r>
      <w:r w:rsidR="0042754E">
        <w:t>istrict</w:t>
      </w:r>
      <w:r w:rsidR="00202630" w:rsidRPr="00202630">
        <w:t xml:space="preserve">s and therefore cannot be simply excluded from the readmission dataset. </w:t>
      </w:r>
    </w:p>
    <w:p w14:paraId="74D59361" w14:textId="1B7176CA" w:rsidR="004326D7" w:rsidRPr="00FF7ABD" w:rsidRDefault="004326D7" w:rsidP="005731A2">
      <w:pPr>
        <w:jc w:val="both"/>
      </w:pPr>
      <w:r w:rsidRPr="00FF7ABD">
        <w:lastRenderedPageBreak/>
        <w:t xml:space="preserve">Excluding ED short stays </w:t>
      </w:r>
      <w:r w:rsidR="007C5F1D" w:rsidRPr="00FF7ABD">
        <w:t xml:space="preserve">may </w:t>
      </w:r>
      <w:r w:rsidRPr="00FF7ABD">
        <w:t xml:space="preserve">systematically exclude higher users of this service from the measure, </w:t>
      </w:r>
      <w:proofErr w:type="gramStart"/>
      <w:r w:rsidRPr="00FF7ABD">
        <w:t>e.g.</w:t>
      </w:r>
      <w:proofErr w:type="gramEnd"/>
      <w:r w:rsidRPr="00FF7ABD">
        <w:t xml:space="preserve"> </w:t>
      </w:r>
      <w:proofErr w:type="spellStart"/>
      <w:r w:rsidRPr="00FF7ABD">
        <w:t>Maori</w:t>
      </w:r>
      <w:proofErr w:type="spellEnd"/>
      <w:r w:rsidR="007C5F1D" w:rsidRPr="00FF7ABD">
        <w:t>, and therefore may omit certain disparity issues to be addressed.</w:t>
      </w:r>
    </w:p>
    <w:p w14:paraId="563FBFB8" w14:textId="27A11911" w:rsidR="00F51A82" w:rsidRDefault="006202DF" w:rsidP="005731A2">
      <w:pPr>
        <w:jc w:val="both"/>
      </w:pPr>
      <w:r>
        <w:t>D</w:t>
      </w:r>
      <w:r w:rsidR="0042754E">
        <w:t>istrict</w:t>
      </w:r>
      <w:r w:rsidR="007C5F1D" w:rsidRPr="00FF7ABD">
        <w:t xml:space="preserve">s are encouraged to make improvements based on their own baseline.  It is therefore less of a concern for inconsistency in reporting across </w:t>
      </w:r>
      <w:r>
        <w:t>D</w:t>
      </w:r>
      <w:r w:rsidR="0042754E">
        <w:t>istrict</w:t>
      </w:r>
      <w:r w:rsidR="007C5F1D" w:rsidRPr="00FF7ABD">
        <w:t xml:space="preserve">s. </w:t>
      </w:r>
      <w:r w:rsidR="00F51A82" w:rsidRPr="00FF7ABD">
        <w:t xml:space="preserve">In practice, </w:t>
      </w:r>
      <w:r w:rsidR="00201864" w:rsidRPr="00FF7ABD">
        <w:t xml:space="preserve">it is important to acknowledge that </w:t>
      </w:r>
      <w:r w:rsidR="00F51A82" w:rsidRPr="00FF7ABD">
        <w:t xml:space="preserve">the measure cannot address </w:t>
      </w:r>
      <w:proofErr w:type="gramStart"/>
      <w:r w:rsidR="00F51A82" w:rsidRPr="00FF7ABD">
        <w:t>everything</w:t>
      </w:r>
      <w:proofErr w:type="gramEnd"/>
      <w:r w:rsidR="00F51A82" w:rsidRPr="00FF7ABD">
        <w:t xml:space="preserve"> and </w:t>
      </w:r>
      <w:r w:rsidR="00BC569A" w:rsidRPr="00FF7ABD">
        <w:t xml:space="preserve">ED </w:t>
      </w:r>
      <w:r w:rsidR="00F51A82" w:rsidRPr="00FF7ABD">
        <w:t xml:space="preserve">short stays may be a </w:t>
      </w:r>
      <w:r w:rsidR="007E478A">
        <w:t>limitation</w:t>
      </w:r>
      <w:r w:rsidR="00F51A82" w:rsidRPr="00FF7ABD">
        <w:t xml:space="preserve"> of the measure</w:t>
      </w:r>
      <w:r w:rsidR="00201864" w:rsidRPr="00FF7ABD">
        <w:t>.</w:t>
      </w:r>
    </w:p>
    <w:p w14:paraId="26C2EA01" w14:textId="77777777" w:rsidR="00FF0F5F" w:rsidRDefault="00FF0F5F" w:rsidP="00FF0F5F">
      <w:pPr>
        <w:jc w:val="both"/>
      </w:pPr>
      <w:r>
        <w:t>Counting the length of stay of an event less than two</w:t>
      </w:r>
      <w:r w:rsidRPr="005402EE">
        <w:t xml:space="preserve"> days </w:t>
      </w:r>
      <w:r>
        <w:t xml:space="preserve">stay has been difficult prior to the introduction of the </w:t>
      </w:r>
      <w:r w:rsidRPr="00C000D1">
        <w:t>times stamps data</w:t>
      </w:r>
      <w:r>
        <w:t xml:space="preserve"> (</w:t>
      </w:r>
      <w:proofErr w:type="gramStart"/>
      <w:r>
        <w:t>i.e.</w:t>
      </w:r>
      <w:proofErr w:type="gramEnd"/>
      <w:r>
        <w:t xml:space="preserve"> event start datetime and event end datetime) in NMDS in June 2011. Day cases or short stay EDs events had been excluded in analysis such as the historical Average Length of Stay measure. A constant such as 0.5 day had also been used in past analysis to accommodate these events. </w:t>
      </w:r>
    </w:p>
    <w:p w14:paraId="1E97E356" w14:textId="007881B2" w:rsidR="00FF0F5F" w:rsidRDefault="00FF0F5F" w:rsidP="00FF0F5F">
      <w:pPr>
        <w:jc w:val="both"/>
      </w:pPr>
      <w:r>
        <w:t xml:space="preserve">Time stamps data has since </w:t>
      </w:r>
      <w:proofErr w:type="gramStart"/>
      <w:r>
        <w:t>improved</w:t>
      </w:r>
      <w:proofErr w:type="gramEnd"/>
      <w:r>
        <w:t xml:space="preserve"> and it is deemed to be suitable to be used to get fractional number of stays. Other alternatives and proposals could include having a minimum stay of half or one day. These alternative approaches are considered to be less adequate </w:t>
      </w:r>
      <w:proofErr w:type="gramStart"/>
      <w:r>
        <w:t>then</w:t>
      </w:r>
      <w:proofErr w:type="gramEnd"/>
      <w:r>
        <w:t xml:space="preserve"> the time stamps approach.</w:t>
      </w:r>
    </w:p>
    <w:p w14:paraId="724D9E68" w14:textId="77777777" w:rsidR="00FF0F5F" w:rsidRPr="00FF7ABD" w:rsidRDefault="00FF0F5F" w:rsidP="005731A2">
      <w:pPr>
        <w:jc w:val="both"/>
      </w:pPr>
    </w:p>
    <w:p w14:paraId="4E7D03AD" w14:textId="77777777" w:rsidR="00694CA0" w:rsidRPr="00FF7ABD" w:rsidRDefault="00694CA0" w:rsidP="00E6454C">
      <w:pPr>
        <w:pStyle w:val="Heading4"/>
      </w:pPr>
      <w:r w:rsidRPr="00FF7ABD">
        <w:t>Recommendation</w:t>
      </w:r>
    </w:p>
    <w:p w14:paraId="2D02ECF9" w14:textId="5CBDA8E4" w:rsidR="00201864" w:rsidRPr="00FF7ABD" w:rsidRDefault="00BC569A" w:rsidP="005731A2">
      <w:pPr>
        <w:jc w:val="both"/>
      </w:pPr>
      <w:r>
        <w:t xml:space="preserve">ED short stays </w:t>
      </w:r>
      <w:r w:rsidR="00201864" w:rsidRPr="00FF7ABD">
        <w:t>are included</w:t>
      </w:r>
      <w:r w:rsidR="007F2ED6">
        <w:t xml:space="preserve"> in the model</w:t>
      </w:r>
      <w:r w:rsidR="00201864" w:rsidRPr="00FF7ABD">
        <w:t>.</w:t>
      </w:r>
    </w:p>
    <w:p w14:paraId="4F797D27" w14:textId="65758415" w:rsidR="00C77D95" w:rsidRPr="00FF7ABD" w:rsidRDefault="00C77D95" w:rsidP="00C77D95">
      <w:pPr>
        <w:jc w:val="both"/>
        <w:rPr>
          <w:b/>
        </w:rPr>
      </w:pPr>
      <w:r w:rsidRPr="00FF7ABD">
        <w:rPr>
          <w:b/>
        </w:rPr>
        <w:t xml:space="preserve">A flag has been introduced </w:t>
      </w:r>
      <w:r>
        <w:rPr>
          <w:b/>
        </w:rPr>
        <w:t xml:space="preserve">for ED short stays </w:t>
      </w:r>
      <w:r w:rsidRPr="00FF7ABD">
        <w:rPr>
          <w:b/>
        </w:rPr>
        <w:t>using health specialty code</w:t>
      </w:r>
      <w:r>
        <w:rPr>
          <w:b/>
        </w:rPr>
        <w:t>s</w:t>
      </w:r>
      <w:r w:rsidRPr="00FF7ABD">
        <w:rPr>
          <w:b/>
        </w:rPr>
        <w:t xml:space="preserve"> </w:t>
      </w:r>
      <w:r w:rsidRPr="00DD0E27">
        <w:rPr>
          <w:b/>
        </w:rPr>
        <w:t xml:space="preserve">M05, M06, M07 </w:t>
      </w:r>
      <w:r>
        <w:rPr>
          <w:b/>
        </w:rPr>
        <w:t>or</w:t>
      </w:r>
      <w:r w:rsidRPr="00DD0E27">
        <w:rPr>
          <w:b/>
        </w:rPr>
        <w:t xml:space="preserve"> M08</w:t>
      </w:r>
      <w:r w:rsidRPr="00FF7ABD">
        <w:rPr>
          <w:b/>
        </w:rPr>
        <w:t xml:space="preserve"> with less than </w:t>
      </w:r>
      <w:r w:rsidR="00325E7F">
        <w:rPr>
          <w:b/>
        </w:rPr>
        <w:t>24 hours</w:t>
      </w:r>
      <w:r w:rsidRPr="00FF7ABD">
        <w:rPr>
          <w:b/>
        </w:rPr>
        <w:t xml:space="preserve"> length of stay, </w:t>
      </w:r>
      <w:r>
        <w:rPr>
          <w:b/>
        </w:rPr>
        <w:t>and if the entire stay consists of ED short stay events</w:t>
      </w:r>
      <w:r w:rsidRPr="00FF7ABD">
        <w:rPr>
          <w:b/>
        </w:rPr>
        <w:t xml:space="preserve">.  </w:t>
      </w:r>
    </w:p>
    <w:p w14:paraId="1F31F2BC" w14:textId="77777777" w:rsidR="000268A4" w:rsidRPr="00FF7ABD" w:rsidRDefault="000268A4" w:rsidP="005731A2">
      <w:pPr>
        <w:jc w:val="both"/>
      </w:pPr>
    </w:p>
    <w:p w14:paraId="5A39E605" w14:textId="6E59136E" w:rsidR="000268A4" w:rsidRPr="00FF7ABD" w:rsidRDefault="000268A4" w:rsidP="001642E8">
      <w:pPr>
        <w:pStyle w:val="Heading3"/>
      </w:pPr>
      <w:bookmarkStart w:id="32" w:name="_Toc173318881"/>
      <w:r w:rsidRPr="00FF7ABD">
        <w:t>Palliative Care</w:t>
      </w:r>
      <w:bookmarkEnd w:id="32"/>
    </w:p>
    <w:p w14:paraId="7A3A31D8" w14:textId="77777777" w:rsidR="000268A4" w:rsidRPr="00FF7ABD" w:rsidRDefault="000268A4" w:rsidP="00E6454C">
      <w:pPr>
        <w:pStyle w:val="Heading4"/>
      </w:pPr>
      <w:r w:rsidRPr="00FF7ABD">
        <w:t>Description</w:t>
      </w:r>
    </w:p>
    <w:p w14:paraId="2597181E" w14:textId="1B44BF51" w:rsidR="000268A4" w:rsidRPr="00FF7ABD" w:rsidRDefault="000268A4" w:rsidP="005731A2">
      <w:pPr>
        <w:jc w:val="both"/>
      </w:pPr>
      <w:r w:rsidRPr="00FF7ABD">
        <w:t xml:space="preserve">Inpatient events that are discharged with the </w:t>
      </w:r>
      <w:r w:rsidR="007640EB" w:rsidRPr="00FF7ABD">
        <w:t>h</w:t>
      </w:r>
      <w:r w:rsidRPr="00FF7ABD">
        <w:t xml:space="preserve">ealth </w:t>
      </w:r>
      <w:r w:rsidR="007640EB" w:rsidRPr="00FF7ABD">
        <w:t>s</w:t>
      </w:r>
      <w:r w:rsidRPr="00FF7ABD">
        <w:t xml:space="preserve">pecialty </w:t>
      </w:r>
      <w:r w:rsidR="007640EB" w:rsidRPr="00FF7ABD">
        <w:t>c</w:t>
      </w:r>
      <w:r w:rsidRPr="00FF7ABD">
        <w:t>odes of M80 or M81 are considered as a palliative care event</w:t>
      </w:r>
      <w:r w:rsidR="007640EB" w:rsidRPr="00FF7ABD">
        <w:t>.</w:t>
      </w:r>
    </w:p>
    <w:p w14:paraId="3084F910" w14:textId="77777777" w:rsidR="000268A4" w:rsidRPr="00FF7ABD" w:rsidRDefault="000268A4" w:rsidP="00E6454C">
      <w:pPr>
        <w:pStyle w:val="Heading4"/>
      </w:pPr>
      <w:r w:rsidRPr="00FF7ABD">
        <w:t>Explanation</w:t>
      </w:r>
    </w:p>
    <w:p w14:paraId="78539D32" w14:textId="22F59568" w:rsidR="000268A4" w:rsidRPr="00FF7ABD" w:rsidRDefault="000268A4" w:rsidP="005731A2">
      <w:pPr>
        <w:jc w:val="both"/>
      </w:pPr>
      <w:r w:rsidRPr="00FF7ABD">
        <w:t>Patients with terminal illness, undergoing end of life care can be admitted acutely as inpatients</w:t>
      </w:r>
      <w:r w:rsidR="007640EB" w:rsidRPr="00FF7ABD">
        <w:t xml:space="preserve"> or non-acutely as part of the whole stay</w:t>
      </w:r>
      <w:r w:rsidRPr="00FF7ABD">
        <w:t xml:space="preserve">. The characteristics of the patients are significantly different from others in terms of medical nature and service required. </w:t>
      </w:r>
      <w:r w:rsidR="007640EB" w:rsidRPr="00FF7ABD">
        <w:t>However, these patients would benefit from having good non-hospital alternative care.</w:t>
      </w:r>
    </w:p>
    <w:p w14:paraId="78D1E60D" w14:textId="412F5963" w:rsidR="007C5F1D" w:rsidRDefault="007C5F1D" w:rsidP="005731A2">
      <w:pPr>
        <w:jc w:val="both"/>
      </w:pPr>
      <w:r w:rsidRPr="00FF7ABD">
        <w:t>It is also technical</w:t>
      </w:r>
      <w:r w:rsidR="00202630">
        <w:t>ly</w:t>
      </w:r>
      <w:r w:rsidRPr="00FF7ABD">
        <w:t xml:space="preserve"> difficult to identify Palliative care events accurate</w:t>
      </w:r>
      <w:r w:rsidR="00B21998">
        <w:t>ly</w:t>
      </w:r>
      <w:r w:rsidRPr="00FF7ABD">
        <w:t xml:space="preserve"> due to inconsistent recording of the service.</w:t>
      </w:r>
    </w:p>
    <w:p w14:paraId="3AC284D2" w14:textId="77777777" w:rsidR="000268A4" w:rsidRPr="00FF7ABD" w:rsidRDefault="000268A4" w:rsidP="00E6454C">
      <w:pPr>
        <w:pStyle w:val="Heading4"/>
      </w:pPr>
      <w:r w:rsidRPr="00FF7ABD">
        <w:t>Recommendation</w:t>
      </w:r>
    </w:p>
    <w:p w14:paraId="7B7831DC" w14:textId="77777777" w:rsidR="00606D58" w:rsidRDefault="00606D58" w:rsidP="00606D58">
      <w:pPr>
        <w:jc w:val="both"/>
      </w:pPr>
      <w:r w:rsidRPr="00FF7ABD">
        <w:t>Palliative care events are included in the measure.</w:t>
      </w:r>
    </w:p>
    <w:p w14:paraId="4D1DAEF2" w14:textId="4329C6BB" w:rsidR="00606D58" w:rsidRPr="00FF7ABD" w:rsidRDefault="00606D58" w:rsidP="00606D58">
      <w:pPr>
        <w:jc w:val="both"/>
        <w:rPr>
          <w:b/>
        </w:rPr>
      </w:pPr>
      <w:r w:rsidRPr="00FF7ABD">
        <w:rPr>
          <w:b/>
        </w:rPr>
        <w:t>A flag has been introduced using health specialty code</w:t>
      </w:r>
      <w:r>
        <w:rPr>
          <w:b/>
        </w:rPr>
        <w:t>s</w:t>
      </w:r>
      <w:r w:rsidRPr="00FF7ABD">
        <w:rPr>
          <w:b/>
        </w:rPr>
        <w:t xml:space="preserve"> M</w:t>
      </w:r>
      <w:r w:rsidR="00E421E5">
        <w:rPr>
          <w:b/>
        </w:rPr>
        <w:t xml:space="preserve">80 or M8 </w:t>
      </w:r>
      <w:r>
        <w:rPr>
          <w:b/>
        </w:rPr>
        <w:t>for stays with palliative care events</w:t>
      </w:r>
      <w:r w:rsidR="00E421E5">
        <w:rPr>
          <w:b/>
        </w:rPr>
        <w:t>.</w:t>
      </w:r>
    </w:p>
    <w:p w14:paraId="06CD54A8" w14:textId="77777777" w:rsidR="00606D58" w:rsidRPr="00CC192E" w:rsidRDefault="00606D58" w:rsidP="00606D58">
      <w:pPr>
        <w:jc w:val="both"/>
        <w:rPr>
          <w:highlight w:val="yellow"/>
        </w:rPr>
      </w:pPr>
    </w:p>
    <w:p w14:paraId="0E35633D" w14:textId="34B9D2DE" w:rsidR="00606D58" w:rsidRPr="00FF7ABD" w:rsidRDefault="00606D58" w:rsidP="00606D58">
      <w:pPr>
        <w:pStyle w:val="Heading3"/>
        <w:numPr>
          <w:ilvl w:val="2"/>
          <w:numId w:val="2"/>
        </w:numPr>
      </w:pPr>
      <w:bookmarkStart w:id="33" w:name="_Toc173318882"/>
      <w:r w:rsidRPr="00FF7ABD">
        <w:t>Cancer Treatments</w:t>
      </w:r>
      <w:bookmarkEnd w:id="33"/>
    </w:p>
    <w:p w14:paraId="312CC319" w14:textId="77777777" w:rsidR="00606D58" w:rsidRPr="00FF7ABD" w:rsidRDefault="00606D58" w:rsidP="00D85A2C">
      <w:pPr>
        <w:pStyle w:val="Heading4"/>
      </w:pPr>
      <w:r w:rsidRPr="00FF7ABD">
        <w:t>Description</w:t>
      </w:r>
    </w:p>
    <w:p w14:paraId="1D4568CE" w14:textId="77777777" w:rsidR="00606D58" w:rsidRPr="00FF7ABD" w:rsidRDefault="00606D58" w:rsidP="00606D58">
      <w:pPr>
        <w:jc w:val="both"/>
      </w:pPr>
      <w:r w:rsidRPr="00FF7ABD">
        <w:t xml:space="preserve">Inpatients events with a </w:t>
      </w:r>
      <w:r w:rsidRPr="008F3BFF">
        <w:t xml:space="preserve">Diagnosis-related group </w:t>
      </w:r>
      <w:r>
        <w:t>(</w:t>
      </w:r>
      <w:r w:rsidRPr="00FF7ABD">
        <w:t>DRG</w:t>
      </w:r>
      <w:r>
        <w:t>)</w:t>
      </w:r>
      <w:r w:rsidRPr="00FF7ABD">
        <w:t xml:space="preserve"> code starting with ‘R’, </w:t>
      </w:r>
      <w:r w:rsidRPr="00F02C62">
        <w:t>including</w:t>
      </w:r>
      <w:r w:rsidRPr="00FF7ABD">
        <w:t xml:space="preserve"> Chemotherapy</w:t>
      </w:r>
      <w:r>
        <w:t xml:space="preserve"> (R63</w:t>
      </w:r>
      <w:r w:rsidRPr="00FF7ABD">
        <w:t xml:space="preserve">) or </w:t>
      </w:r>
      <w:r>
        <w:t>Radiotherapy (R64)</w:t>
      </w:r>
      <w:r w:rsidRPr="00FF7ABD">
        <w:t>.</w:t>
      </w:r>
    </w:p>
    <w:p w14:paraId="0AD26EB2" w14:textId="77777777" w:rsidR="00606D58" w:rsidRPr="00FF7ABD" w:rsidRDefault="00606D58" w:rsidP="00D85A2C">
      <w:pPr>
        <w:pStyle w:val="Heading4"/>
      </w:pPr>
      <w:r w:rsidRPr="00FF7ABD">
        <w:lastRenderedPageBreak/>
        <w:t>Explanation</w:t>
      </w:r>
    </w:p>
    <w:p w14:paraId="45ED5D8F" w14:textId="77777777" w:rsidR="00606D58" w:rsidRPr="00FF7ABD" w:rsidRDefault="00606D58" w:rsidP="00606D58">
      <w:pPr>
        <w:jc w:val="both"/>
      </w:pPr>
      <w:r w:rsidRPr="00FF7ABD">
        <w:t xml:space="preserve">Cancer patients can be admitted acutely for chemotherapy, </w:t>
      </w:r>
      <w:proofErr w:type="gramStart"/>
      <w:r w:rsidRPr="00FF7ABD">
        <w:t>radiotherapy</w:t>
      </w:r>
      <w:proofErr w:type="gramEnd"/>
      <w:r w:rsidRPr="00FF7ABD">
        <w:t xml:space="preserve"> and other procedures. The admission may be a scheduled treatment. The characteristic of this type of patients are likely to be different from other inpatients. In terms of clinical and health resource management, these patients cannot be simply excluded from </w:t>
      </w:r>
      <w:r>
        <w:t>re</w:t>
      </w:r>
      <w:r w:rsidRPr="00FF7ABD">
        <w:t>admission analysis.  These patients require adequate care planning both in and out of the hospital settings.</w:t>
      </w:r>
    </w:p>
    <w:p w14:paraId="3E2B07F2" w14:textId="77777777" w:rsidR="00606D58" w:rsidRPr="00FF7ABD" w:rsidRDefault="00606D58" w:rsidP="00D85A2C">
      <w:pPr>
        <w:pStyle w:val="Heading4"/>
      </w:pPr>
      <w:r w:rsidRPr="00FF7ABD">
        <w:t>Recommendation</w:t>
      </w:r>
    </w:p>
    <w:p w14:paraId="13DCB651" w14:textId="57DB6DCE" w:rsidR="00606D58" w:rsidRPr="00FF7ABD" w:rsidRDefault="00606D58" w:rsidP="00606D58">
      <w:pPr>
        <w:jc w:val="both"/>
      </w:pPr>
      <w:r w:rsidRPr="00FF7ABD">
        <w:t xml:space="preserve">Cancer treatments are included in the measure </w:t>
      </w:r>
      <w:proofErr w:type="gramStart"/>
      <w:r w:rsidRPr="00FF7ABD">
        <w:t>with the exception of</w:t>
      </w:r>
      <w:proofErr w:type="gramEnd"/>
      <w:r w:rsidRPr="00FF7ABD">
        <w:t xml:space="preserve"> same day cancer chemotherapy or same day radiotherapy events if these are a standalone </w:t>
      </w:r>
      <w:r w:rsidR="00E421E5">
        <w:t>non-</w:t>
      </w:r>
      <w:proofErr w:type="spellStart"/>
      <w:r w:rsidR="00E421E5">
        <w:t>casemix</w:t>
      </w:r>
      <w:proofErr w:type="spellEnd"/>
      <w:r w:rsidR="00E421E5">
        <w:t xml:space="preserve"> </w:t>
      </w:r>
      <w:r w:rsidRPr="00FF7ABD">
        <w:t xml:space="preserve">event. </w:t>
      </w:r>
    </w:p>
    <w:p w14:paraId="154B0E61" w14:textId="77777777" w:rsidR="00606D58" w:rsidRPr="00FF7ABD" w:rsidRDefault="00606D58" w:rsidP="00606D58">
      <w:pPr>
        <w:jc w:val="both"/>
        <w:rPr>
          <w:b/>
        </w:rPr>
      </w:pPr>
      <w:r w:rsidRPr="00FF7ABD">
        <w:rPr>
          <w:b/>
        </w:rPr>
        <w:t xml:space="preserve">A flag has been introduced </w:t>
      </w:r>
      <w:r w:rsidRPr="00F02C62">
        <w:rPr>
          <w:b/>
        </w:rPr>
        <w:t>using</w:t>
      </w:r>
      <w:r w:rsidRPr="00FF7ABD">
        <w:rPr>
          <w:b/>
        </w:rPr>
        <w:t xml:space="preserve"> </w:t>
      </w:r>
      <w:r>
        <w:rPr>
          <w:b/>
        </w:rPr>
        <w:t>DRG codes starting with ‘R’</w:t>
      </w:r>
      <w:r w:rsidRPr="00FF7ABD">
        <w:rPr>
          <w:b/>
        </w:rPr>
        <w:t xml:space="preserve">.  </w:t>
      </w:r>
    </w:p>
    <w:p w14:paraId="0C714AFA" w14:textId="77777777" w:rsidR="00FF7ABD" w:rsidRDefault="00FF7ABD" w:rsidP="005731A2">
      <w:pPr>
        <w:jc w:val="both"/>
        <w:rPr>
          <w:highlight w:val="yellow"/>
        </w:rPr>
      </w:pPr>
    </w:p>
    <w:p w14:paraId="7312622B" w14:textId="0F42EFD7" w:rsidR="00FF7ABD" w:rsidRPr="00FF7ABD" w:rsidRDefault="00FF7ABD" w:rsidP="00FF7ABD">
      <w:pPr>
        <w:pStyle w:val="Heading3"/>
      </w:pPr>
      <w:bookmarkStart w:id="34" w:name="_Toc173318883"/>
      <w:r w:rsidRPr="00FF7ABD">
        <w:t xml:space="preserve">Paediatric </w:t>
      </w:r>
      <w:r>
        <w:t>Services</w:t>
      </w:r>
      <w:bookmarkEnd w:id="34"/>
    </w:p>
    <w:p w14:paraId="234D0768" w14:textId="77777777" w:rsidR="00FF7ABD" w:rsidRPr="00FF7ABD" w:rsidRDefault="00FF7ABD" w:rsidP="00E6454C">
      <w:pPr>
        <w:pStyle w:val="Heading4"/>
      </w:pPr>
      <w:r w:rsidRPr="00FF7ABD">
        <w:t>Description</w:t>
      </w:r>
    </w:p>
    <w:p w14:paraId="5D4B87E2" w14:textId="1DE79828" w:rsidR="00334836" w:rsidRDefault="00334836" w:rsidP="00334836">
      <w:pPr>
        <w:jc w:val="both"/>
      </w:pPr>
      <w:r>
        <w:t xml:space="preserve">Paediatric </w:t>
      </w:r>
      <w:r w:rsidRPr="00334836">
        <w:t>services are identified if a patient is:</w:t>
      </w:r>
    </w:p>
    <w:p w14:paraId="60C4B369" w14:textId="49F0E1AF" w:rsidR="00334836" w:rsidRPr="00334836" w:rsidRDefault="00334836" w:rsidP="00334836">
      <w:pPr>
        <w:pStyle w:val="ListParagraph"/>
        <w:numPr>
          <w:ilvl w:val="0"/>
          <w:numId w:val="3"/>
        </w:numPr>
        <w:jc w:val="both"/>
      </w:pPr>
      <w:r>
        <w:t>Under 15</w:t>
      </w:r>
      <w:r w:rsidRPr="00334836">
        <w:t xml:space="preserve"> years of age as at the first admission date of the i</w:t>
      </w:r>
      <w:r w:rsidR="007F2ED6">
        <w:t>ndex stay, and</w:t>
      </w:r>
    </w:p>
    <w:p w14:paraId="7523BED9" w14:textId="27C2A196" w:rsidR="00334836" w:rsidRPr="00334836" w:rsidRDefault="00334836" w:rsidP="00334836">
      <w:pPr>
        <w:pStyle w:val="ListParagraph"/>
        <w:numPr>
          <w:ilvl w:val="0"/>
          <w:numId w:val="3"/>
        </w:numPr>
        <w:jc w:val="both"/>
      </w:pPr>
      <w:r w:rsidRPr="00334836">
        <w:t xml:space="preserve">the first event of the </w:t>
      </w:r>
      <w:r w:rsidR="00B746E1">
        <w:t>index stay was discharged with h</w:t>
      </w:r>
      <w:r w:rsidRPr="00334836">
        <w:t xml:space="preserve">ealth </w:t>
      </w:r>
      <w:r w:rsidR="00B746E1">
        <w:t>s</w:t>
      </w:r>
      <w:r w:rsidRPr="00334836">
        <w:t xml:space="preserve">pecialty codes of </w:t>
      </w:r>
      <w:r w:rsidR="00B21998">
        <w:t>paediatric</w:t>
      </w:r>
      <w:r w:rsidRPr="00334836">
        <w:t xml:space="preserve"> medicine, </w:t>
      </w:r>
      <w:r w:rsidR="007F2ED6">
        <w:t>using</w:t>
      </w:r>
      <w:r w:rsidRPr="00334836">
        <w:t xml:space="preserve"> </w:t>
      </w:r>
      <w:r>
        <w:t>M14</w:t>
      </w:r>
      <w:r w:rsidRPr="00334836">
        <w:t>, M19, M24, M29, M34, M39, M44, M49, M54</w:t>
      </w:r>
      <w:r>
        <w:t xml:space="preserve"> to </w:t>
      </w:r>
      <w:r w:rsidRPr="00334836">
        <w:t xml:space="preserve">M59, M64, M69, M74, M79, M84, M94, M97, M98, P41 to P43, </w:t>
      </w:r>
      <w:r w:rsidR="00B746E1">
        <w:t xml:space="preserve">or </w:t>
      </w:r>
      <w:r w:rsidRPr="00334836">
        <w:t>S55 to S59.</w:t>
      </w:r>
    </w:p>
    <w:p w14:paraId="764034FD" w14:textId="77777777" w:rsidR="00FF7ABD" w:rsidRPr="00334836" w:rsidRDefault="00FF7ABD" w:rsidP="00E6454C">
      <w:pPr>
        <w:pStyle w:val="Heading4"/>
      </w:pPr>
      <w:r w:rsidRPr="00334836">
        <w:t>Explanation</w:t>
      </w:r>
    </w:p>
    <w:p w14:paraId="183DD2C3" w14:textId="71421595" w:rsidR="00FF7ABD" w:rsidRPr="00334836" w:rsidRDefault="00FF7ABD" w:rsidP="00FF7ABD">
      <w:pPr>
        <w:jc w:val="both"/>
      </w:pPr>
      <w:r w:rsidRPr="00334836">
        <w:t xml:space="preserve">Characteristics of paediatric patients are considerably different from other patients in terms of </w:t>
      </w:r>
      <w:r w:rsidR="00334836">
        <w:t xml:space="preserve">the </w:t>
      </w:r>
      <w:r w:rsidRPr="00334836">
        <w:t xml:space="preserve">medical nature of the conditions. Within the </w:t>
      </w:r>
      <w:r w:rsidR="00334836">
        <w:t xml:space="preserve">group of </w:t>
      </w:r>
      <w:r w:rsidRPr="00334836">
        <w:t xml:space="preserve">paediatric patients, </w:t>
      </w:r>
      <w:r w:rsidR="00334836">
        <w:t xml:space="preserve">further break down of </w:t>
      </w:r>
      <w:r w:rsidRPr="00334836">
        <w:t xml:space="preserve">age groups can be </w:t>
      </w:r>
      <w:r w:rsidR="00334836">
        <w:t xml:space="preserve">done to identify </w:t>
      </w:r>
      <w:r w:rsidRPr="00334836">
        <w:t xml:space="preserve">neonate, infant, young child, child and adolescent, </w:t>
      </w:r>
      <w:r w:rsidR="00334836">
        <w:t xml:space="preserve">to provide insights into the different </w:t>
      </w:r>
      <w:r w:rsidRPr="00334836">
        <w:t xml:space="preserve">clinical scenarios </w:t>
      </w:r>
      <w:proofErr w:type="gramStart"/>
      <w:r w:rsidR="00334836">
        <w:t xml:space="preserve">for </w:t>
      </w:r>
      <w:r w:rsidRPr="00334836">
        <w:t xml:space="preserve"> readmissions</w:t>
      </w:r>
      <w:proofErr w:type="gramEnd"/>
      <w:r w:rsidRPr="00334836">
        <w:t>.</w:t>
      </w:r>
    </w:p>
    <w:p w14:paraId="16CB3844" w14:textId="77777777" w:rsidR="00FF7ABD" w:rsidRPr="00334836" w:rsidRDefault="00FF7ABD" w:rsidP="00E6454C">
      <w:pPr>
        <w:pStyle w:val="Heading4"/>
      </w:pPr>
      <w:r w:rsidRPr="00334836">
        <w:t>Recommendation</w:t>
      </w:r>
    </w:p>
    <w:p w14:paraId="3FA83AFD" w14:textId="24E00DBC" w:rsidR="00334836" w:rsidRPr="00334836" w:rsidRDefault="00334836" w:rsidP="00334836">
      <w:pPr>
        <w:jc w:val="both"/>
      </w:pPr>
      <w:r w:rsidRPr="00334836">
        <w:t xml:space="preserve">Paediatric services are included in the measure. </w:t>
      </w:r>
    </w:p>
    <w:p w14:paraId="33EBE389" w14:textId="5497E69D" w:rsidR="00334836" w:rsidRPr="00334836" w:rsidRDefault="00334836" w:rsidP="00334836">
      <w:pPr>
        <w:jc w:val="both"/>
        <w:rPr>
          <w:b/>
        </w:rPr>
      </w:pPr>
      <w:r w:rsidRPr="00334836">
        <w:rPr>
          <w:b/>
        </w:rPr>
        <w:t xml:space="preserve">A flag has been introduced using </w:t>
      </w:r>
      <w:r w:rsidR="007F2ED6">
        <w:rPr>
          <w:b/>
        </w:rPr>
        <w:t xml:space="preserve">age and </w:t>
      </w:r>
      <w:r w:rsidRPr="00334836">
        <w:rPr>
          <w:b/>
        </w:rPr>
        <w:t xml:space="preserve">health specialty codes </w:t>
      </w:r>
      <w:r w:rsidR="007F2ED6">
        <w:rPr>
          <w:b/>
        </w:rPr>
        <w:t>listed above</w:t>
      </w:r>
      <w:r w:rsidRPr="00334836">
        <w:rPr>
          <w:b/>
        </w:rPr>
        <w:t xml:space="preserve">.  </w:t>
      </w:r>
    </w:p>
    <w:p w14:paraId="57DEB911" w14:textId="77777777" w:rsidR="00FF7ABD" w:rsidRDefault="00FF7ABD" w:rsidP="005731A2">
      <w:pPr>
        <w:jc w:val="both"/>
        <w:rPr>
          <w:highlight w:val="yellow"/>
        </w:rPr>
      </w:pPr>
    </w:p>
    <w:p w14:paraId="7C7D82D6" w14:textId="55EB85E0" w:rsidR="00FF7ABD" w:rsidRPr="00334836" w:rsidRDefault="00FF7ABD" w:rsidP="00FF7ABD">
      <w:pPr>
        <w:pStyle w:val="Heading3"/>
      </w:pPr>
      <w:bookmarkStart w:id="35" w:name="_Toc173318884"/>
      <w:r w:rsidRPr="00334836">
        <w:t>Geriatric Services</w:t>
      </w:r>
      <w:bookmarkEnd w:id="35"/>
    </w:p>
    <w:p w14:paraId="7611492B" w14:textId="77777777" w:rsidR="00FF7ABD" w:rsidRPr="00334836" w:rsidRDefault="00FF7ABD" w:rsidP="00E6454C">
      <w:pPr>
        <w:pStyle w:val="Heading4"/>
      </w:pPr>
      <w:r w:rsidRPr="00334836">
        <w:t>Description</w:t>
      </w:r>
    </w:p>
    <w:p w14:paraId="073F3EB0" w14:textId="1D000029" w:rsidR="006D6CB0" w:rsidRPr="00334836" w:rsidRDefault="006D6CB0" w:rsidP="00FF7ABD">
      <w:pPr>
        <w:jc w:val="both"/>
      </w:pPr>
      <w:r w:rsidRPr="00334836">
        <w:t>Geriatric services are identified if a patient is:</w:t>
      </w:r>
    </w:p>
    <w:p w14:paraId="74225624" w14:textId="70BDBE5F" w:rsidR="006D6CB0" w:rsidRPr="00334836" w:rsidRDefault="006D6CB0" w:rsidP="006D6CB0">
      <w:pPr>
        <w:pStyle w:val="ListParagraph"/>
        <w:numPr>
          <w:ilvl w:val="0"/>
          <w:numId w:val="3"/>
        </w:numPr>
        <w:jc w:val="both"/>
      </w:pPr>
      <w:r w:rsidRPr="00334836">
        <w:t xml:space="preserve">75 years of age </w:t>
      </w:r>
      <w:r w:rsidR="00B21998">
        <w:t xml:space="preserve">and over </w:t>
      </w:r>
      <w:r w:rsidRPr="00334836">
        <w:t xml:space="preserve">as at the first admission date of the index stay, </w:t>
      </w:r>
      <w:r w:rsidR="007F2ED6">
        <w:t>and</w:t>
      </w:r>
    </w:p>
    <w:p w14:paraId="5DD8F73F" w14:textId="3C2E2B43" w:rsidR="006D6CB0" w:rsidRPr="00334836" w:rsidRDefault="006D6CB0" w:rsidP="006D6CB0">
      <w:pPr>
        <w:pStyle w:val="ListParagraph"/>
        <w:numPr>
          <w:ilvl w:val="0"/>
          <w:numId w:val="3"/>
        </w:numPr>
        <w:jc w:val="both"/>
      </w:pPr>
      <w:r w:rsidRPr="00334836">
        <w:t xml:space="preserve">the first event of the index stay was discharged with </w:t>
      </w:r>
      <w:r w:rsidR="00B746E1">
        <w:t>h</w:t>
      </w:r>
      <w:r w:rsidRPr="00334836">
        <w:t xml:space="preserve">ealth </w:t>
      </w:r>
      <w:r w:rsidR="00B746E1">
        <w:t>s</w:t>
      </w:r>
      <w:r w:rsidRPr="00334836">
        <w:t xml:space="preserve">pecialty codes of geriatric medicine, </w:t>
      </w:r>
      <w:r w:rsidR="007F2ED6">
        <w:t>using</w:t>
      </w:r>
      <w:r w:rsidRPr="00334836">
        <w:t xml:space="preserve"> D01</w:t>
      </w:r>
      <w:r w:rsidR="00334836">
        <w:t xml:space="preserve"> to D04</w:t>
      </w:r>
      <w:r w:rsidRPr="00334836">
        <w:t xml:space="preserve">, </w:t>
      </w:r>
      <w:r w:rsidR="00334836">
        <w:t>D10 to D14</w:t>
      </w:r>
      <w:r w:rsidRPr="00334836">
        <w:t xml:space="preserve">, </w:t>
      </w:r>
      <w:r w:rsidR="00B746E1">
        <w:t xml:space="preserve">or </w:t>
      </w:r>
      <w:r w:rsidRPr="00334836">
        <w:t>D20</w:t>
      </w:r>
      <w:r w:rsidR="00334836">
        <w:t xml:space="preserve"> to </w:t>
      </w:r>
      <w:r w:rsidRPr="00334836">
        <w:t>D34.</w:t>
      </w:r>
    </w:p>
    <w:p w14:paraId="20E196EA" w14:textId="77777777" w:rsidR="00FF7ABD" w:rsidRPr="00334836" w:rsidRDefault="00FF7ABD" w:rsidP="00E6454C">
      <w:pPr>
        <w:pStyle w:val="Heading4"/>
      </w:pPr>
      <w:r w:rsidRPr="00334836">
        <w:t>Explanation</w:t>
      </w:r>
    </w:p>
    <w:p w14:paraId="09674F86" w14:textId="09447A11" w:rsidR="00FF7ABD" w:rsidRPr="00334836" w:rsidRDefault="00FF7ABD" w:rsidP="00FF7ABD">
      <w:pPr>
        <w:jc w:val="both"/>
      </w:pPr>
      <w:r w:rsidRPr="00334836">
        <w:t xml:space="preserve">Characteristics of geriatric patients are considerably different from other patients. Geriatric patients can have multiple </w:t>
      </w:r>
      <w:proofErr w:type="gramStart"/>
      <w:r w:rsidRPr="00334836">
        <w:t>long term</w:t>
      </w:r>
      <w:proofErr w:type="gramEnd"/>
      <w:r w:rsidRPr="00334836">
        <w:t xml:space="preserve"> conditions, physical and/or mental impairment</w:t>
      </w:r>
      <w:r w:rsidR="00B21998">
        <w:t xml:space="preserve"> and increased likelihood of polypharmacy</w:t>
      </w:r>
      <w:r w:rsidRPr="00334836">
        <w:t>. Additional analysis is needed to look at the mechanism of readmissions in the patients.</w:t>
      </w:r>
    </w:p>
    <w:p w14:paraId="5B628A37" w14:textId="77777777" w:rsidR="00FF7ABD" w:rsidRPr="00334836" w:rsidRDefault="00FF7ABD" w:rsidP="00E6454C">
      <w:pPr>
        <w:pStyle w:val="Heading4"/>
      </w:pPr>
      <w:r w:rsidRPr="00334836">
        <w:lastRenderedPageBreak/>
        <w:t>Recommendation</w:t>
      </w:r>
    </w:p>
    <w:p w14:paraId="6E5D4535" w14:textId="4375BC88" w:rsidR="00FF7ABD" w:rsidRPr="00334836" w:rsidRDefault="00334836" w:rsidP="00FF7ABD">
      <w:pPr>
        <w:jc w:val="both"/>
      </w:pPr>
      <w:r w:rsidRPr="00334836">
        <w:t xml:space="preserve">Geriatric services </w:t>
      </w:r>
      <w:r w:rsidR="00FF7ABD" w:rsidRPr="00334836">
        <w:t xml:space="preserve">are included in the measure. </w:t>
      </w:r>
    </w:p>
    <w:p w14:paraId="0B34EB4F" w14:textId="6276F23F" w:rsidR="00FF7ABD" w:rsidRDefault="00FF7ABD" w:rsidP="00FF7ABD">
      <w:pPr>
        <w:jc w:val="both"/>
        <w:rPr>
          <w:b/>
        </w:rPr>
      </w:pPr>
      <w:r w:rsidRPr="00334836">
        <w:rPr>
          <w:b/>
        </w:rPr>
        <w:t xml:space="preserve">A flag has been introduced using </w:t>
      </w:r>
      <w:r w:rsidR="007F2ED6">
        <w:rPr>
          <w:b/>
        </w:rPr>
        <w:t xml:space="preserve">age and </w:t>
      </w:r>
      <w:r w:rsidR="00334836" w:rsidRPr="00334836">
        <w:rPr>
          <w:b/>
        </w:rPr>
        <w:t xml:space="preserve">health specialty </w:t>
      </w:r>
      <w:r w:rsidRPr="00334836">
        <w:rPr>
          <w:b/>
        </w:rPr>
        <w:t>code</w:t>
      </w:r>
      <w:r w:rsidR="00334836" w:rsidRPr="00334836">
        <w:rPr>
          <w:b/>
        </w:rPr>
        <w:t xml:space="preserve">s </w:t>
      </w:r>
      <w:r w:rsidR="007F2ED6">
        <w:rPr>
          <w:b/>
        </w:rPr>
        <w:t>listed above</w:t>
      </w:r>
      <w:r w:rsidRPr="00334836">
        <w:rPr>
          <w:b/>
        </w:rPr>
        <w:t xml:space="preserve">.  </w:t>
      </w:r>
    </w:p>
    <w:p w14:paraId="419EF46E" w14:textId="77777777" w:rsidR="0088211C" w:rsidRPr="00334836" w:rsidRDefault="0088211C" w:rsidP="00FF7ABD">
      <w:pPr>
        <w:jc w:val="both"/>
        <w:rPr>
          <w:b/>
        </w:rPr>
      </w:pPr>
    </w:p>
    <w:p w14:paraId="0B11BAE0" w14:textId="76E0BB4D" w:rsidR="00D53EF4" w:rsidRPr="00544FA4" w:rsidRDefault="00D53EF4" w:rsidP="00D53EF4">
      <w:pPr>
        <w:pStyle w:val="Heading3"/>
      </w:pPr>
      <w:bookmarkStart w:id="36" w:name="_Toc173318885"/>
      <w:r w:rsidRPr="00544FA4">
        <w:t xml:space="preserve">Long </w:t>
      </w:r>
      <w:r w:rsidR="00DC5076">
        <w:t>T</w:t>
      </w:r>
      <w:r w:rsidRPr="00544FA4">
        <w:t xml:space="preserve">erm </w:t>
      </w:r>
      <w:r w:rsidR="00DC5076">
        <w:t>C</w:t>
      </w:r>
      <w:r w:rsidRPr="00544FA4">
        <w:t>ondition</w:t>
      </w:r>
      <w:r w:rsidR="008D70EA">
        <w:t>s</w:t>
      </w:r>
      <w:bookmarkEnd w:id="36"/>
    </w:p>
    <w:p w14:paraId="423ADEF1" w14:textId="77777777" w:rsidR="00D53EF4" w:rsidRPr="00544FA4" w:rsidRDefault="00D53EF4" w:rsidP="00E6454C">
      <w:pPr>
        <w:pStyle w:val="Heading4"/>
      </w:pPr>
      <w:r w:rsidRPr="00544FA4">
        <w:t>Description</w:t>
      </w:r>
    </w:p>
    <w:p w14:paraId="71FF2785" w14:textId="24CBF792" w:rsidR="00606D58" w:rsidRDefault="00606D58" w:rsidP="00606D58">
      <w:pPr>
        <w:jc w:val="both"/>
      </w:pPr>
      <w:r>
        <w:t>L</w:t>
      </w:r>
      <w:r w:rsidRPr="00544FA4">
        <w:t>ong term condition</w:t>
      </w:r>
      <w:r>
        <w:t>s</w:t>
      </w:r>
      <w:r w:rsidRPr="00544FA4">
        <w:t xml:space="preserve"> </w:t>
      </w:r>
      <w:r>
        <w:t xml:space="preserve">are identified </w:t>
      </w:r>
      <w:r w:rsidRPr="00544FA4">
        <w:t xml:space="preserve">if a patient has been hospitalised in the previous 12 months from the </w:t>
      </w:r>
      <w:r>
        <w:t xml:space="preserve">first </w:t>
      </w:r>
      <w:r w:rsidRPr="00544FA4">
        <w:t xml:space="preserve">admission </w:t>
      </w:r>
      <w:r>
        <w:t xml:space="preserve">date </w:t>
      </w:r>
      <w:r w:rsidRPr="00544FA4">
        <w:t xml:space="preserve">in </w:t>
      </w:r>
      <w:r>
        <w:t xml:space="preserve">an </w:t>
      </w:r>
      <w:r w:rsidRPr="00544FA4">
        <w:t xml:space="preserve">index stay </w:t>
      </w:r>
      <w:r>
        <w:t xml:space="preserve">for </w:t>
      </w:r>
      <w:r w:rsidRPr="00544FA4">
        <w:t>the following medical conditions:</w:t>
      </w:r>
    </w:p>
    <w:p w14:paraId="59EF2EA1" w14:textId="57E26F08" w:rsidR="00334836" w:rsidRPr="00334836" w:rsidRDefault="00334836" w:rsidP="00334836">
      <w:pPr>
        <w:pStyle w:val="ListParagraph"/>
        <w:numPr>
          <w:ilvl w:val="0"/>
          <w:numId w:val="3"/>
        </w:numPr>
        <w:jc w:val="both"/>
      </w:pPr>
      <w:r w:rsidRPr="00544FA4">
        <w:t xml:space="preserve">Colorectal cancer, trachea and lung cancer, female breast cancer, prostate </w:t>
      </w:r>
      <w:proofErr w:type="gramStart"/>
      <w:r w:rsidRPr="00544FA4">
        <w:t>cancer</w:t>
      </w:r>
      <w:proofErr w:type="gramEnd"/>
      <w:r w:rsidRPr="00544FA4">
        <w:t xml:space="preserve"> and melanoma</w:t>
      </w:r>
    </w:p>
    <w:p w14:paraId="7E76E7C1" w14:textId="77777777" w:rsidR="00334836" w:rsidRDefault="00D53EF4" w:rsidP="00D53EF4">
      <w:pPr>
        <w:pStyle w:val="ListParagraph"/>
        <w:numPr>
          <w:ilvl w:val="0"/>
          <w:numId w:val="3"/>
        </w:numPr>
        <w:jc w:val="both"/>
      </w:pPr>
      <w:r w:rsidRPr="00544FA4">
        <w:t>Ischaemic heart disease, chronic rheumatic heart disease, c</w:t>
      </w:r>
      <w:r w:rsidR="00334836">
        <w:t>erebrovascular disease (stroke)</w:t>
      </w:r>
    </w:p>
    <w:p w14:paraId="75F4FC88" w14:textId="77777777" w:rsidR="00334836" w:rsidRDefault="00334836" w:rsidP="00D53EF4">
      <w:pPr>
        <w:pStyle w:val="ListParagraph"/>
        <w:numPr>
          <w:ilvl w:val="0"/>
          <w:numId w:val="3"/>
        </w:numPr>
        <w:jc w:val="both"/>
      </w:pPr>
      <w:r>
        <w:t>Diabetes</w:t>
      </w:r>
    </w:p>
    <w:p w14:paraId="1F7CB50F" w14:textId="77777777" w:rsidR="00334836" w:rsidRDefault="00D53EF4" w:rsidP="00D53EF4">
      <w:pPr>
        <w:pStyle w:val="ListParagraph"/>
        <w:numPr>
          <w:ilvl w:val="0"/>
          <w:numId w:val="3"/>
        </w:numPr>
        <w:jc w:val="both"/>
      </w:pPr>
      <w:r w:rsidRPr="00544FA4">
        <w:t>Chronic obstructive p</w:t>
      </w:r>
      <w:r w:rsidR="00334836">
        <w:t>ulmonary disease (COPD), asthma</w:t>
      </w:r>
    </w:p>
    <w:p w14:paraId="1E16EB3E" w14:textId="77777777" w:rsidR="00334836" w:rsidRDefault="00D53EF4" w:rsidP="00D53EF4">
      <w:pPr>
        <w:pStyle w:val="ListParagraph"/>
        <w:numPr>
          <w:ilvl w:val="0"/>
          <w:numId w:val="3"/>
        </w:numPr>
        <w:jc w:val="both"/>
      </w:pPr>
      <w:r w:rsidRPr="00544FA4">
        <w:t>Hepatic fai</w:t>
      </w:r>
      <w:r w:rsidR="00334836">
        <w:t>lure and cirrhosis of the liver</w:t>
      </w:r>
    </w:p>
    <w:p w14:paraId="21BC541F" w14:textId="77777777" w:rsidR="00334836" w:rsidRDefault="00D53EF4" w:rsidP="00D53EF4">
      <w:pPr>
        <w:pStyle w:val="ListParagraph"/>
        <w:numPr>
          <w:ilvl w:val="0"/>
          <w:numId w:val="3"/>
        </w:numPr>
        <w:jc w:val="both"/>
      </w:pPr>
      <w:r w:rsidRPr="00544FA4">
        <w:t xml:space="preserve">Chronic kidney </w:t>
      </w:r>
      <w:r w:rsidR="00334836">
        <w:t>disease, chronic kidney failure</w:t>
      </w:r>
    </w:p>
    <w:p w14:paraId="147F060C" w14:textId="77777777" w:rsidR="00334836" w:rsidRDefault="00D53EF4" w:rsidP="00D53EF4">
      <w:pPr>
        <w:pStyle w:val="ListParagraph"/>
        <w:numPr>
          <w:ilvl w:val="0"/>
          <w:numId w:val="3"/>
        </w:numPr>
        <w:jc w:val="both"/>
      </w:pPr>
      <w:r w:rsidRPr="00544FA4">
        <w:t xml:space="preserve">Major depressive disorder, anxiety disorders, bipolar disorder, schizophrenia, alcohol use disorder, drug use disorder, </w:t>
      </w:r>
      <w:proofErr w:type="gramStart"/>
      <w:r w:rsidRPr="00544FA4">
        <w:t>d</w:t>
      </w:r>
      <w:r w:rsidR="00334836">
        <w:t>ementia</w:t>
      </w:r>
      <w:proofErr w:type="gramEnd"/>
      <w:r w:rsidR="00334836">
        <w:t xml:space="preserve"> and Alzheimer’s disease</w:t>
      </w:r>
    </w:p>
    <w:p w14:paraId="4B0D93C2" w14:textId="6817C450" w:rsidR="00D53EF4" w:rsidRPr="00544FA4" w:rsidRDefault="00D53EF4" w:rsidP="00D53EF4">
      <w:pPr>
        <w:pStyle w:val="ListParagraph"/>
        <w:numPr>
          <w:ilvl w:val="0"/>
          <w:numId w:val="3"/>
        </w:numPr>
        <w:jc w:val="both"/>
      </w:pPr>
      <w:r w:rsidRPr="00544FA4">
        <w:t>Traumatic brain injury, spinal cord injury.</w:t>
      </w:r>
    </w:p>
    <w:p w14:paraId="2C6B1BAA" w14:textId="2A70BE28" w:rsidR="0080503A" w:rsidRPr="006A0981" w:rsidRDefault="006A0981" w:rsidP="00D53EF4">
      <w:pPr>
        <w:jc w:val="both"/>
      </w:pPr>
      <w:r w:rsidRPr="006A0981">
        <w:t xml:space="preserve">Table 4 below illustrates a list of medical conditions and their associated </w:t>
      </w:r>
      <w:r w:rsidR="00B746E1">
        <w:t>International Classification of Diseases codes</w:t>
      </w:r>
      <w:r w:rsidR="00B746E1" w:rsidRPr="006A0981">
        <w:t xml:space="preserve"> </w:t>
      </w:r>
      <w:r w:rsidR="00D359AE">
        <w:t>(</w:t>
      </w:r>
      <w:r w:rsidRPr="006A0981">
        <w:t>ICD-10-AM</w:t>
      </w:r>
      <w:r w:rsidR="00D359AE">
        <w:t>)</w:t>
      </w:r>
      <w:r w:rsidRPr="006A0981">
        <w:t xml:space="preserve"> used in the model.</w:t>
      </w:r>
    </w:p>
    <w:p w14:paraId="6850ED41" w14:textId="07F45458" w:rsidR="0080503A" w:rsidRDefault="0080503A" w:rsidP="00537134">
      <w:pPr>
        <w:keepNext/>
        <w:jc w:val="both"/>
        <w:rPr>
          <w:highlight w:val="yellow"/>
        </w:rPr>
      </w:pPr>
      <w:r w:rsidRPr="00EF3C25">
        <w:rPr>
          <w:b/>
        </w:rPr>
        <w:t>Table</w:t>
      </w:r>
      <w:r w:rsidR="00262E7F">
        <w:rPr>
          <w:b/>
        </w:rPr>
        <w:t xml:space="preserve"> 4</w:t>
      </w:r>
      <w:r w:rsidRPr="00EF3C25">
        <w:rPr>
          <w:b/>
        </w:rPr>
        <w:t xml:space="preserve">. </w:t>
      </w:r>
      <w:r w:rsidRPr="0080503A">
        <w:rPr>
          <w:b/>
        </w:rPr>
        <w:t>ICD-10-AM codes for long term conditions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147"/>
        <w:gridCol w:w="2835"/>
      </w:tblGrid>
      <w:tr w:rsidR="0080503A" w:rsidRPr="006F34EC" w14:paraId="5BA33668" w14:textId="77777777" w:rsidTr="006A0981">
        <w:tc>
          <w:tcPr>
            <w:tcW w:w="3090" w:type="dxa"/>
            <w:shd w:val="clear" w:color="auto" w:fill="9CC2E5" w:themeFill="accent1" w:themeFillTint="99"/>
          </w:tcPr>
          <w:p w14:paraId="6247CCF0" w14:textId="77777777" w:rsidR="0080503A" w:rsidRPr="006F34EC" w:rsidRDefault="0080503A" w:rsidP="00537134">
            <w:pPr>
              <w:keepNext/>
              <w:spacing w:before="0"/>
              <w:rPr>
                <w:b/>
              </w:rPr>
            </w:pPr>
            <w:r w:rsidRPr="006F34EC">
              <w:rPr>
                <w:b/>
              </w:rPr>
              <w:t>Medical condition</w:t>
            </w:r>
          </w:p>
        </w:tc>
        <w:tc>
          <w:tcPr>
            <w:tcW w:w="3147" w:type="dxa"/>
            <w:shd w:val="clear" w:color="auto" w:fill="9CC2E5" w:themeFill="accent1" w:themeFillTint="99"/>
          </w:tcPr>
          <w:p w14:paraId="778DF7F7" w14:textId="77777777" w:rsidR="0080503A" w:rsidRPr="006F34EC" w:rsidRDefault="0080503A" w:rsidP="00537134">
            <w:pPr>
              <w:keepNext/>
              <w:spacing w:before="0"/>
              <w:rPr>
                <w:b/>
              </w:rPr>
            </w:pPr>
            <w:r w:rsidRPr="006F34EC">
              <w:rPr>
                <w:b/>
              </w:rPr>
              <w:t>ICD-10-AM (6</w:t>
            </w:r>
            <w:r w:rsidRPr="006F34EC">
              <w:rPr>
                <w:b/>
                <w:vertAlign w:val="superscript"/>
              </w:rPr>
              <w:t xml:space="preserve">th </w:t>
            </w:r>
            <w:r w:rsidRPr="006F34EC">
              <w:rPr>
                <w:b/>
              </w:rPr>
              <w:t>or 8</w:t>
            </w:r>
            <w:r w:rsidRPr="006F34EC">
              <w:rPr>
                <w:b/>
                <w:vertAlign w:val="superscript"/>
              </w:rPr>
              <w:t>th</w:t>
            </w:r>
            <w:r w:rsidRPr="006F34EC">
              <w:rPr>
                <w:b/>
              </w:rPr>
              <w:t xml:space="preserve"> edition) </w:t>
            </w:r>
          </w:p>
        </w:tc>
        <w:tc>
          <w:tcPr>
            <w:tcW w:w="2835" w:type="dxa"/>
            <w:shd w:val="clear" w:color="auto" w:fill="9CC2E5" w:themeFill="accent1" w:themeFillTint="99"/>
          </w:tcPr>
          <w:p w14:paraId="1C6EA456" w14:textId="77777777" w:rsidR="0080503A" w:rsidRPr="006F34EC" w:rsidRDefault="0080503A" w:rsidP="00537134">
            <w:pPr>
              <w:keepNext/>
              <w:spacing w:before="0"/>
              <w:rPr>
                <w:b/>
              </w:rPr>
            </w:pPr>
            <w:r w:rsidRPr="006F34EC">
              <w:rPr>
                <w:b/>
              </w:rPr>
              <w:t>Note</w:t>
            </w:r>
          </w:p>
        </w:tc>
      </w:tr>
      <w:tr w:rsidR="0080503A" w:rsidRPr="006F34EC" w14:paraId="39943ACF" w14:textId="77777777" w:rsidTr="006A0981">
        <w:tc>
          <w:tcPr>
            <w:tcW w:w="3090" w:type="dxa"/>
            <w:shd w:val="clear" w:color="auto" w:fill="FFFFFF"/>
          </w:tcPr>
          <w:p w14:paraId="662A66D3" w14:textId="77777777" w:rsidR="0080503A" w:rsidRPr="006F34EC" w:rsidRDefault="0080503A" w:rsidP="006F34EC">
            <w:pPr>
              <w:spacing w:before="0"/>
            </w:pPr>
            <w:r w:rsidRPr="006F34EC">
              <w:t>Colorectal cancer</w:t>
            </w:r>
          </w:p>
        </w:tc>
        <w:tc>
          <w:tcPr>
            <w:tcW w:w="3147" w:type="dxa"/>
            <w:shd w:val="clear" w:color="auto" w:fill="FFFFFF"/>
          </w:tcPr>
          <w:p w14:paraId="03B7AC2F" w14:textId="77777777" w:rsidR="0080503A" w:rsidRPr="006F34EC" w:rsidRDefault="0080503A" w:rsidP="006F34EC">
            <w:pPr>
              <w:spacing w:before="0"/>
            </w:pPr>
            <w:r w:rsidRPr="006F34EC">
              <w:t>C18 – C21</w:t>
            </w:r>
          </w:p>
        </w:tc>
        <w:tc>
          <w:tcPr>
            <w:tcW w:w="2835" w:type="dxa"/>
            <w:shd w:val="clear" w:color="auto" w:fill="FFFFFF"/>
          </w:tcPr>
          <w:p w14:paraId="38554065" w14:textId="77777777" w:rsidR="0080503A" w:rsidRPr="006F34EC" w:rsidRDefault="0080503A" w:rsidP="006F34EC">
            <w:pPr>
              <w:spacing w:before="0"/>
            </w:pPr>
          </w:p>
        </w:tc>
      </w:tr>
      <w:tr w:rsidR="0080503A" w:rsidRPr="006F34EC" w14:paraId="4341183E" w14:textId="77777777" w:rsidTr="006A0981">
        <w:tc>
          <w:tcPr>
            <w:tcW w:w="3090" w:type="dxa"/>
            <w:shd w:val="clear" w:color="auto" w:fill="FFFFFF"/>
          </w:tcPr>
          <w:p w14:paraId="06A0E20E" w14:textId="77777777" w:rsidR="0080503A" w:rsidRPr="006F34EC" w:rsidRDefault="0080503A" w:rsidP="006F34EC">
            <w:pPr>
              <w:spacing w:before="0"/>
            </w:pPr>
            <w:r w:rsidRPr="006F34EC">
              <w:t>Trachea and lung cancer</w:t>
            </w:r>
          </w:p>
        </w:tc>
        <w:tc>
          <w:tcPr>
            <w:tcW w:w="3147" w:type="dxa"/>
            <w:shd w:val="clear" w:color="auto" w:fill="FFFFFF"/>
          </w:tcPr>
          <w:p w14:paraId="650CF82B" w14:textId="77777777" w:rsidR="0080503A" w:rsidRPr="006F34EC" w:rsidRDefault="0080503A" w:rsidP="006F34EC">
            <w:pPr>
              <w:spacing w:before="0"/>
            </w:pPr>
            <w:r w:rsidRPr="006F34EC">
              <w:t>C33 – C34</w:t>
            </w:r>
          </w:p>
        </w:tc>
        <w:tc>
          <w:tcPr>
            <w:tcW w:w="2835" w:type="dxa"/>
            <w:shd w:val="clear" w:color="auto" w:fill="FFFFFF"/>
          </w:tcPr>
          <w:p w14:paraId="3D997598" w14:textId="77777777" w:rsidR="0080503A" w:rsidRPr="006F34EC" w:rsidRDefault="0080503A" w:rsidP="006F34EC">
            <w:pPr>
              <w:spacing w:before="0"/>
            </w:pPr>
          </w:p>
        </w:tc>
      </w:tr>
      <w:tr w:rsidR="0080503A" w:rsidRPr="006F34EC" w14:paraId="0A46F09C" w14:textId="77777777" w:rsidTr="006A0981">
        <w:tc>
          <w:tcPr>
            <w:tcW w:w="3090" w:type="dxa"/>
            <w:shd w:val="clear" w:color="auto" w:fill="FFFFFF"/>
          </w:tcPr>
          <w:p w14:paraId="334BDC10" w14:textId="77777777" w:rsidR="0080503A" w:rsidRPr="006F34EC" w:rsidRDefault="0080503A" w:rsidP="006F34EC">
            <w:pPr>
              <w:spacing w:before="0"/>
            </w:pPr>
            <w:r w:rsidRPr="006F34EC">
              <w:t>Female breast cancer</w:t>
            </w:r>
          </w:p>
        </w:tc>
        <w:tc>
          <w:tcPr>
            <w:tcW w:w="3147" w:type="dxa"/>
            <w:shd w:val="clear" w:color="auto" w:fill="FFFFFF"/>
          </w:tcPr>
          <w:p w14:paraId="00462DFA" w14:textId="77777777" w:rsidR="0080503A" w:rsidRPr="006F34EC" w:rsidRDefault="0080503A" w:rsidP="006F34EC">
            <w:pPr>
              <w:spacing w:before="0"/>
            </w:pPr>
            <w:r w:rsidRPr="006F34EC">
              <w:t>C50</w:t>
            </w:r>
          </w:p>
        </w:tc>
        <w:tc>
          <w:tcPr>
            <w:tcW w:w="2835" w:type="dxa"/>
            <w:shd w:val="clear" w:color="auto" w:fill="FFFFFF"/>
          </w:tcPr>
          <w:p w14:paraId="1F5E9355" w14:textId="77777777" w:rsidR="0080503A" w:rsidRPr="006F34EC" w:rsidRDefault="0080503A" w:rsidP="006F34EC">
            <w:pPr>
              <w:spacing w:before="0"/>
            </w:pPr>
            <w:r w:rsidRPr="006F34EC">
              <w:t>Female only</w:t>
            </w:r>
          </w:p>
        </w:tc>
      </w:tr>
      <w:tr w:rsidR="0080503A" w:rsidRPr="006F34EC" w14:paraId="58A76746" w14:textId="77777777" w:rsidTr="006A0981">
        <w:tc>
          <w:tcPr>
            <w:tcW w:w="3090" w:type="dxa"/>
            <w:shd w:val="clear" w:color="auto" w:fill="FFFFFF"/>
          </w:tcPr>
          <w:p w14:paraId="5E895288" w14:textId="77777777" w:rsidR="0080503A" w:rsidRPr="006F34EC" w:rsidRDefault="0080503A" w:rsidP="006F34EC">
            <w:pPr>
              <w:spacing w:before="0"/>
            </w:pPr>
            <w:r w:rsidRPr="006F34EC">
              <w:t>Prostate cancer</w:t>
            </w:r>
          </w:p>
        </w:tc>
        <w:tc>
          <w:tcPr>
            <w:tcW w:w="3147" w:type="dxa"/>
            <w:shd w:val="clear" w:color="auto" w:fill="FFFFFF"/>
          </w:tcPr>
          <w:p w14:paraId="55301EA5" w14:textId="77777777" w:rsidR="0080503A" w:rsidRPr="006F34EC" w:rsidRDefault="0080503A" w:rsidP="006F34EC">
            <w:pPr>
              <w:spacing w:before="0"/>
            </w:pPr>
            <w:r w:rsidRPr="006F34EC">
              <w:t>C61</w:t>
            </w:r>
          </w:p>
        </w:tc>
        <w:tc>
          <w:tcPr>
            <w:tcW w:w="2835" w:type="dxa"/>
            <w:shd w:val="clear" w:color="auto" w:fill="FFFFFF"/>
          </w:tcPr>
          <w:p w14:paraId="321487B8" w14:textId="77777777" w:rsidR="0080503A" w:rsidRPr="006F34EC" w:rsidRDefault="0080503A" w:rsidP="006F34EC">
            <w:pPr>
              <w:spacing w:before="0"/>
            </w:pPr>
          </w:p>
        </w:tc>
      </w:tr>
      <w:tr w:rsidR="0080503A" w:rsidRPr="006F34EC" w14:paraId="6BFC2FD5" w14:textId="77777777" w:rsidTr="006A0981">
        <w:tc>
          <w:tcPr>
            <w:tcW w:w="3090" w:type="dxa"/>
            <w:shd w:val="clear" w:color="auto" w:fill="FFFFFF"/>
          </w:tcPr>
          <w:p w14:paraId="2931C292" w14:textId="77777777" w:rsidR="0080503A" w:rsidRPr="006F34EC" w:rsidRDefault="0080503A" w:rsidP="006F34EC">
            <w:pPr>
              <w:spacing w:before="0"/>
            </w:pPr>
            <w:r w:rsidRPr="006F34EC">
              <w:t>Melanoma</w:t>
            </w:r>
          </w:p>
        </w:tc>
        <w:tc>
          <w:tcPr>
            <w:tcW w:w="3147" w:type="dxa"/>
            <w:shd w:val="clear" w:color="auto" w:fill="FFFFFF"/>
          </w:tcPr>
          <w:p w14:paraId="75022238" w14:textId="77777777" w:rsidR="0080503A" w:rsidRPr="006F34EC" w:rsidRDefault="0080503A" w:rsidP="006F34EC">
            <w:pPr>
              <w:spacing w:before="0"/>
            </w:pPr>
            <w:r w:rsidRPr="006F34EC">
              <w:t>C43</w:t>
            </w:r>
          </w:p>
        </w:tc>
        <w:tc>
          <w:tcPr>
            <w:tcW w:w="2835" w:type="dxa"/>
            <w:shd w:val="clear" w:color="auto" w:fill="FFFFFF"/>
          </w:tcPr>
          <w:p w14:paraId="6DE7AD9C" w14:textId="77777777" w:rsidR="0080503A" w:rsidRPr="006F34EC" w:rsidRDefault="0080503A" w:rsidP="006F34EC">
            <w:pPr>
              <w:spacing w:before="0"/>
            </w:pPr>
          </w:p>
        </w:tc>
      </w:tr>
      <w:tr w:rsidR="0080503A" w:rsidRPr="006F34EC" w14:paraId="6CE72E56" w14:textId="77777777" w:rsidTr="003C1C19">
        <w:tc>
          <w:tcPr>
            <w:tcW w:w="3090" w:type="dxa"/>
            <w:shd w:val="clear" w:color="auto" w:fill="D9D9D9" w:themeFill="background1" w:themeFillShade="D9"/>
          </w:tcPr>
          <w:p w14:paraId="6B042B7C" w14:textId="77777777" w:rsidR="0080503A" w:rsidRPr="006F34EC" w:rsidRDefault="0080503A" w:rsidP="006F34EC">
            <w:pPr>
              <w:spacing w:before="0"/>
            </w:pPr>
            <w:r w:rsidRPr="006F34EC">
              <w:t>Ischaemic heart disease</w:t>
            </w:r>
          </w:p>
        </w:tc>
        <w:tc>
          <w:tcPr>
            <w:tcW w:w="3147" w:type="dxa"/>
            <w:shd w:val="clear" w:color="auto" w:fill="D9D9D9" w:themeFill="background1" w:themeFillShade="D9"/>
          </w:tcPr>
          <w:p w14:paraId="1A0534B4" w14:textId="77777777" w:rsidR="0080503A" w:rsidRPr="006F34EC" w:rsidRDefault="0080503A" w:rsidP="006F34EC">
            <w:pPr>
              <w:spacing w:before="0"/>
            </w:pPr>
            <w:r w:rsidRPr="006F34EC">
              <w:t>I20 – I25</w:t>
            </w:r>
          </w:p>
        </w:tc>
        <w:tc>
          <w:tcPr>
            <w:tcW w:w="2835" w:type="dxa"/>
            <w:shd w:val="clear" w:color="auto" w:fill="D9D9D9" w:themeFill="background1" w:themeFillShade="D9"/>
          </w:tcPr>
          <w:p w14:paraId="54C38C38" w14:textId="77777777" w:rsidR="0080503A" w:rsidRPr="006F34EC" w:rsidRDefault="0080503A" w:rsidP="006F34EC">
            <w:pPr>
              <w:spacing w:before="0"/>
            </w:pPr>
          </w:p>
        </w:tc>
      </w:tr>
      <w:tr w:rsidR="0080503A" w:rsidRPr="006F34EC" w14:paraId="2F353017" w14:textId="77777777" w:rsidTr="003C1C19">
        <w:tc>
          <w:tcPr>
            <w:tcW w:w="3090" w:type="dxa"/>
            <w:shd w:val="clear" w:color="auto" w:fill="D9D9D9" w:themeFill="background1" w:themeFillShade="D9"/>
          </w:tcPr>
          <w:p w14:paraId="7BE98BF4" w14:textId="77777777" w:rsidR="0080503A" w:rsidRPr="006F34EC" w:rsidRDefault="0080503A" w:rsidP="006F34EC">
            <w:pPr>
              <w:spacing w:before="0"/>
            </w:pPr>
            <w:r w:rsidRPr="006F34EC">
              <w:t>Chronic rheumatic heart disease</w:t>
            </w:r>
          </w:p>
        </w:tc>
        <w:tc>
          <w:tcPr>
            <w:tcW w:w="3147" w:type="dxa"/>
            <w:shd w:val="clear" w:color="auto" w:fill="D9D9D9" w:themeFill="background1" w:themeFillShade="D9"/>
          </w:tcPr>
          <w:p w14:paraId="49AB1370" w14:textId="77777777" w:rsidR="0080503A" w:rsidRPr="006F34EC" w:rsidRDefault="0080503A" w:rsidP="006F34EC">
            <w:pPr>
              <w:spacing w:before="0"/>
            </w:pPr>
            <w:r w:rsidRPr="006F34EC">
              <w:t>I05 – I09</w:t>
            </w:r>
          </w:p>
        </w:tc>
        <w:tc>
          <w:tcPr>
            <w:tcW w:w="2835" w:type="dxa"/>
            <w:shd w:val="clear" w:color="auto" w:fill="D9D9D9" w:themeFill="background1" w:themeFillShade="D9"/>
          </w:tcPr>
          <w:p w14:paraId="43159D02" w14:textId="77777777" w:rsidR="0080503A" w:rsidRPr="006F34EC" w:rsidRDefault="0080503A" w:rsidP="006F34EC">
            <w:pPr>
              <w:spacing w:before="0"/>
            </w:pPr>
          </w:p>
        </w:tc>
      </w:tr>
      <w:tr w:rsidR="0080503A" w:rsidRPr="006F34EC" w14:paraId="11E95EAA" w14:textId="77777777" w:rsidTr="003C1C19">
        <w:tc>
          <w:tcPr>
            <w:tcW w:w="3090" w:type="dxa"/>
            <w:shd w:val="clear" w:color="auto" w:fill="D9D9D9" w:themeFill="background1" w:themeFillShade="D9"/>
          </w:tcPr>
          <w:p w14:paraId="2682BE72" w14:textId="77777777" w:rsidR="0080503A" w:rsidRPr="006F34EC" w:rsidRDefault="0080503A" w:rsidP="006F34EC">
            <w:pPr>
              <w:spacing w:before="0"/>
            </w:pPr>
            <w:r w:rsidRPr="006F34EC">
              <w:t>Cerebrovascular disease</w:t>
            </w:r>
          </w:p>
        </w:tc>
        <w:tc>
          <w:tcPr>
            <w:tcW w:w="3147" w:type="dxa"/>
            <w:shd w:val="clear" w:color="auto" w:fill="D9D9D9" w:themeFill="background1" w:themeFillShade="D9"/>
          </w:tcPr>
          <w:p w14:paraId="00D0D7F6" w14:textId="77777777" w:rsidR="0080503A" w:rsidRPr="006F34EC" w:rsidRDefault="0080503A" w:rsidP="006F34EC">
            <w:pPr>
              <w:spacing w:before="0"/>
            </w:pPr>
            <w:r w:rsidRPr="006F34EC">
              <w:t>I60 – I69</w:t>
            </w:r>
          </w:p>
        </w:tc>
        <w:tc>
          <w:tcPr>
            <w:tcW w:w="2835" w:type="dxa"/>
            <w:shd w:val="clear" w:color="auto" w:fill="D9D9D9" w:themeFill="background1" w:themeFillShade="D9"/>
          </w:tcPr>
          <w:p w14:paraId="66F9A2D9" w14:textId="77777777" w:rsidR="0080503A" w:rsidRPr="006F34EC" w:rsidRDefault="0080503A" w:rsidP="006F34EC">
            <w:pPr>
              <w:spacing w:before="0"/>
            </w:pPr>
          </w:p>
        </w:tc>
      </w:tr>
      <w:tr w:rsidR="0080503A" w:rsidRPr="006F34EC" w14:paraId="1DADFD55" w14:textId="77777777" w:rsidTr="006A0981">
        <w:tc>
          <w:tcPr>
            <w:tcW w:w="3090" w:type="dxa"/>
            <w:shd w:val="clear" w:color="auto" w:fill="FFFFFF"/>
          </w:tcPr>
          <w:p w14:paraId="4172F543" w14:textId="77777777" w:rsidR="0080503A" w:rsidRPr="006F34EC" w:rsidRDefault="0080503A" w:rsidP="006F34EC">
            <w:pPr>
              <w:spacing w:before="0"/>
            </w:pPr>
            <w:r w:rsidRPr="006F34EC">
              <w:t>Diabetes</w:t>
            </w:r>
          </w:p>
        </w:tc>
        <w:tc>
          <w:tcPr>
            <w:tcW w:w="3147" w:type="dxa"/>
            <w:shd w:val="clear" w:color="auto" w:fill="FFFFFF"/>
          </w:tcPr>
          <w:p w14:paraId="7237DC09" w14:textId="77777777" w:rsidR="0080503A" w:rsidRPr="006F34EC" w:rsidRDefault="0080503A" w:rsidP="006F34EC">
            <w:pPr>
              <w:spacing w:before="0"/>
            </w:pPr>
            <w:r w:rsidRPr="006F34EC">
              <w:t xml:space="preserve">E10 – E14 </w:t>
            </w:r>
          </w:p>
        </w:tc>
        <w:tc>
          <w:tcPr>
            <w:tcW w:w="2835" w:type="dxa"/>
            <w:shd w:val="clear" w:color="auto" w:fill="FFFFFF"/>
          </w:tcPr>
          <w:p w14:paraId="64013729" w14:textId="77777777" w:rsidR="0080503A" w:rsidRPr="006F34EC" w:rsidRDefault="0080503A" w:rsidP="006F34EC">
            <w:pPr>
              <w:spacing w:before="0"/>
            </w:pPr>
            <w:r w:rsidRPr="006F34EC">
              <w:t>Including diabetic renal complications</w:t>
            </w:r>
          </w:p>
        </w:tc>
      </w:tr>
      <w:tr w:rsidR="0080503A" w:rsidRPr="006F34EC" w14:paraId="0AF289F5" w14:textId="77777777" w:rsidTr="003C1C19">
        <w:tc>
          <w:tcPr>
            <w:tcW w:w="3090" w:type="dxa"/>
            <w:shd w:val="clear" w:color="auto" w:fill="D9D9D9" w:themeFill="background1" w:themeFillShade="D9"/>
          </w:tcPr>
          <w:p w14:paraId="27C6C390" w14:textId="77777777" w:rsidR="0080503A" w:rsidRPr="006F34EC" w:rsidRDefault="0080503A" w:rsidP="006F34EC">
            <w:pPr>
              <w:spacing w:before="0"/>
            </w:pPr>
            <w:r w:rsidRPr="006F34EC">
              <w:t>Chronic obstructive pulmonary disease (COPD)</w:t>
            </w:r>
          </w:p>
        </w:tc>
        <w:tc>
          <w:tcPr>
            <w:tcW w:w="3147" w:type="dxa"/>
            <w:shd w:val="clear" w:color="auto" w:fill="D9D9D9" w:themeFill="background1" w:themeFillShade="D9"/>
          </w:tcPr>
          <w:p w14:paraId="0F493306" w14:textId="77777777" w:rsidR="0080503A" w:rsidRPr="006F34EC" w:rsidRDefault="0080503A" w:rsidP="006F34EC">
            <w:pPr>
              <w:spacing w:before="0"/>
            </w:pPr>
            <w:r w:rsidRPr="006F34EC">
              <w:t>J44</w:t>
            </w:r>
          </w:p>
        </w:tc>
        <w:tc>
          <w:tcPr>
            <w:tcW w:w="2835" w:type="dxa"/>
            <w:shd w:val="clear" w:color="auto" w:fill="D9D9D9" w:themeFill="background1" w:themeFillShade="D9"/>
          </w:tcPr>
          <w:p w14:paraId="06371A24" w14:textId="77777777" w:rsidR="0080503A" w:rsidRPr="006F34EC" w:rsidRDefault="0080503A" w:rsidP="006F34EC">
            <w:pPr>
              <w:spacing w:before="0"/>
            </w:pPr>
          </w:p>
        </w:tc>
      </w:tr>
      <w:tr w:rsidR="0080503A" w:rsidRPr="006F34EC" w14:paraId="59CFD3AD" w14:textId="77777777" w:rsidTr="003C1C19">
        <w:tc>
          <w:tcPr>
            <w:tcW w:w="3090" w:type="dxa"/>
            <w:shd w:val="clear" w:color="auto" w:fill="D9D9D9" w:themeFill="background1" w:themeFillShade="D9"/>
          </w:tcPr>
          <w:p w14:paraId="15A33C4C" w14:textId="77777777" w:rsidR="0080503A" w:rsidRPr="006F34EC" w:rsidRDefault="0080503A" w:rsidP="006F34EC">
            <w:pPr>
              <w:spacing w:before="0"/>
            </w:pPr>
            <w:r w:rsidRPr="006F34EC">
              <w:t>Asthma</w:t>
            </w:r>
          </w:p>
        </w:tc>
        <w:tc>
          <w:tcPr>
            <w:tcW w:w="3147" w:type="dxa"/>
            <w:shd w:val="clear" w:color="auto" w:fill="D9D9D9" w:themeFill="background1" w:themeFillShade="D9"/>
          </w:tcPr>
          <w:p w14:paraId="324CDD3E" w14:textId="77777777" w:rsidR="0080503A" w:rsidRPr="006F34EC" w:rsidRDefault="0080503A" w:rsidP="006F34EC">
            <w:pPr>
              <w:spacing w:before="0"/>
            </w:pPr>
            <w:r w:rsidRPr="006F34EC">
              <w:t>J45 – J46</w:t>
            </w:r>
          </w:p>
        </w:tc>
        <w:tc>
          <w:tcPr>
            <w:tcW w:w="2835" w:type="dxa"/>
            <w:shd w:val="clear" w:color="auto" w:fill="D9D9D9" w:themeFill="background1" w:themeFillShade="D9"/>
          </w:tcPr>
          <w:p w14:paraId="49D05EC0" w14:textId="77777777" w:rsidR="0080503A" w:rsidRPr="006F34EC" w:rsidRDefault="0080503A" w:rsidP="006F34EC">
            <w:pPr>
              <w:spacing w:before="0"/>
            </w:pPr>
          </w:p>
        </w:tc>
      </w:tr>
      <w:tr w:rsidR="0080503A" w:rsidRPr="006F34EC" w14:paraId="17253262" w14:textId="77777777" w:rsidTr="006A0981">
        <w:tc>
          <w:tcPr>
            <w:tcW w:w="3090" w:type="dxa"/>
            <w:shd w:val="clear" w:color="auto" w:fill="FFFFFF"/>
          </w:tcPr>
          <w:p w14:paraId="668BE835" w14:textId="77777777" w:rsidR="0080503A" w:rsidRPr="006F34EC" w:rsidRDefault="0080503A" w:rsidP="006F34EC">
            <w:pPr>
              <w:spacing w:before="0"/>
            </w:pPr>
            <w:r w:rsidRPr="006F34EC">
              <w:t>Hepatic failure and cirrhosis of the liver</w:t>
            </w:r>
          </w:p>
        </w:tc>
        <w:tc>
          <w:tcPr>
            <w:tcW w:w="3147" w:type="dxa"/>
            <w:shd w:val="clear" w:color="auto" w:fill="FFFFFF"/>
          </w:tcPr>
          <w:p w14:paraId="20582108" w14:textId="77777777" w:rsidR="0080503A" w:rsidRPr="006F34EC" w:rsidRDefault="0080503A" w:rsidP="006F34EC">
            <w:pPr>
              <w:spacing w:before="0"/>
            </w:pPr>
            <w:r w:rsidRPr="006F34EC">
              <w:t>K70.3, K70.4, K72, K74</w:t>
            </w:r>
          </w:p>
        </w:tc>
        <w:tc>
          <w:tcPr>
            <w:tcW w:w="2835" w:type="dxa"/>
            <w:shd w:val="clear" w:color="auto" w:fill="FFFFFF"/>
          </w:tcPr>
          <w:p w14:paraId="6FF7F955" w14:textId="77777777" w:rsidR="0080503A" w:rsidRPr="006F34EC" w:rsidRDefault="0080503A" w:rsidP="006F34EC">
            <w:pPr>
              <w:spacing w:before="0"/>
            </w:pPr>
          </w:p>
        </w:tc>
      </w:tr>
      <w:tr w:rsidR="0080503A" w:rsidRPr="006F34EC" w14:paraId="0622171E" w14:textId="77777777" w:rsidTr="003C1C19">
        <w:tc>
          <w:tcPr>
            <w:tcW w:w="3090" w:type="dxa"/>
            <w:shd w:val="clear" w:color="auto" w:fill="D9D9D9" w:themeFill="background1" w:themeFillShade="D9"/>
          </w:tcPr>
          <w:p w14:paraId="23158150" w14:textId="77777777" w:rsidR="0080503A" w:rsidRPr="006F34EC" w:rsidRDefault="0080503A" w:rsidP="006F34EC">
            <w:pPr>
              <w:spacing w:before="0"/>
            </w:pPr>
            <w:r w:rsidRPr="006F34EC">
              <w:t>Chronic kidney disease</w:t>
            </w:r>
          </w:p>
        </w:tc>
        <w:tc>
          <w:tcPr>
            <w:tcW w:w="3147" w:type="dxa"/>
            <w:shd w:val="clear" w:color="auto" w:fill="D9D9D9" w:themeFill="background1" w:themeFillShade="D9"/>
          </w:tcPr>
          <w:p w14:paraId="0B0EA9B7" w14:textId="77777777" w:rsidR="0080503A" w:rsidRPr="006F34EC" w:rsidRDefault="0080503A" w:rsidP="006F34EC">
            <w:pPr>
              <w:spacing w:before="0"/>
            </w:pPr>
            <w:r w:rsidRPr="006F34EC">
              <w:t>N03, N11, I12.9, I13.0, I13.9</w:t>
            </w:r>
          </w:p>
        </w:tc>
        <w:tc>
          <w:tcPr>
            <w:tcW w:w="2835" w:type="dxa"/>
            <w:shd w:val="clear" w:color="auto" w:fill="D9D9D9" w:themeFill="background1" w:themeFillShade="D9"/>
          </w:tcPr>
          <w:p w14:paraId="4C91882D" w14:textId="77777777" w:rsidR="0080503A" w:rsidRPr="006F34EC" w:rsidRDefault="0080503A" w:rsidP="006F34EC">
            <w:pPr>
              <w:spacing w:before="0"/>
            </w:pPr>
            <w:r w:rsidRPr="006F34EC">
              <w:t>Including hypertensive renal disease</w:t>
            </w:r>
          </w:p>
        </w:tc>
      </w:tr>
      <w:tr w:rsidR="0080503A" w:rsidRPr="006F34EC" w14:paraId="5A6B34CC" w14:textId="77777777" w:rsidTr="003C1C19">
        <w:tc>
          <w:tcPr>
            <w:tcW w:w="3090" w:type="dxa"/>
            <w:shd w:val="clear" w:color="auto" w:fill="D9D9D9" w:themeFill="background1" w:themeFillShade="D9"/>
          </w:tcPr>
          <w:p w14:paraId="64DD9B89" w14:textId="77777777" w:rsidR="0080503A" w:rsidRPr="006F34EC" w:rsidRDefault="0080503A" w:rsidP="006F34EC">
            <w:pPr>
              <w:spacing w:before="0"/>
            </w:pPr>
            <w:r w:rsidRPr="006F34EC">
              <w:t>Chronic kidney failure</w:t>
            </w:r>
          </w:p>
        </w:tc>
        <w:tc>
          <w:tcPr>
            <w:tcW w:w="3147" w:type="dxa"/>
            <w:shd w:val="clear" w:color="auto" w:fill="D9D9D9" w:themeFill="background1" w:themeFillShade="D9"/>
          </w:tcPr>
          <w:p w14:paraId="24A4B51B" w14:textId="77777777" w:rsidR="0080503A" w:rsidRPr="006F34EC" w:rsidRDefault="0080503A" w:rsidP="006F34EC">
            <w:pPr>
              <w:spacing w:before="0"/>
            </w:pPr>
            <w:r w:rsidRPr="006F34EC">
              <w:t xml:space="preserve">N18, N19, I12.0, </w:t>
            </w:r>
            <w:proofErr w:type="gramStart"/>
            <w:r w:rsidRPr="006F34EC">
              <w:t>I13.1,I</w:t>
            </w:r>
            <w:proofErr w:type="gramEnd"/>
            <w:r w:rsidRPr="006F34EC">
              <w:t>13.2</w:t>
            </w:r>
          </w:p>
        </w:tc>
        <w:tc>
          <w:tcPr>
            <w:tcW w:w="2835" w:type="dxa"/>
            <w:shd w:val="clear" w:color="auto" w:fill="D9D9D9" w:themeFill="background1" w:themeFillShade="D9"/>
          </w:tcPr>
          <w:p w14:paraId="5DC49A95" w14:textId="77777777" w:rsidR="0080503A" w:rsidRPr="006F34EC" w:rsidRDefault="0080503A" w:rsidP="006F34EC">
            <w:pPr>
              <w:spacing w:before="0"/>
            </w:pPr>
            <w:r w:rsidRPr="006F34EC">
              <w:t>Including hypertensive renal failure, and unspecified kidney failure</w:t>
            </w:r>
          </w:p>
        </w:tc>
      </w:tr>
      <w:tr w:rsidR="0080503A" w:rsidRPr="006F34EC" w14:paraId="487CAB57" w14:textId="77777777" w:rsidTr="006A0981">
        <w:tc>
          <w:tcPr>
            <w:tcW w:w="3090" w:type="dxa"/>
            <w:shd w:val="clear" w:color="auto" w:fill="FFFFFF"/>
          </w:tcPr>
          <w:p w14:paraId="0F9F5598" w14:textId="77777777" w:rsidR="0080503A" w:rsidRPr="006F34EC" w:rsidRDefault="0080503A" w:rsidP="006F34EC">
            <w:pPr>
              <w:spacing w:before="0"/>
            </w:pPr>
            <w:r w:rsidRPr="006F34EC">
              <w:t>Major depressive disorder</w:t>
            </w:r>
          </w:p>
        </w:tc>
        <w:tc>
          <w:tcPr>
            <w:tcW w:w="3147" w:type="dxa"/>
            <w:shd w:val="clear" w:color="auto" w:fill="FFFFFF"/>
          </w:tcPr>
          <w:p w14:paraId="6EA35267" w14:textId="77777777" w:rsidR="0080503A" w:rsidRPr="006F34EC" w:rsidRDefault="0080503A" w:rsidP="006F34EC">
            <w:pPr>
              <w:spacing w:before="0"/>
            </w:pPr>
            <w:r w:rsidRPr="006F34EC">
              <w:t>F32.2, F32.3, F33.2, F33.3, F33.8</w:t>
            </w:r>
          </w:p>
        </w:tc>
        <w:tc>
          <w:tcPr>
            <w:tcW w:w="2835" w:type="dxa"/>
            <w:shd w:val="clear" w:color="auto" w:fill="FFFFFF"/>
          </w:tcPr>
          <w:p w14:paraId="0A9D1D60" w14:textId="77777777" w:rsidR="0080503A" w:rsidRPr="006F34EC" w:rsidRDefault="0080503A" w:rsidP="006F34EC">
            <w:pPr>
              <w:spacing w:before="0"/>
            </w:pPr>
          </w:p>
        </w:tc>
      </w:tr>
      <w:tr w:rsidR="0080503A" w:rsidRPr="006F34EC" w14:paraId="1EF91816" w14:textId="77777777" w:rsidTr="006A0981">
        <w:tc>
          <w:tcPr>
            <w:tcW w:w="3090" w:type="dxa"/>
            <w:shd w:val="clear" w:color="auto" w:fill="FFFFFF"/>
          </w:tcPr>
          <w:p w14:paraId="71C5FCAC" w14:textId="77777777" w:rsidR="0080503A" w:rsidRPr="006F34EC" w:rsidRDefault="0080503A" w:rsidP="006F34EC">
            <w:pPr>
              <w:spacing w:before="0"/>
            </w:pPr>
            <w:r w:rsidRPr="006F34EC">
              <w:t>Anxiety disorders</w:t>
            </w:r>
          </w:p>
        </w:tc>
        <w:tc>
          <w:tcPr>
            <w:tcW w:w="3147" w:type="dxa"/>
            <w:shd w:val="clear" w:color="auto" w:fill="FFFFFF"/>
          </w:tcPr>
          <w:p w14:paraId="537B4B0B" w14:textId="77777777" w:rsidR="0080503A" w:rsidRPr="006F34EC" w:rsidRDefault="0080503A" w:rsidP="006F34EC">
            <w:pPr>
              <w:spacing w:before="0"/>
            </w:pPr>
            <w:r w:rsidRPr="006F34EC">
              <w:t>F064, F41</w:t>
            </w:r>
          </w:p>
        </w:tc>
        <w:tc>
          <w:tcPr>
            <w:tcW w:w="2835" w:type="dxa"/>
            <w:shd w:val="clear" w:color="auto" w:fill="FFFFFF"/>
          </w:tcPr>
          <w:p w14:paraId="3BFAC8E0" w14:textId="77777777" w:rsidR="0080503A" w:rsidRPr="006F34EC" w:rsidRDefault="0080503A" w:rsidP="006F34EC">
            <w:pPr>
              <w:spacing w:before="0"/>
            </w:pPr>
          </w:p>
        </w:tc>
      </w:tr>
      <w:tr w:rsidR="0080503A" w:rsidRPr="006F34EC" w14:paraId="799ECEA8" w14:textId="77777777" w:rsidTr="006A0981">
        <w:tc>
          <w:tcPr>
            <w:tcW w:w="3090" w:type="dxa"/>
            <w:shd w:val="clear" w:color="auto" w:fill="FFFFFF"/>
          </w:tcPr>
          <w:p w14:paraId="551DCE3F" w14:textId="77777777" w:rsidR="0080503A" w:rsidRPr="006F34EC" w:rsidRDefault="0080503A" w:rsidP="006F34EC">
            <w:pPr>
              <w:spacing w:before="0"/>
            </w:pPr>
            <w:r w:rsidRPr="006F34EC">
              <w:lastRenderedPageBreak/>
              <w:t>Bipolar disorder</w:t>
            </w:r>
          </w:p>
        </w:tc>
        <w:tc>
          <w:tcPr>
            <w:tcW w:w="3147" w:type="dxa"/>
            <w:shd w:val="clear" w:color="auto" w:fill="FFFFFF"/>
          </w:tcPr>
          <w:p w14:paraId="737E20F3" w14:textId="77777777" w:rsidR="0080503A" w:rsidRPr="006F34EC" w:rsidRDefault="0080503A" w:rsidP="006F34EC">
            <w:pPr>
              <w:spacing w:before="0"/>
            </w:pPr>
            <w:r w:rsidRPr="006F34EC">
              <w:t>F30, F31</w:t>
            </w:r>
          </w:p>
        </w:tc>
        <w:tc>
          <w:tcPr>
            <w:tcW w:w="2835" w:type="dxa"/>
            <w:shd w:val="clear" w:color="auto" w:fill="FFFFFF"/>
          </w:tcPr>
          <w:p w14:paraId="48C2F0DB" w14:textId="77777777" w:rsidR="0080503A" w:rsidRPr="006F34EC" w:rsidRDefault="0080503A" w:rsidP="006F34EC">
            <w:pPr>
              <w:spacing w:before="0"/>
            </w:pPr>
          </w:p>
        </w:tc>
      </w:tr>
      <w:tr w:rsidR="0080503A" w:rsidRPr="006F34EC" w14:paraId="1E3C723F" w14:textId="77777777" w:rsidTr="006A0981">
        <w:tc>
          <w:tcPr>
            <w:tcW w:w="3090" w:type="dxa"/>
            <w:shd w:val="clear" w:color="auto" w:fill="FFFFFF"/>
          </w:tcPr>
          <w:p w14:paraId="5C6AFFB6" w14:textId="77777777" w:rsidR="0080503A" w:rsidRPr="006F34EC" w:rsidRDefault="0080503A" w:rsidP="006F34EC">
            <w:pPr>
              <w:spacing w:before="0"/>
            </w:pPr>
            <w:r w:rsidRPr="006F34EC">
              <w:t>Schizophrenia</w:t>
            </w:r>
          </w:p>
        </w:tc>
        <w:tc>
          <w:tcPr>
            <w:tcW w:w="3147" w:type="dxa"/>
            <w:shd w:val="clear" w:color="auto" w:fill="FFFFFF"/>
          </w:tcPr>
          <w:p w14:paraId="0FE0CC8D" w14:textId="77777777" w:rsidR="0080503A" w:rsidRPr="006F34EC" w:rsidRDefault="0080503A" w:rsidP="006F34EC">
            <w:pPr>
              <w:spacing w:before="0"/>
            </w:pPr>
            <w:r w:rsidRPr="006F34EC">
              <w:t>F20</w:t>
            </w:r>
          </w:p>
        </w:tc>
        <w:tc>
          <w:tcPr>
            <w:tcW w:w="2835" w:type="dxa"/>
            <w:shd w:val="clear" w:color="auto" w:fill="FFFFFF"/>
          </w:tcPr>
          <w:p w14:paraId="3E13F21F" w14:textId="77777777" w:rsidR="0080503A" w:rsidRPr="006F34EC" w:rsidRDefault="0080503A" w:rsidP="006F34EC">
            <w:pPr>
              <w:spacing w:before="0"/>
            </w:pPr>
          </w:p>
        </w:tc>
      </w:tr>
      <w:tr w:rsidR="0080503A" w:rsidRPr="006F34EC" w14:paraId="66D635F1" w14:textId="77777777" w:rsidTr="006A0981">
        <w:tc>
          <w:tcPr>
            <w:tcW w:w="3090" w:type="dxa"/>
            <w:shd w:val="clear" w:color="auto" w:fill="FFFFFF"/>
          </w:tcPr>
          <w:p w14:paraId="0FF78C58" w14:textId="77777777" w:rsidR="0080503A" w:rsidRPr="006F34EC" w:rsidRDefault="0080503A" w:rsidP="006F34EC">
            <w:pPr>
              <w:spacing w:before="0"/>
            </w:pPr>
            <w:r w:rsidRPr="006F34EC">
              <w:t>Alcohol use disorder</w:t>
            </w:r>
          </w:p>
        </w:tc>
        <w:tc>
          <w:tcPr>
            <w:tcW w:w="3147" w:type="dxa"/>
            <w:shd w:val="clear" w:color="auto" w:fill="FFFFFF"/>
          </w:tcPr>
          <w:p w14:paraId="26CFBAF3" w14:textId="77777777" w:rsidR="0080503A" w:rsidRPr="006F34EC" w:rsidRDefault="0080503A" w:rsidP="006F34EC">
            <w:pPr>
              <w:spacing w:before="0"/>
            </w:pPr>
            <w:r w:rsidRPr="006F34EC">
              <w:t>F10</w:t>
            </w:r>
          </w:p>
        </w:tc>
        <w:tc>
          <w:tcPr>
            <w:tcW w:w="2835" w:type="dxa"/>
            <w:shd w:val="clear" w:color="auto" w:fill="FFFFFF"/>
          </w:tcPr>
          <w:p w14:paraId="0A43D1D9" w14:textId="77777777" w:rsidR="0080503A" w:rsidRPr="006F34EC" w:rsidRDefault="0080503A" w:rsidP="006F34EC">
            <w:pPr>
              <w:spacing w:before="0"/>
            </w:pPr>
          </w:p>
        </w:tc>
      </w:tr>
      <w:tr w:rsidR="0080503A" w:rsidRPr="006F34EC" w14:paraId="3706511D" w14:textId="77777777" w:rsidTr="006A0981">
        <w:tc>
          <w:tcPr>
            <w:tcW w:w="3090" w:type="dxa"/>
            <w:shd w:val="clear" w:color="auto" w:fill="FFFFFF"/>
          </w:tcPr>
          <w:p w14:paraId="42E03CA9" w14:textId="77777777" w:rsidR="0080503A" w:rsidRPr="006F34EC" w:rsidRDefault="0080503A" w:rsidP="006F34EC">
            <w:pPr>
              <w:spacing w:before="0"/>
            </w:pPr>
            <w:r w:rsidRPr="006F34EC">
              <w:t>Dementia and Alzheimer’s disease</w:t>
            </w:r>
          </w:p>
        </w:tc>
        <w:tc>
          <w:tcPr>
            <w:tcW w:w="3147" w:type="dxa"/>
            <w:shd w:val="clear" w:color="auto" w:fill="FFFFFF"/>
          </w:tcPr>
          <w:p w14:paraId="2F83FEA1" w14:textId="77777777" w:rsidR="0080503A" w:rsidRPr="006F34EC" w:rsidRDefault="0080503A" w:rsidP="006F34EC">
            <w:pPr>
              <w:spacing w:before="0"/>
            </w:pPr>
            <w:r w:rsidRPr="006F34EC">
              <w:t>F00, F01, F02, F03, G30</w:t>
            </w:r>
          </w:p>
        </w:tc>
        <w:tc>
          <w:tcPr>
            <w:tcW w:w="2835" w:type="dxa"/>
            <w:shd w:val="clear" w:color="auto" w:fill="FFFFFF"/>
          </w:tcPr>
          <w:p w14:paraId="75CC3B27" w14:textId="77777777" w:rsidR="0080503A" w:rsidRPr="006F34EC" w:rsidRDefault="0080503A" w:rsidP="006F34EC">
            <w:pPr>
              <w:spacing w:before="0"/>
            </w:pPr>
            <w:r w:rsidRPr="006F34EC">
              <w:t>F00 and F02 are unlikely to be a primary diagnosis</w:t>
            </w:r>
          </w:p>
        </w:tc>
      </w:tr>
      <w:tr w:rsidR="0080503A" w:rsidRPr="006F34EC" w14:paraId="3EBF97B4" w14:textId="77777777" w:rsidTr="003C1C19">
        <w:tc>
          <w:tcPr>
            <w:tcW w:w="3090" w:type="dxa"/>
            <w:shd w:val="clear" w:color="auto" w:fill="D9D9D9" w:themeFill="background1" w:themeFillShade="D9"/>
          </w:tcPr>
          <w:p w14:paraId="56B69D29" w14:textId="77777777" w:rsidR="0080503A" w:rsidRPr="006F34EC" w:rsidRDefault="0080503A" w:rsidP="006F34EC">
            <w:pPr>
              <w:spacing w:before="0"/>
            </w:pPr>
            <w:r w:rsidRPr="006F34EC">
              <w:t>Traumatic brain injury</w:t>
            </w:r>
          </w:p>
        </w:tc>
        <w:tc>
          <w:tcPr>
            <w:tcW w:w="3147" w:type="dxa"/>
            <w:shd w:val="clear" w:color="auto" w:fill="D9D9D9" w:themeFill="background1" w:themeFillShade="D9"/>
          </w:tcPr>
          <w:p w14:paraId="36B80796" w14:textId="77777777" w:rsidR="0080503A" w:rsidRPr="006F34EC" w:rsidRDefault="0080503A" w:rsidP="006F34EC">
            <w:pPr>
              <w:spacing w:before="0"/>
            </w:pPr>
            <w:r w:rsidRPr="006F34EC">
              <w:t>S06, T90.5</w:t>
            </w:r>
          </w:p>
        </w:tc>
        <w:tc>
          <w:tcPr>
            <w:tcW w:w="2835" w:type="dxa"/>
            <w:shd w:val="clear" w:color="auto" w:fill="D9D9D9" w:themeFill="background1" w:themeFillShade="D9"/>
          </w:tcPr>
          <w:p w14:paraId="4D07C93A" w14:textId="77777777" w:rsidR="0080503A" w:rsidRPr="006F34EC" w:rsidRDefault="0080503A" w:rsidP="006F34EC">
            <w:pPr>
              <w:spacing w:before="0"/>
            </w:pPr>
            <w:r w:rsidRPr="006F34EC">
              <w:t>T90.5 is unlikely to be a primary diagnosis</w:t>
            </w:r>
          </w:p>
        </w:tc>
      </w:tr>
      <w:tr w:rsidR="0080503A" w:rsidRPr="006F34EC" w14:paraId="6897094B" w14:textId="77777777" w:rsidTr="003C1C19">
        <w:tc>
          <w:tcPr>
            <w:tcW w:w="3090" w:type="dxa"/>
            <w:shd w:val="clear" w:color="auto" w:fill="D9D9D9" w:themeFill="background1" w:themeFillShade="D9"/>
          </w:tcPr>
          <w:p w14:paraId="572BA1DE" w14:textId="77777777" w:rsidR="0080503A" w:rsidRPr="006F34EC" w:rsidRDefault="0080503A" w:rsidP="006F34EC">
            <w:pPr>
              <w:spacing w:before="0"/>
            </w:pPr>
            <w:r w:rsidRPr="006F34EC">
              <w:t>Spinal cord injury</w:t>
            </w:r>
          </w:p>
        </w:tc>
        <w:tc>
          <w:tcPr>
            <w:tcW w:w="3147" w:type="dxa"/>
            <w:shd w:val="clear" w:color="auto" w:fill="D9D9D9" w:themeFill="background1" w:themeFillShade="D9"/>
          </w:tcPr>
          <w:p w14:paraId="3FED9472" w14:textId="77777777" w:rsidR="0080503A" w:rsidRPr="006F34EC" w:rsidRDefault="0080503A" w:rsidP="006F34EC">
            <w:pPr>
              <w:spacing w:before="0"/>
            </w:pPr>
            <w:r w:rsidRPr="006F34EC">
              <w:t xml:space="preserve">S14.1, S14.7, S24.1, S24.7, </w:t>
            </w:r>
            <w:proofErr w:type="gramStart"/>
            <w:r w:rsidRPr="006F34EC">
              <w:t>S34.1,S</w:t>
            </w:r>
            <w:proofErr w:type="gramEnd"/>
            <w:r w:rsidRPr="006F34EC">
              <w:t>34.7, T06.0, T06.1, T91.3, T09.3</w:t>
            </w:r>
          </w:p>
        </w:tc>
        <w:tc>
          <w:tcPr>
            <w:tcW w:w="2835" w:type="dxa"/>
            <w:shd w:val="clear" w:color="auto" w:fill="D9D9D9" w:themeFill="background1" w:themeFillShade="D9"/>
          </w:tcPr>
          <w:p w14:paraId="1864A83E" w14:textId="77777777" w:rsidR="0080503A" w:rsidRPr="006F34EC" w:rsidRDefault="0080503A" w:rsidP="006F34EC">
            <w:pPr>
              <w:spacing w:before="0"/>
            </w:pPr>
            <w:r w:rsidRPr="006F34EC">
              <w:t>S14.7, S24.7, S34.7 and T09.3 are unlikely to be a primary diagnosis</w:t>
            </w:r>
          </w:p>
        </w:tc>
      </w:tr>
    </w:tbl>
    <w:p w14:paraId="40355B95" w14:textId="77777777" w:rsidR="0080503A" w:rsidRPr="009A505B" w:rsidRDefault="0080503A" w:rsidP="00D53EF4">
      <w:pPr>
        <w:jc w:val="both"/>
      </w:pPr>
    </w:p>
    <w:p w14:paraId="62EA4886" w14:textId="77777777" w:rsidR="00D53EF4" w:rsidRPr="009A505B" w:rsidRDefault="00D53EF4" w:rsidP="00E6454C">
      <w:pPr>
        <w:pStyle w:val="Heading4"/>
      </w:pPr>
      <w:r w:rsidRPr="009A505B">
        <w:t>Explanation</w:t>
      </w:r>
    </w:p>
    <w:p w14:paraId="50ED2EB8" w14:textId="3E8C7CED" w:rsidR="00D53EF4" w:rsidRPr="009A505B" w:rsidRDefault="009A505B" w:rsidP="00D53EF4">
      <w:pPr>
        <w:jc w:val="both"/>
      </w:pPr>
      <w:r w:rsidRPr="009A505B">
        <w:t>P</w:t>
      </w:r>
      <w:r w:rsidR="00D53EF4" w:rsidRPr="009A505B">
        <w:t xml:space="preserve">atients who are </w:t>
      </w:r>
      <w:r w:rsidRPr="009A505B">
        <w:t xml:space="preserve">identified </w:t>
      </w:r>
      <w:r w:rsidR="00D53EF4" w:rsidRPr="009A505B">
        <w:t>with ongoing, long term or recurring medical conditions c</w:t>
      </w:r>
      <w:r w:rsidRPr="009A505B">
        <w:t>ould</w:t>
      </w:r>
      <w:r w:rsidR="00D53EF4" w:rsidRPr="009A505B">
        <w:t xml:space="preserve"> potentially </w:t>
      </w:r>
      <w:r w:rsidRPr="009A505B">
        <w:t xml:space="preserve">have an impact on </w:t>
      </w:r>
      <w:r w:rsidR="00D53EF4" w:rsidRPr="009A505B">
        <w:t xml:space="preserve">readmissions. </w:t>
      </w:r>
    </w:p>
    <w:p w14:paraId="36263438" w14:textId="77777777" w:rsidR="00D53EF4" w:rsidRPr="009A505B" w:rsidRDefault="00D53EF4" w:rsidP="00E6454C">
      <w:pPr>
        <w:pStyle w:val="Heading4"/>
      </w:pPr>
      <w:r w:rsidRPr="009A505B">
        <w:t>Recommendation</w:t>
      </w:r>
    </w:p>
    <w:p w14:paraId="72AE06FB" w14:textId="7E1E01A7" w:rsidR="00D53EF4" w:rsidRPr="009A505B" w:rsidRDefault="009A505B" w:rsidP="00D53EF4">
      <w:pPr>
        <w:jc w:val="both"/>
      </w:pPr>
      <w:r w:rsidRPr="009A505B">
        <w:t xml:space="preserve">Patients with long term conditions </w:t>
      </w:r>
      <w:r w:rsidR="00D53EF4" w:rsidRPr="009A505B">
        <w:t>are included in the measure</w:t>
      </w:r>
      <w:r w:rsidRPr="009A505B">
        <w:t>.</w:t>
      </w:r>
      <w:r w:rsidR="00D53EF4" w:rsidRPr="009A505B">
        <w:t xml:space="preserve"> </w:t>
      </w:r>
    </w:p>
    <w:p w14:paraId="194EC5B2" w14:textId="7D0D3A11" w:rsidR="00D53EF4" w:rsidRPr="00FF7ABD" w:rsidRDefault="00D53EF4" w:rsidP="00D53EF4">
      <w:pPr>
        <w:jc w:val="both"/>
        <w:rPr>
          <w:b/>
        </w:rPr>
      </w:pPr>
      <w:r w:rsidRPr="009A505B">
        <w:rPr>
          <w:b/>
        </w:rPr>
        <w:t xml:space="preserve">A flag has been introduced using the </w:t>
      </w:r>
      <w:r w:rsidR="00B746E1">
        <w:rPr>
          <w:b/>
        </w:rPr>
        <w:t>I</w:t>
      </w:r>
      <w:r w:rsidR="00B746E1" w:rsidRPr="00B746E1">
        <w:rPr>
          <w:b/>
        </w:rPr>
        <w:t xml:space="preserve">nternational </w:t>
      </w:r>
      <w:r w:rsidR="00B746E1">
        <w:rPr>
          <w:b/>
        </w:rPr>
        <w:t>C</w:t>
      </w:r>
      <w:r w:rsidR="00B746E1" w:rsidRPr="00B746E1">
        <w:rPr>
          <w:b/>
        </w:rPr>
        <w:t xml:space="preserve">lassification of </w:t>
      </w:r>
      <w:r w:rsidR="00B746E1">
        <w:rPr>
          <w:b/>
        </w:rPr>
        <w:t>D</w:t>
      </w:r>
      <w:r w:rsidR="00B746E1" w:rsidRPr="00B746E1">
        <w:rPr>
          <w:b/>
        </w:rPr>
        <w:t xml:space="preserve">iseases </w:t>
      </w:r>
      <w:r w:rsidR="00B746E1">
        <w:rPr>
          <w:b/>
        </w:rPr>
        <w:t>(</w:t>
      </w:r>
      <w:r w:rsidR="009A505B" w:rsidRPr="009A505B">
        <w:rPr>
          <w:b/>
        </w:rPr>
        <w:t>ICD</w:t>
      </w:r>
      <w:r w:rsidR="00B746E1">
        <w:rPr>
          <w:b/>
        </w:rPr>
        <w:t>)</w:t>
      </w:r>
      <w:r w:rsidR="009A505B" w:rsidRPr="009A505B">
        <w:rPr>
          <w:b/>
        </w:rPr>
        <w:t xml:space="preserve"> </w:t>
      </w:r>
      <w:r w:rsidRPr="009A505B">
        <w:rPr>
          <w:b/>
        </w:rPr>
        <w:t>code</w:t>
      </w:r>
      <w:r w:rsidR="009A505B" w:rsidRPr="009A505B">
        <w:rPr>
          <w:b/>
        </w:rPr>
        <w:t>s above for patients with long term conditions within 12 months of hospitalisation</w:t>
      </w:r>
      <w:r w:rsidRPr="009A505B">
        <w:rPr>
          <w:b/>
        </w:rPr>
        <w:t xml:space="preserve">.  </w:t>
      </w:r>
    </w:p>
    <w:p w14:paraId="538F7613" w14:textId="77777777" w:rsidR="00FF7ABD" w:rsidRDefault="00FF7ABD" w:rsidP="005731A2">
      <w:pPr>
        <w:jc w:val="both"/>
        <w:rPr>
          <w:highlight w:val="yellow"/>
        </w:rPr>
      </w:pPr>
    </w:p>
    <w:p w14:paraId="5BE68091" w14:textId="27B8AFE3" w:rsidR="006C2553" w:rsidRPr="006633D0" w:rsidRDefault="006C2553" w:rsidP="006C2553">
      <w:pPr>
        <w:pStyle w:val="Heading3"/>
      </w:pPr>
      <w:bookmarkStart w:id="37" w:name="_Ref457223044"/>
      <w:bookmarkStart w:id="38" w:name="_Toc173318886"/>
      <w:r w:rsidRPr="006633D0">
        <w:t>Mental Health Events</w:t>
      </w:r>
      <w:bookmarkEnd w:id="37"/>
      <w:bookmarkEnd w:id="38"/>
    </w:p>
    <w:p w14:paraId="34DF0F0C" w14:textId="77777777" w:rsidR="006C2553" w:rsidRPr="006633D0" w:rsidRDefault="006C2553" w:rsidP="00E6454C">
      <w:pPr>
        <w:pStyle w:val="Heading4"/>
      </w:pPr>
      <w:r w:rsidRPr="006633D0">
        <w:t>Description</w:t>
      </w:r>
    </w:p>
    <w:p w14:paraId="4F6E21F8" w14:textId="77777777" w:rsidR="00606D58" w:rsidRPr="006633D0" w:rsidRDefault="00606D58" w:rsidP="00606D58">
      <w:pPr>
        <w:jc w:val="both"/>
      </w:pPr>
      <w:r w:rsidRPr="006633D0">
        <w:t>Mental health events are identified based on the health specialty code</w:t>
      </w:r>
      <w:r>
        <w:t>s</w:t>
      </w:r>
      <w:r w:rsidRPr="006633D0">
        <w:t xml:space="preserve"> with ‘Y’ prefix, Y00 to Y99 being recorded in any part of the entire stay except for the first event. There could be a surgical or medical event followed by a mental health event in a stay.</w:t>
      </w:r>
    </w:p>
    <w:p w14:paraId="4F1A03A1" w14:textId="6C2AB289" w:rsidR="00606D58" w:rsidRPr="006633D0" w:rsidRDefault="00606D58" w:rsidP="00606D58">
      <w:pPr>
        <w:jc w:val="both"/>
      </w:pPr>
      <w:r w:rsidRPr="006633D0">
        <w:t xml:space="preserve">This is not the same as a mental health stay where the first event of </w:t>
      </w:r>
      <w:r>
        <w:t>a</w:t>
      </w:r>
      <w:r w:rsidRPr="006633D0">
        <w:t xml:space="preserve"> stay is identified as a mental health event.</w:t>
      </w:r>
    </w:p>
    <w:p w14:paraId="340A1DD7" w14:textId="77777777" w:rsidR="00606D58" w:rsidRPr="006633D0" w:rsidRDefault="00606D58" w:rsidP="00D85A2C">
      <w:pPr>
        <w:pStyle w:val="Heading4"/>
      </w:pPr>
      <w:r w:rsidRPr="006633D0">
        <w:t>Explanation</w:t>
      </w:r>
    </w:p>
    <w:p w14:paraId="03279F98" w14:textId="77777777" w:rsidR="00606D58" w:rsidRDefault="00606D58" w:rsidP="00606D58">
      <w:pPr>
        <w:jc w:val="both"/>
      </w:pPr>
      <w:r w:rsidRPr="006633D0">
        <w:t xml:space="preserve">Mental health services are an integral part of the </w:t>
      </w:r>
      <w:r>
        <w:t>patient stays in the hospital</w:t>
      </w:r>
      <w:r w:rsidRPr="006633D0">
        <w:t xml:space="preserve">. It is important that we </w:t>
      </w:r>
      <w:r>
        <w:t xml:space="preserve">include </w:t>
      </w:r>
      <w:r w:rsidRPr="006633D0">
        <w:t xml:space="preserve">these activities. However, </w:t>
      </w:r>
      <w:r>
        <w:t xml:space="preserve">additional challenges associated with mental health patients may </w:t>
      </w:r>
      <w:proofErr w:type="gramStart"/>
      <w:r>
        <w:t>have an effect on</w:t>
      </w:r>
      <w:proofErr w:type="gramEnd"/>
      <w:r>
        <w:t xml:space="preserve"> their readmission patterns, even when they were admitted or readmitted with similar clinical conditions as non-mental health patients.</w:t>
      </w:r>
    </w:p>
    <w:p w14:paraId="22223F92" w14:textId="77777777" w:rsidR="00606D58" w:rsidRPr="006C2553" w:rsidRDefault="00606D58" w:rsidP="00606D58">
      <w:pPr>
        <w:jc w:val="both"/>
        <w:rPr>
          <w:highlight w:val="lightGray"/>
        </w:rPr>
      </w:pPr>
      <w:r>
        <w:t>M</w:t>
      </w:r>
      <w:r w:rsidRPr="006633D0">
        <w:t xml:space="preserve">ental health patients could </w:t>
      </w:r>
      <w:r>
        <w:t xml:space="preserve">also </w:t>
      </w:r>
      <w:r w:rsidRPr="006633D0">
        <w:t xml:space="preserve">be </w:t>
      </w:r>
      <w:proofErr w:type="gramStart"/>
      <w:r w:rsidRPr="006633D0">
        <w:t>over represented</w:t>
      </w:r>
      <w:proofErr w:type="gramEnd"/>
      <w:r w:rsidRPr="006633D0">
        <w:t xml:space="preserve"> in certain conditions such as Chronic Obstructive</w:t>
      </w:r>
      <w:r w:rsidRPr="00AD71C4">
        <w:t xml:space="preserve"> Pulmonary Disease (COPD) which could be linked with smoking and mental health illnesses.  This could be an important risk factor for readmissions.  There is clinical interest in identifying stays with sub diagnosis of mental health illness through more detailed subgroup analysis.</w:t>
      </w:r>
    </w:p>
    <w:p w14:paraId="16ED841C" w14:textId="77777777" w:rsidR="00606D58" w:rsidRPr="006633D0" w:rsidRDefault="00606D58" w:rsidP="00D85A2C">
      <w:pPr>
        <w:pStyle w:val="Heading4"/>
      </w:pPr>
      <w:r w:rsidRPr="006633D0">
        <w:t>Recommendation</w:t>
      </w:r>
    </w:p>
    <w:p w14:paraId="30F1D5E7" w14:textId="77777777" w:rsidR="00606D58" w:rsidRDefault="00606D58" w:rsidP="00606D58">
      <w:pPr>
        <w:jc w:val="both"/>
        <w:rPr>
          <w:rFonts w:ascii="Verdana" w:hAnsi="Verdana"/>
          <w:szCs w:val="20"/>
        </w:rPr>
      </w:pPr>
      <w:r w:rsidRPr="006633D0">
        <w:t xml:space="preserve">Mental health events, </w:t>
      </w:r>
      <w:r w:rsidRPr="006633D0">
        <w:rPr>
          <w:rFonts w:ascii="Verdana" w:hAnsi="Verdana"/>
          <w:szCs w:val="20"/>
        </w:rPr>
        <w:t xml:space="preserve">if they are part of an index or readmission stay, </w:t>
      </w:r>
      <w:r w:rsidRPr="006633D0">
        <w:t xml:space="preserve">are included in the measure.  However, </w:t>
      </w:r>
      <w:r w:rsidRPr="006633D0">
        <w:rPr>
          <w:rFonts w:ascii="Verdana" w:hAnsi="Verdana"/>
          <w:szCs w:val="20"/>
        </w:rPr>
        <w:t>mental health stays where the first event in the stay is identified as a mental health event, are excluded. (</w:t>
      </w:r>
      <w:proofErr w:type="gramStart"/>
      <w:r w:rsidRPr="006633D0">
        <w:rPr>
          <w:rFonts w:ascii="Verdana" w:hAnsi="Verdana"/>
          <w:szCs w:val="20"/>
        </w:rPr>
        <w:t>see</w:t>
      </w:r>
      <w:proofErr w:type="gramEnd"/>
      <w:r w:rsidRPr="006633D0">
        <w:rPr>
          <w:rFonts w:ascii="Verdana" w:hAnsi="Verdana"/>
          <w:szCs w:val="20"/>
        </w:rPr>
        <w:t xml:space="preserve"> section </w:t>
      </w:r>
      <w:r>
        <w:rPr>
          <w:rFonts w:ascii="Verdana" w:hAnsi="Verdana"/>
          <w:szCs w:val="20"/>
        </w:rPr>
        <w:fldChar w:fldCharType="begin"/>
      </w:r>
      <w:r>
        <w:rPr>
          <w:rFonts w:ascii="Verdana" w:hAnsi="Verdana"/>
          <w:szCs w:val="20"/>
        </w:rPr>
        <w:instrText xml:space="preserve"> REF _Ref457222932 \r \h </w:instrText>
      </w:r>
      <w:r>
        <w:rPr>
          <w:rFonts w:ascii="Verdana" w:hAnsi="Verdana"/>
          <w:szCs w:val="20"/>
        </w:rPr>
      </w:r>
      <w:r>
        <w:rPr>
          <w:rFonts w:ascii="Verdana" w:hAnsi="Verdana"/>
          <w:szCs w:val="20"/>
        </w:rPr>
        <w:fldChar w:fldCharType="separate"/>
      </w:r>
      <w:r w:rsidR="00DA17CE">
        <w:rPr>
          <w:rFonts w:ascii="Verdana" w:hAnsi="Verdana"/>
          <w:szCs w:val="20"/>
        </w:rPr>
        <w:t>3.5.2</w:t>
      </w:r>
      <w:r>
        <w:rPr>
          <w:rFonts w:ascii="Verdana" w:hAnsi="Verdana"/>
          <w:szCs w:val="20"/>
        </w:rPr>
        <w:fldChar w:fldCharType="end"/>
      </w:r>
      <w:r w:rsidRPr="006633D0">
        <w:rPr>
          <w:rFonts w:ascii="Verdana" w:hAnsi="Verdana"/>
          <w:szCs w:val="20"/>
        </w:rPr>
        <w:t xml:space="preserve"> below)</w:t>
      </w:r>
    </w:p>
    <w:p w14:paraId="48A7CD71" w14:textId="77777777" w:rsidR="00606D58" w:rsidRDefault="00606D58" w:rsidP="00606D58">
      <w:pPr>
        <w:jc w:val="both"/>
        <w:rPr>
          <w:b/>
        </w:rPr>
      </w:pPr>
      <w:r w:rsidRPr="009A505B">
        <w:rPr>
          <w:b/>
        </w:rPr>
        <w:t xml:space="preserve">A flag has been introduced using </w:t>
      </w:r>
      <w:r>
        <w:rPr>
          <w:b/>
        </w:rPr>
        <w:t>health specialty codes with ‘Y’ prefix for mental health activities</w:t>
      </w:r>
      <w:r w:rsidRPr="009A505B">
        <w:rPr>
          <w:b/>
        </w:rPr>
        <w:t xml:space="preserve">.  </w:t>
      </w:r>
    </w:p>
    <w:p w14:paraId="43DA81B4" w14:textId="77777777" w:rsidR="00606D58" w:rsidRPr="00FF7ABD" w:rsidRDefault="00606D58" w:rsidP="00606D58">
      <w:pPr>
        <w:jc w:val="both"/>
        <w:rPr>
          <w:b/>
        </w:rPr>
      </w:pPr>
    </w:p>
    <w:p w14:paraId="46A2C061" w14:textId="5D4641BB" w:rsidR="007170AF" w:rsidRPr="00CF3E0B" w:rsidRDefault="00DC5076" w:rsidP="007170AF">
      <w:pPr>
        <w:pStyle w:val="Heading3"/>
      </w:pPr>
      <w:bookmarkStart w:id="39" w:name="_Toc173318887"/>
      <w:r>
        <w:lastRenderedPageBreak/>
        <w:t>Overseas P</w:t>
      </w:r>
      <w:r w:rsidR="007170AF" w:rsidRPr="00CF3E0B">
        <w:t>atients</w:t>
      </w:r>
      <w:bookmarkEnd w:id="39"/>
    </w:p>
    <w:p w14:paraId="6CBB1F2E" w14:textId="77777777" w:rsidR="007170AF" w:rsidRPr="00CF3E0B" w:rsidRDefault="007170AF" w:rsidP="00E6454C">
      <w:pPr>
        <w:pStyle w:val="Heading4"/>
      </w:pPr>
      <w:r w:rsidRPr="00CF3E0B">
        <w:t>Description</w:t>
      </w:r>
    </w:p>
    <w:p w14:paraId="61A80EA9" w14:textId="27362ED5" w:rsidR="007170AF" w:rsidRPr="00395342" w:rsidRDefault="007170AF" w:rsidP="007170AF">
      <w:pPr>
        <w:jc w:val="both"/>
      </w:pPr>
      <w:r w:rsidRPr="00395342">
        <w:t xml:space="preserve">Patients who usually live overseas, as defined by their residential </w:t>
      </w:r>
      <w:proofErr w:type="gramStart"/>
      <w:r w:rsidRPr="00395342">
        <w:t>address</w:t>
      </w:r>
      <w:proofErr w:type="gramEnd"/>
      <w:r w:rsidRPr="00395342">
        <w:t xml:space="preserve"> and identified by patient domicile code of ‘999’.</w:t>
      </w:r>
    </w:p>
    <w:p w14:paraId="0747596B" w14:textId="77777777" w:rsidR="007170AF" w:rsidRPr="00395342" w:rsidRDefault="007170AF" w:rsidP="00E6454C">
      <w:pPr>
        <w:pStyle w:val="Heading4"/>
      </w:pPr>
      <w:r w:rsidRPr="00395342">
        <w:t>Explanation</w:t>
      </w:r>
    </w:p>
    <w:p w14:paraId="58D9040C" w14:textId="6A4B565F" w:rsidR="00CF3E0B" w:rsidRPr="00395342" w:rsidRDefault="00CF3E0B" w:rsidP="00CF3E0B">
      <w:pPr>
        <w:jc w:val="both"/>
      </w:pPr>
      <w:r w:rsidRPr="00395342">
        <w:t xml:space="preserve">From the perspectives of quality improvement and system performance, there is </w:t>
      </w:r>
      <w:r w:rsidR="00395342" w:rsidRPr="00395342">
        <w:t>little rationale for excluding</w:t>
      </w:r>
      <w:r w:rsidRPr="00395342">
        <w:t xml:space="preserve"> overseas patients from acute readmission analysis. In addition, with the overseas patient </w:t>
      </w:r>
      <w:r w:rsidR="00B21998">
        <w:t>flag</w:t>
      </w:r>
      <w:r w:rsidRPr="00395342">
        <w:t xml:space="preserve">, further analyses can be conducted for example to look at the characteristics of this group of patients and their impact on different </w:t>
      </w:r>
      <w:r w:rsidR="006202DF">
        <w:t>D</w:t>
      </w:r>
      <w:r w:rsidR="0042754E">
        <w:t>istrict</w:t>
      </w:r>
      <w:r w:rsidRPr="00395342">
        <w:t>s.</w:t>
      </w:r>
    </w:p>
    <w:p w14:paraId="06146E52" w14:textId="673D795D" w:rsidR="00CF3E0B" w:rsidRPr="00395342" w:rsidRDefault="00395342" w:rsidP="007170AF">
      <w:pPr>
        <w:jc w:val="both"/>
      </w:pPr>
      <w:r>
        <w:t xml:space="preserve">This is not the same as the Acute Hospital Bed Days measure where it was believed that </w:t>
      </w:r>
      <w:r w:rsidR="006202DF">
        <w:t>D</w:t>
      </w:r>
      <w:r w:rsidR="0042754E">
        <w:t>istrict</w:t>
      </w:r>
      <w:r w:rsidRPr="00395342">
        <w:t xml:space="preserve">s have constraints managing demand of service for overseas residents getting into the hospital to begin with. </w:t>
      </w:r>
    </w:p>
    <w:p w14:paraId="009A12A0" w14:textId="77777777" w:rsidR="007170AF" w:rsidRPr="00395342" w:rsidRDefault="007170AF" w:rsidP="00E6454C">
      <w:pPr>
        <w:pStyle w:val="Heading4"/>
      </w:pPr>
      <w:r w:rsidRPr="00395342">
        <w:t>Recommendation</w:t>
      </w:r>
    </w:p>
    <w:p w14:paraId="31C927CB" w14:textId="05551D78" w:rsidR="007170AF" w:rsidRPr="00395342" w:rsidRDefault="007170AF" w:rsidP="007170AF">
      <w:pPr>
        <w:jc w:val="both"/>
      </w:pPr>
      <w:r w:rsidRPr="00395342">
        <w:t>Overseas patients are included in the measure.</w:t>
      </w:r>
    </w:p>
    <w:p w14:paraId="151D68C7" w14:textId="64AF578D" w:rsidR="00CF3E0B" w:rsidRPr="00CC192E" w:rsidRDefault="00CF3E0B" w:rsidP="007170AF">
      <w:pPr>
        <w:jc w:val="both"/>
        <w:rPr>
          <w:highlight w:val="yellow"/>
        </w:rPr>
      </w:pPr>
      <w:r w:rsidRPr="00395342">
        <w:rPr>
          <w:b/>
        </w:rPr>
        <w:t xml:space="preserve">A flag has been introduced using </w:t>
      </w:r>
      <w:r w:rsidR="00395342" w:rsidRPr="00395342">
        <w:rPr>
          <w:b/>
        </w:rPr>
        <w:t>patient domicile code of ‘999’ for overseas patients</w:t>
      </w:r>
      <w:r w:rsidRPr="00395342">
        <w:rPr>
          <w:b/>
        </w:rPr>
        <w:t xml:space="preserve">.  </w:t>
      </w:r>
    </w:p>
    <w:p w14:paraId="501B6948" w14:textId="77777777" w:rsidR="007170AF" w:rsidRDefault="007170AF" w:rsidP="005731A2">
      <w:pPr>
        <w:jc w:val="both"/>
      </w:pPr>
    </w:p>
    <w:p w14:paraId="7A7C0A71" w14:textId="400A71F2" w:rsidR="0088211C" w:rsidRPr="00CF3E0B" w:rsidRDefault="0088211C" w:rsidP="0088211C">
      <w:pPr>
        <w:pStyle w:val="Heading3"/>
      </w:pPr>
      <w:bookmarkStart w:id="40" w:name="_Toc173318888"/>
      <w:r>
        <w:t>A</w:t>
      </w:r>
      <w:r w:rsidRPr="00D81B55">
        <w:t xml:space="preserve">ssessment, </w:t>
      </w:r>
      <w:r w:rsidR="00DC5076">
        <w:t>T</w:t>
      </w:r>
      <w:r w:rsidRPr="00D81B55">
        <w:t>rea</w:t>
      </w:r>
      <w:r>
        <w:t xml:space="preserve">tment and </w:t>
      </w:r>
      <w:r w:rsidR="00DC5076">
        <w:t>R</w:t>
      </w:r>
      <w:r>
        <w:t xml:space="preserve">ehabilitation (ATR) </w:t>
      </w:r>
      <w:r w:rsidR="0034297B">
        <w:t>Services</w:t>
      </w:r>
      <w:bookmarkEnd w:id="40"/>
    </w:p>
    <w:p w14:paraId="03A991B5" w14:textId="77777777" w:rsidR="0088211C" w:rsidRPr="00CF3E0B" w:rsidRDefault="0088211C" w:rsidP="00E6454C">
      <w:pPr>
        <w:pStyle w:val="Heading4"/>
      </w:pPr>
      <w:r w:rsidRPr="00CF3E0B">
        <w:t>Description</w:t>
      </w:r>
    </w:p>
    <w:p w14:paraId="23BDE410" w14:textId="77777777" w:rsidR="00536DF5" w:rsidRDefault="00536DF5" w:rsidP="00536DF5">
      <w:pPr>
        <w:jc w:val="both"/>
      </w:pPr>
      <w:r>
        <w:t>ATR services are identified using the following DRG codes</w:t>
      </w:r>
      <w:r w:rsidRPr="00395342">
        <w:t>.</w:t>
      </w:r>
      <w:r>
        <w:t xml:space="preserve">  </w:t>
      </w:r>
    </w:p>
    <w:p w14:paraId="46E2F681" w14:textId="77777777" w:rsidR="00536DF5" w:rsidRDefault="00536DF5" w:rsidP="00536DF5">
      <w:pPr>
        <w:pStyle w:val="ListParagraph"/>
        <w:numPr>
          <w:ilvl w:val="0"/>
          <w:numId w:val="3"/>
        </w:numPr>
        <w:jc w:val="both"/>
      </w:pPr>
      <w:r>
        <w:t>Z60A</w:t>
      </w:r>
      <w:r>
        <w:tab/>
        <w:t>Rehabilitation with catastrophic complication and/or comorbidity</w:t>
      </w:r>
    </w:p>
    <w:p w14:paraId="0C1791A7" w14:textId="77777777" w:rsidR="00536DF5" w:rsidRDefault="00536DF5" w:rsidP="00536DF5">
      <w:pPr>
        <w:pStyle w:val="ListParagraph"/>
        <w:numPr>
          <w:ilvl w:val="0"/>
          <w:numId w:val="3"/>
        </w:numPr>
        <w:jc w:val="both"/>
      </w:pPr>
      <w:r>
        <w:t>Z60B</w:t>
      </w:r>
      <w:r>
        <w:tab/>
        <w:t>Rehabilitation without catastrophic complication and/or comorbidity</w:t>
      </w:r>
    </w:p>
    <w:p w14:paraId="7F3B5E86" w14:textId="77777777" w:rsidR="00536DF5" w:rsidRDefault="00536DF5" w:rsidP="00536DF5">
      <w:pPr>
        <w:pStyle w:val="ListParagraph"/>
        <w:numPr>
          <w:ilvl w:val="0"/>
          <w:numId w:val="3"/>
        </w:numPr>
        <w:jc w:val="both"/>
      </w:pPr>
      <w:r>
        <w:t>Z60C</w:t>
      </w:r>
      <w:r>
        <w:tab/>
        <w:t xml:space="preserve">Rehabilitation, </w:t>
      </w:r>
      <w:proofErr w:type="spellStart"/>
      <w:r>
        <w:t>Sameday</w:t>
      </w:r>
      <w:proofErr w:type="spellEnd"/>
    </w:p>
    <w:p w14:paraId="23A636FD" w14:textId="77777777" w:rsidR="00536DF5" w:rsidRDefault="00536DF5" w:rsidP="00536DF5">
      <w:pPr>
        <w:jc w:val="both"/>
        <w:rPr>
          <w:color w:val="000000" w:themeColor="text1"/>
        </w:rPr>
      </w:pPr>
      <w:r>
        <w:t>These services are included in the measure if</w:t>
      </w:r>
      <w:r w:rsidRPr="00426960">
        <w:rPr>
          <w:color w:val="000000" w:themeColor="text1"/>
        </w:rPr>
        <w:t xml:space="preserve"> </w:t>
      </w:r>
      <w:r>
        <w:rPr>
          <w:color w:val="000000" w:themeColor="text1"/>
        </w:rPr>
        <w:t>they are</w:t>
      </w:r>
      <w:r w:rsidRPr="00426960">
        <w:rPr>
          <w:color w:val="000000" w:themeColor="text1"/>
        </w:rPr>
        <w:t xml:space="preserve"> part of a stay. However, if the entire stay consists of ATR services, it will be considered as a non-</w:t>
      </w:r>
      <w:proofErr w:type="spellStart"/>
      <w:r w:rsidRPr="00426960">
        <w:rPr>
          <w:color w:val="000000" w:themeColor="text1"/>
        </w:rPr>
        <w:t>casemix</w:t>
      </w:r>
      <w:proofErr w:type="spellEnd"/>
      <w:r w:rsidRPr="00426960">
        <w:rPr>
          <w:color w:val="000000" w:themeColor="text1"/>
        </w:rPr>
        <w:t xml:space="preserve"> stay.</w:t>
      </w:r>
    </w:p>
    <w:p w14:paraId="205CF120" w14:textId="77777777" w:rsidR="0088211C" w:rsidRPr="00395342" w:rsidRDefault="0088211C" w:rsidP="00E6454C">
      <w:pPr>
        <w:pStyle w:val="Heading4"/>
      </w:pPr>
      <w:r w:rsidRPr="00395342">
        <w:t>Explanation</w:t>
      </w:r>
    </w:p>
    <w:p w14:paraId="289B24FB" w14:textId="3C65D27B" w:rsidR="0088211C" w:rsidRPr="00395342" w:rsidRDefault="0088211C" w:rsidP="0088211C">
      <w:pPr>
        <w:jc w:val="both"/>
      </w:pPr>
      <w:r w:rsidRPr="00395342">
        <w:t xml:space="preserve">From the perspectives of quality improvement and system performance, there is little rationale for excluding </w:t>
      </w:r>
      <w:r>
        <w:t xml:space="preserve">these ATR services </w:t>
      </w:r>
      <w:r w:rsidRPr="00395342">
        <w:t>from acute readmission analysis</w:t>
      </w:r>
      <w:r>
        <w:t>, if they are part of the entire stay</w:t>
      </w:r>
      <w:r w:rsidRPr="00395342">
        <w:t xml:space="preserve">. </w:t>
      </w:r>
      <w:r>
        <w:t>F</w:t>
      </w:r>
      <w:r w:rsidRPr="00395342">
        <w:t xml:space="preserve">urther analyses can be conducted for example to look at the characteristics of </w:t>
      </w:r>
      <w:r>
        <w:t xml:space="preserve">these services </w:t>
      </w:r>
      <w:r w:rsidRPr="00395342">
        <w:t xml:space="preserve">and their impact on different </w:t>
      </w:r>
      <w:r w:rsidR="006202DF">
        <w:t>D</w:t>
      </w:r>
      <w:r w:rsidR="0042754E">
        <w:t>istrict</w:t>
      </w:r>
      <w:r w:rsidRPr="00395342">
        <w:t>s.</w:t>
      </w:r>
    </w:p>
    <w:p w14:paraId="62E6682E" w14:textId="77777777" w:rsidR="0088211C" w:rsidRPr="00395342" w:rsidRDefault="0088211C" w:rsidP="00E6454C">
      <w:pPr>
        <w:pStyle w:val="Heading4"/>
      </w:pPr>
      <w:r w:rsidRPr="00395342">
        <w:t>Recommendation</w:t>
      </w:r>
    </w:p>
    <w:p w14:paraId="3C3792FD" w14:textId="5B0A8F89" w:rsidR="0088211C" w:rsidRPr="00395342" w:rsidRDefault="0088211C" w:rsidP="0088211C">
      <w:pPr>
        <w:jc w:val="both"/>
      </w:pPr>
      <w:r>
        <w:t xml:space="preserve">ATR services with </w:t>
      </w:r>
      <w:r w:rsidR="0034297B">
        <w:t>a DRG code</w:t>
      </w:r>
      <w:r>
        <w:t xml:space="preserve"> </w:t>
      </w:r>
      <w:r w:rsidR="0034297B">
        <w:t>Z60A, Z60B, or Z60C</w:t>
      </w:r>
      <w:r>
        <w:t xml:space="preserve">, </w:t>
      </w:r>
      <w:r w:rsidRPr="00D81B55">
        <w:t>if it is part of a stay</w:t>
      </w:r>
      <w:r>
        <w:t xml:space="preserve">, </w:t>
      </w:r>
      <w:r w:rsidRPr="00395342">
        <w:t>are included in the measure.</w:t>
      </w:r>
      <w:r w:rsidR="007F2ED6">
        <w:t xml:space="preserve"> However, if the entire stay consists of ATR services, it will be considered as a non-</w:t>
      </w:r>
      <w:proofErr w:type="spellStart"/>
      <w:r w:rsidR="00745038">
        <w:t>casemix</w:t>
      </w:r>
      <w:proofErr w:type="spellEnd"/>
      <w:r w:rsidR="007F2ED6">
        <w:t xml:space="preserve"> stay. (</w:t>
      </w:r>
      <w:proofErr w:type="gramStart"/>
      <w:r w:rsidR="007F2ED6">
        <w:t>see</w:t>
      </w:r>
      <w:proofErr w:type="gramEnd"/>
      <w:r w:rsidR="007F2ED6">
        <w:t xml:space="preserve"> section </w:t>
      </w:r>
      <w:r w:rsidR="00CC1445">
        <w:fldChar w:fldCharType="begin"/>
      </w:r>
      <w:r w:rsidR="00CC1445">
        <w:instrText xml:space="preserve"> REF _Ref457222974 \r \h </w:instrText>
      </w:r>
      <w:r w:rsidR="00CC1445">
        <w:fldChar w:fldCharType="separate"/>
      </w:r>
      <w:r w:rsidR="00DA17CE">
        <w:t>3.5.1</w:t>
      </w:r>
      <w:r w:rsidR="00CC1445">
        <w:fldChar w:fldCharType="end"/>
      </w:r>
      <w:r w:rsidR="007F2ED6">
        <w:t xml:space="preserve"> below)</w:t>
      </w:r>
    </w:p>
    <w:p w14:paraId="17718EB2" w14:textId="77777777" w:rsidR="0088211C" w:rsidRPr="00571AF3" w:rsidRDefault="0088211C" w:rsidP="005731A2">
      <w:pPr>
        <w:jc w:val="both"/>
      </w:pPr>
    </w:p>
    <w:p w14:paraId="5D08BAA9" w14:textId="77777777" w:rsidR="00AA607E" w:rsidRPr="00571AF3" w:rsidRDefault="00AA607E" w:rsidP="001642E8">
      <w:pPr>
        <w:pStyle w:val="Heading3"/>
      </w:pPr>
      <w:bookmarkStart w:id="41" w:name="_Toc173318889"/>
      <w:r w:rsidRPr="00571AF3">
        <w:t>Event Leave Days</w:t>
      </w:r>
      <w:bookmarkEnd w:id="41"/>
    </w:p>
    <w:p w14:paraId="32EDCD5C" w14:textId="77777777" w:rsidR="00AA607E" w:rsidRPr="00571AF3" w:rsidRDefault="00AA607E" w:rsidP="00E6454C">
      <w:pPr>
        <w:pStyle w:val="Heading4"/>
      </w:pPr>
      <w:r w:rsidRPr="00571AF3">
        <w:t>Description</w:t>
      </w:r>
    </w:p>
    <w:p w14:paraId="67EC0A0D" w14:textId="77777777" w:rsidR="00AA607E" w:rsidRPr="00571AF3" w:rsidRDefault="00AA607E" w:rsidP="005731A2">
      <w:pPr>
        <w:jc w:val="both"/>
      </w:pPr>
      <w:r w:rsidRPr="00571AF3">
        <w:t>Event leave days are the number of days an inpatient is absent from the hospital at midnight.</w:t>
      </w:r>
    </w:p>
    <w:p w14:paraId="654A8770" w14:textId="77777777" w:rsidR="00AA607E" w:rsidRPr="00571AF3" w:rsidRDefault="00AA607E" w:rsidP="00E6454C">
      <w:pPr>
        <w:pStyle w:val="Heading4"/>
      </w:pPr>
      <w:r w:rsidRPr="00571AF3">
        <w:lastRenderedPageBreak/>
        <w:t>Explanation</w:t>
      </w:r>
    </w:p>
    <w:p w14:paraId="773AB10C" w14:textId="5FB6F586" w:rsidR="00AA607E" w:rsidRPr="00571AF3" w:rsidRDefault="00AA607E" w:rsidP="005731A2">
      <w:pPr>
        <w:jc w:val="both"/>
      </w:pPr>
      <w:r w:rsidRPr="00571AF3">
        <w:t xml:space="preserve">Each </w:t>
      </w:r>
      <w:r w:rsidR="006202DF">
        <w:t>D</w:t>
      </w:r>
      <w:r w:rsidR="0042754E">
        <w:t>istrict</w:t>
      </w:r>
      <w:r w:rsidRPr="00571AF3">
        <w:t xml:space="preserve"> has their own models of care, so they have different policies on the use of event leave days. Excluding leave days would </w:t>
      </w:r>
      <w:r w:rsidR="00EA0246" w:rsidRPr="00571AF3">
        <w:t>not accommodate</w:t>
      </w:r>
      <w:r w:rsidRPr="00571AF3">
        <w:t xml:space="preserve"> </w:t>
      </w:r>
      <w:r w:rsidR="006202DF">
        <w:t>D</w:t>
      </w:r>
      <w:r w:rsidR="0042754E">
        <w:t>istrict</w:t>
      </w:r>
      <w:r w:rsidRPr="00571AF3">
        <w:t>s that choose certain models of care for their patients.</w:t>
      </w:r>
    </w:p>
    <w:p w14:paraId="43D37CE3" w14:textId="65E7E42A" w:rsidR="00571AF3" w:rsidRDefault="00571AF3" w:rsidP="005731A2">
      <w:pPr>
        <w:jc w:val="both"/>
      </w:pPr>
      <w:r w:rsidRPr="00571AF3">
        <w:t>Leave days are included in the Average Length of Stay and Acute Hospital Bed Days measures.</w:t>
      </w:r>
    </w:p>
    <w:p w14:paraId="71D894B0" w14:textId="3A1C754B" w:rsidR="006C2553" w:rsidRDefault="006C2553" w:rsidP="005731A2">
      <w:pPr>
        <w:jc w:val="both"/>
      </w:pPr>
      <w:r>
        <w:t>A variable identifying the total number of leave days for analysis purpose can be added to the model.</w:t>
      </w:r>
    </w:p>
    <w:p w14:paraId="772EB0A2" w14:textId="77777777" w:rsidR="00AA607E" w:rsidRPr="00571AF3" w:rsidRDefault="00AA607E" w:rsidP="00E6454C">
      <w:pPr>
        <w:pStyle w:val="Heading4"/>
      </w:pPr>
      <w:r w:rsidRPr="00571AF3">
        <w:t>Recommendation</w:t>
      </w:r>
    </w:p>
    <w:p w14:paraId="553B3F25" w14:textId="46940AC5" w:rsidR="00AA607E" w:rsidRPr="00571AF3" w:rsidRDefault="00AA607E" w:rsidP="005731A2">
      <w:pPr>
        <w:jc w:val="both"/>
      </w:pPr>
      <w:r w:rsidRPr="00571AF3">
        <w:t xml:space="preserve">Leave days </w:t>
      </w:r>
      <w:r w:rsidR="00902A1A" w:rsidRPr="00571AF3">
        <w:t xml:space="preserve">are </w:t>
      </w:r>
      <w:r w:rsidRPr="00571AF3">
        <w:t xml:space="preserve">included in the </w:t>
      </w:r>
      <w:r w:rsidR="00571AF3" w:rsidRPr="00571AF3">
        <w:t>measure</w:t>
      </w:r>
      <w:r w:rsidRPr="00571AF3">
        <w:t>. That is, leave days should not be subtracted.</w:t>
      </w:r>
    </w:p>
    <w:p w14:paraId="5CF257DD" w14:textId="77777777" w:rsidR="00694CA0" w:rsidRDefault="00694CA0" w:rsidP="005731A2">
      <w:pPr>
        <w:jc w:val="both"/>
      </w:pPr>
    </w:p>
    <w:p w14:paraId="154BDF72" w14:textId="77777777" w:rsidR="0088211C" w:rsidRPr="00502361" w:rsidRDefault="0088211C" w:rsidP="0088211C">
      <w:pPr>
        <w:pStyle w:val="Heading3"/>
      </w:pPr>
      <w:bookmarkStart w:id="42" w:name="_Toc173318890"/>
      <w:r w:rsidRPr="00502361">
        <w:t xml:space="preserve">Non-acute </w:t>
      </w:r>
      <w:r>
        <w:t>S</w:t>
      </w:r>
      <w:r w:rsidRPr="00502361">
        <w:t>tays</w:t>
      </w:r>
      <w:r>
        <w:t xml:space="preserve"> under Index Stays</w:t>
      </w:r>
      <w:bookmarkEnd w:id="42"/>
    </w:p>
    <w:p w14:paraId="1AC7CD9E" w14:textId="77777777" w:rsidR="0088211C" w:rsidRPr="00502361" w:rsidRDefault="0088211C" w:rsidP="00E6454C">
      <w:pPr>
        <w:pStyle w:val="Heading4"/>
      </w:pPr>
      <w:r w:rsidRPr="00502361">
        <w:t>Description</w:t>
      </w:r>
    </w:p>
    <w:p w14:paraId="7E27D886" w14:textId="59648AB0" w:rsidR="0088211C" w:rsidRPr="0027197D" w:rsidRDefault="0088211C" w:rsidP="0088211C">
      <w:pPr>
        <w:jc w:val="both"/>
      </w:pPr>
      <w:r w:rsidRPr="00502361">
        <w:rPr>
          <w:rFonts w:ascii="Verdana" w:hAnsi="Verdana"/>
          <w:szCs w:val="20"/>
        </w:rPr>
        <w:t xml:space="preserve">A non-acute inpatient stay is </w:t>
      </w:r>
      <w:r>
        <w:rPr>
          <w:rFonts w:ascii="Verdana" w:hAnsi="Verdana"/>
          <w:szCs w:val="20"/>
        </w:rPr>
        <w:t xml:space="preserve">included in the index stays </w:t>
      </w:r>
      <w:r w:rsidRPr="00502361">
        <w:rPr>
          <w:rFonts w:ascii="Verdana" w:hAnsi="Verdana"/>
          <w:szCs w:val="20"/>
        </w:rPr>
        <w:t xml:space="preserve">when the first event of the stay is not an acute admission. For </w:t>
      </w:r>
      <w:proofErr w:type="gramStart"/>
      <w:r w:rsidRPr="00502361">
        <w:rPr>
          <w:rFonts w:ascii="Verdana" w:hAnsi="Verdana"/>
          <w:szCs w:val="20"/>
        </w:rPr>
        <w:t>example</w:t>
      </w:r>
      <w:proofErr w:type="gramEnd"/>
      <w:r w:rsidRPr="00502361">
        <w:rPr>
          <w:rFonts w:ascii="Verdana" w:hAnsi="Verdana"/>
          <w:szCs w:val="20"/>
        </w:rPr>
        <w:t xml:space="preserve"> admission type of the first event is coded as </w:t>
      </w:r>
      <w:r w:rsidR="009A4529">
        <w:rPr>
          <w:rFonts w:ascii="Verdana" w:hAnsi="Verdana"/>
          <w:szCs w:val="20"/>
        </w:rPr>
        <w:t>Arranged (</w:t>
      </w:r>
      <w:r w:rsidR="0027197D">
        <w:t>AA or ZA), Elective (</w:t>
      </w:r>
      <w:r w:rsidR="0027197D" w:rsidRPr="0027197D">
        <w:t>WN</w:t>
      </w:r>
      <w:r w:rsidR="0027197D">
        <w:t xml:space="preserve"> or AP or</w:t>
      </w:r>
      <w:r w:rsidRPr="00502361">
        <w:rPr>
          <w:rFonts w:ascii="Verdana" w:hAnsi="Verdana"/>
          <w:szCs w:val="20"/>
        </w:rPr>
        <w:t xml:space="preserve"> WN</w:t>
      </w:r>
      <w:r w:rsidR="0027197D">
        <w:rPr>
          <w:rFonts w:ascii="Verdana" w:hAnsi="Verdana"/>
          <w:szCs w:val="20"/>
        </w:rPr>
        <w:t>)</w:t>
      </w:r>
      <w:r w:rsidRPr="00502361">
        <w:rPr>
          <w:rFonts w:ascii="Verdana" w:hAnsi="Verdana"/>
          <w:szCs w:val="20"/>
        </w:rPr>
        <w:t xml:space="preserve">, rather than </w:t>
      </w:r>
      <w:r w:rsidR="0027197D">
        <w:rPr>
          <w:rFonts w:ascii="Verdana" w:hAnsi="Verdana"/>
          <w:szCs w:val="20"/>
        </w:rPr>
        <w:t>Acute (</w:t>
      </w:r>
      <w:r w:rsidR="0027197D">
        <w:t xml:space="preserve">AC or ZC or </w:t>
      </w:r>
      <w:r w:rsidR="009A4529">
        <w:t>ZW)</w:t>
      </w:r>
      <w:r w:rsidRPr="00502361">
        <w:rPr>
          <w:rFonts w:ascii="Verdana" w:hAnsi="Verdana"/>
          <w:szCs w:val="20"/>
        </w:rPr>
        <w:t>.</w:t>
      </w:r>
    </w:p>
    <w:p w14:paraId="59AA7A60" w14:textId="77777777" w:rsidR="0088211C" w:rsidRPr="00502361" w:rsidRDefault="0088211C" w:rsidP="00E6454C">
      <w:pPr>
        <w:pStyle w:val="Heading4"/>
      </w:pPr>
      <w:r w:rsidRPr="00502361">
        <w:t>Explanation</w:t>
      </w:r>
    </w:p>
    <w:p w14:paraId="3FE17BDE" w14:textId="68590766" w:rsidR="00606D58" w:rsidRDefault="00606D58" w:rsidP="00606D58">
      <w:pPr>
        <w:jc w:val="both"/>
      </w:pPr>
      <w:r>
        <w:t>Non-acute stays are legitimate activities that can potentially result in a readmission. The quality of these activities should be looked at alongside acute stays.</w:t>
      </w:r>
    </w:p>
    <w:p w14:paraId="476DD953" w14:textId="77777777" w:rsidR="0088211C" w:rsidRPr="00502361" w:rsidRDefault="0088211C" w:rsidP="00E6454C">
      <w:pPr>
        <w:pStyle w:val="Heading4"/>
      </w:pPr>
      <w:r w:rsidRPr="00502361">
        <w:t>Recommendation</w:t>
      </w:r>
    </w:p>
    <w:p w14:paraId="5C372A14" w14:textId="1461403D" w:rsidR="0088211C" w:rsidRPr="00502361" w:rsidRDefault="0088211C" w:rsidP="0088211C">
      <w:pPr>
        <w:jc w:val="both"/>
      </w:pPr>
      <w:r w:rsidRPr="00502361">
        <w:t xml:space="preserve">Non-acute stays are included in the </w:t>
      </w:r>
      <w:r>
        <w:t xml:space="preserve">index stays (the denominator) but are excluded in the readmission stays (the </w:t>
      </w:r>
      <w:r w:rsidRPr="00502361">
        <w:t>numerator</w:t>
      </w:r>
      <w:r>
        <w:t>)</w:t>
      </w:r>
      <w:r w:rsidRPr="00502361">
        <w:t xml:space="preserve"> of the measure.</w:t>
      </w:r>
      <w:r w:rsidR="00E14FBF">
        <w:t xml:space="preserve"> (</w:t>
      </w:r>
      <w:proofErr w:type="gramStart"/>
      <w:r w:rsidR="00E14FBF">
        <w:t>see</w:t>
      </w:r>
      <w:proofErr w:type="gramEnd"/>
      <w:r w:rsidR="00E14FBF">
        <w:t xml:space="preserve"> section </w:t>
      </w:r>
      <w:r w:rsidR="00CC1445">
        <w:fldChar w:fldCharType="begin"/>
      </w:r>
      <w:r w:rsidR="00CC1445">
        <w:instrText xml:space="preserve"> REF _Ref457222996 \r \h </w:instrText>
      </w:r>
      <w:r w:rsidR="00CC1445">
        <w:fldChar w:fldCharType="separate"/>
      </w:r>
      <w:r w:rsidR="00DA17CE">
        <w:t>3.5.5</w:t>
      </w:r>
      <w:r w:rsidR="00CC1445">
        <w:fldChar w:fldCharType="end"/>
      </w:r>
      <w:r>
        <w:t xml:space="preserve"> </w:t>
      </w:r>
      <w:r w:rsidR="00E14FBF">
        <w:t>below)</w:t>
      </w:r>
    </w:p>
    <w:p w14:paraId="4B5634CE" w14:textId="77777777" w:rsidR="0088211C" w:rsidRDefault="0088211C" w:rsidP="0088211C">
      <w:pPr>
        <w:pStyle w:val="Heading3"/>
        <w:numPr>
          <w:ilvl w:val="0"/>
          <w:numId w:val="0"/>
        </w:numPr>
        <w:ind w:left="720" w:hanging="720"/>
      </w:pPr>
    </w:p>
    <w:p w14:paraId="4534A01F" w14:textId="260372FE" w:rsidR="0088211C" w:rsidRPr="00FF7ABD" w:rsidRDefault="006C2553" w:rsidP="0088211C">
      <w:pPr>
        <w:pStyle w:val="Heading3"/>
      </w:pPr>
      <w:bookmarkStart w:id="43" w:name="_Ref457223063"/>
      <w:bookmarkStart w:id="44" w:name="_Toc173318891"/>
      <w:r>
        <w:t xml:space="preserve">Maternity </w:t>
      </w:r>
      <w:r w:rsidR="0088211C" w:rsidRPr="00FF7ABD">
        <w:t>Services</w:t>
      </w:r>
      <w:r w:rsidR="0088211C">
        <w:t xml:space="preserve"> under Index Stays</w:t>
      </w:r>
      <w:bookmarkEnd w:id="43"/>
      <w:bookmarkEnd w:id="44"/>
    </w:p>
    <w:p w14:paraId="0EEFA493" w14:textId="77777777" w:rsidR="0088211C" w:rsidRPr="00FF7ABD" w:rsidRDefault="0088211C" w:rsidP="00E6454C">
      <w:pPr>
        <w:pStyle w:val="Heading4"/>
      </w:pPr>
      <w:r w:rsidRPr="00FF7ABD">
        <w:t>Description</w:t>
      </w:r>
    </w:p>
    <w:p w14:paraId="1A8950AE" w14:textId="714A8250" w:rsidR="0088211C" w:rsidRPr="00FF7ABD" w:rsidRDefault="0031750D" w:rsidP="0088211C">
      <w:pPr>
        <w:jc w:val="both"/>
      </w:pPr>
      <w:r>
        <w:t>Maternity services (</w:t>
      </w:r>
      <w:bookmarkStart w:id="45" w:name="_Hlk167710313"/>
      <w:r>
        <w:t>Caesarean Delivery and Vaginal Delivery)</w:t>
      </w:r>
      <w:r w:rsidR="003610FF">
        <w:t xml:space="preserve"> </w:t>
      </w:r>
      <w:bookmarkEnd w:id="45"/>
      <w:r w:rsidR="003610FF">
        <w:t xml:space="preserve">can be identified by </w:t>
      </w:r>
      <w:r w:rsidR="00460B24">
        <w:t xml:space="preserve">health </w:t>
      </w:r>
      <w:r w:rsidR="003610FF">
        <w:t xml:space="preserve">specialty codes, purchase unit codes, </w:t>
      </w:r>
      <w:r w:rsidR="00D73BF3">
        <w:t>DRG codes</w:t>
      </w:r>
      <w:r w:rsidR="003610FF">
        <w:t xml:space="preserve"> and ICD</w:t>
      </w:r>
      <w:r w:rsidR="00B746E1">
        <w:t xml:space="preserve"> codes</w:t>
      </w:r>
      <w:r w:rsidR="003610FF">
        <w:t xml:space="preserve">.  In the model, an inpatient maternity stay is defined if the first event of the stay was discharged with a maternity delivery DRG </w:t>
      </w:r>
      <w:r w:rsidR="00B746E1">
        <w:t xml:space="preserve">codes </w:t>
      </w:r>
      <w:r w:rsidR="003610FF">
        <w:t>O01A,</w:t>
      </w:r>
      <w:r w:rsidR="00B746E1">
        <w:t xml:space="preserve"> O01B, </w:t>
      </w:r>
      <w:r w:rsidR="00D024F3">
        <w:t xml:space="preserve">O01C, </w:t>
      </w:r>
      <w:r w:rsidR="00B746E1">
        <w:t>O02A, O02</w:t>
      </w:r>
      <w:proofErr w:type="gramStart"/>
      <w:r w:rsidR="00B746E1">
        <w:t>B,</w:t>
      </w:r>
      <w:r w:rsidR="00D024F3">
        <w:t>O</w:t>
      </w:r>
      <w:proofErr w:type="gramEnd"/>
      <w:r w:rsidR="00D024F3">
        <w:t>60A, O60B, or O60C</w:t>
      </w:r>
      <w:r w:rsidR="003610FF">
        <w:t>.</w:t>
      </w:r>
    </w:p>
    <w:p w14:paraId="20E8DC4F" w14:textId="77777777" w:rsidR="0088211C" w:rsidRPr="00FF7ABD" w:rsidRDefault="0088211C" w:rsidP="00E6454C">
      <w:pPr>
        <w:pStyle w:val="Heading4"/>
      </w:pPr>
      <w:r w:rsidRPr="00FF7ABD">
        <w:t>Explanation</w:t>
      </w:r>
    </w:p>
    <w:p w14:paraId="4BEB7D22" w14:textId="53941838" w:rsidR="0088211C" w:rsidRPr="00FF7ABD" w:rsidRDefault="003610FF" w:rsidP="0088211C">
      <w:pPr>
        <w:jc w:val="both"/>
      </w:pPr>
      <w:r>
        <w:t>Maternity events are included in the index stay to allow any related complications (</w:t>
      </w:r>
      <w:proofErr w:type="gramStart"/>
      <w:r>
        <w:t>e.g.</w:t>
      </w:r>
      <w:proofErr w:type="gramEnd"/>
      <w:r>
        <w:t xml:space="preserve"> postpartum complications) to be captured in the readmission stay.  This is relevant for quality and service improvement purposes.</w:t>
      </w:r>
    </w:p>
    <w:p w14:paraId="242C6FCC" w14:textId="77777777" w:rsidR="0088211C" w:rsidRPr="00FF7ABD" w:rsidRDefault="0088211C" w:rsidP="00E6454C">
      <w:pPr>
        <w:pStyle w:val="Heading4"/>
      </w:pPr>
      <w:r w:rsidRPr="00FF7ABD">
        <w:t>Recommendation</w:t>
      </w:r>
    </w:p>
    <w:p w14:paraId="57C9B4E8" w14:textId="1CE81561" w:rsidR="0088211C" w:rsidRPr="00FF7ABD" w:rsidRDefault="0031750D" w:rsidP="0088211C">
      <w:pPr>
        <w:jc w:val="both"/>
        <w:rPr>
          <w:b/>
        </w:rPr>
      </w:pPr>
      <w:r>
        <w:t>Maternity services (Caesarean Delivery and Vaginal Delivery)</w:t>
      </w:r>
      <w:r w:rsidR="0088211C" w:rsidRPr="00FF7ABD">
        <w:t xml:space="preserve"> are included in the </w:t>
      </w:r>
      <w:r w:rsidR="0088211C">
        <w:t>index stays but are excluded in the readmission stays</w:t>
      </w:r>
      <w:r w:rsidR="003610FF">
        <w:t>.</w:t>
      </w:r>
      <w:r w:rsidR="0088211C">
        <w:t xml:space="preserve"> (</w:t>
      </w:r>
      <w:proofErr w:type="gramStart"/>
      <w:r w:rsidR="0088211C">
        <w:t>see</w:t>
      </w:r>
      <w:proofErr w:type="gramEnd"/>
      <w:r w:rsidR="0088211C">
        <w:t xml:space="preserve"> </w:t>
      </w:r>
      <w:r w:rsidR="003610FF">
        <w:t xml:space="preserve">section </w:t>
      </w:r>
      <w:r w:rsidR="00CC1445">
        <w:fldChar w:fldCharType="begin"/>
      </w:r>
      <w:r w:rsidR="00CC1445">
        <w:instrText xml:space="preserve"> REF _Ref457223023 \r \h </w:instrText>
      </w:r>
      <w:r w:rsidR="00CC1445">
        <w:fldChar w:fldCharType="separate"/>
      </w:r>
      <w:r w:rsidR="00DA17CE">
        <w:t>3.5.6</w:t>
      </w:r>
      <w:r w:rsidR="00CC1445">
        <w:fldChar w:fldCharType="end"/>
      </w:r>
      <w:r w:rsidR="0088211C">
        <w:t xml:space="preserve"> below)</w:t>
      </w:r>
    </w:p>
    <w:p w14:paraId="4A349882" w14:textId="77777777" w:rsidR="003610FF" w:rsidRPr="00FE4CA0" w:rsidRDefault="003610FF" w:rsidP="005731A2">
      <w:pPr>
        <w:jc w:val="both"/>
      </w:pPr>
    </w:p>
    <w:p w14:paraId="5821A8ED" w14:textId="1C3E8373" w:rsidR="00F94369" w:rsidRPr="00502361" w:rsidRDefault="007859A3" w:rsidP="005731A2">
      <w:pPr>
        <w:pStyle w:val="Heading2"/>
        <w:jc w:val="both"/>
      </w:pPr>
      <w:bookmarkStart w:id="46" w:name="_Ref449545648"/>
      <w:bookmarkStart w:id="47" w:name="_Ref449545652"/>
      <w:bookmarkStart w:id="48" w:name="_Toc173318892"/>
      <w:r>
        <w:lastRenderedPageBreak/>
        <w:t xml:space="preserve">Details of </w:t>
      </w:r>
      <w:r w:rsidR="00796B41" w:rsidRPr="00502361">
        <w:t>Exclusions</w:t>
      </w:r>
      <w:bookmarkEnd w:id="46"/>
      <w:bookmarkEnd w:id="47"/>
      <w:bookmarkEnd w:id="48"/>
    </w:p>
    <w:p w14:paraId="1E59C3C2" w14:textId="6EA5B0B0" w:rsidR="009523B7" w:rsidRPr="00FD37AB" w:rsidRDefault="00502361" w:rsidP="001642E8">
      <w:pPr>
        <w:pStyle w:val="Heading3"/>
      </w:pPr>
      <w:bookmarkStart w:id="49" w:name="_Ref457222974"/>
      <w:bookmarkStart w:id="50" w:name="_Toc173318893"/>
      <w:r w:rsidRPr="00FD37AB">
        <w:t>Non-</w:t>
      </w:r>
      <w:proofErr w:type="spellStart"/>
      <w:r w:rsidR="00745038">
        <w:t>casemix</w:t>
      </w:r>
      <w:proofErr w:type="spellEnd"/>
      <w:r w:rsidRPr="00FD37AB">
        <w:t xml:space="preserve"> </w:t>
      </w:r>
      <w:proofErr w:type="gramStart"/>
      <w:r w:rsidRPr="00FD37AB">
        <w:t>S</w:t>
      </w:r>
      <w:r w:rsidR="009523B7" w:rsidRPr="00FD37AB">
        <w:t>tays</w:t>
      </w:r>
      <w:bookmarkEnd w:id="49"/>
      <w:bookmarkEnd w:id="50"/>
      <w:proofErr w:type="gramEnd"/>
    </w:p>
    <w:p w14:paraId="74B7B287" w14:textId="77777777" w:rsidR="009523B7" w:rsidRPr="00FD37AB" w:rsidRDefault="009523B7" w:rsidP="00E6454C">
      <w:pPr>
        <w:pStyle w:val="Heading4"/>
      </w:pPr>
      <w:r w:rsidRPr="00FD37AB">
        <w:t>Description</w:t>
      </w:r>
    </w:p>
    <w:p w14:paraId="4648E911" w14:textId="2C0150E9" w:rsidR="009523B7" w:rsidRPr="00FD37AB" w:rsidRDefault="009523B7" w:rsidP="005731A2">
      <w:pPr>
        <w:jc w:val="both"/>
      </w:pPr>
      <w:r w:rsidRPr="00FD37AB">
        <w:t>A non-</w:t>
      </w:r>
      <w:proofErr w:type="spellStart"/>
      <w:r w:rsidR="00745038">
        <w:t>casemix</w:t>
      </w:r>
      <w:proofErr w:type="spellEnd"/>
      <w:r w:rsidRPr="00FD37AB">
        <w:t xml:space="preserve"> inpatient stay only involves a single or multiple inpatient events that all are discharged as non-</w:t>
      </w:r>
      <w:proofErr w:type="spellStart"/>
      <w:r w:rsidR="00745038">
        <w:t>casemix</w:t>
      </w:r>
      <w:proofErr w:type="spellEnd"/>
      <w:r w:rsidRPr="00FD37AB">
        <w:t xml:space="preserve"> events. It is defined by the pu</w:t>
      </w:r>
      <w:r w:rsidR="001B5C71">
        <w:t>rchase unit code of ‘EXCLU’</w:t>
      </w:r>
      <w:r w:rsidRPr="00FD37AB">
        <w:t xml:space="preserve">.  None of the events that formed the stay was discharged with a </w:t>
      </w:r>
      <w:proofErr w:type="spellStart"/>
      <w:r w:rsidR="00745038">
        <w:t>casemix</w:t>
      </w:r>
      <w:proofErr w:type="spellEnd"/>
      <w:r w:rsidRPr="00FD37AB">
        <w:t xml:space="preserve"> </w:t>
      </w:r>
      <w:r w:rsidR="00B746E1" w:rsidRPr="00B746E1">
        <w:t xml:space="preserve">purchase unit </w:t>
      </w:r>
      <w:r w:rsidRPr="00FD37AB">
        <w:t>code.</w:t>
      </w:r>
    </w:p>
    <w:p w14:paraId="3C1B4995" w14:textId="4A5EBBCE" w:rsidR="009523B7" w:rsidRPr="00FD37AB" w:rsidRDefault="00175B14" w:rsidP="005731A2">
      <w:pPr>
        <w:jc w:val="both"/>
        <w:rPr>
          <w:rFonts w:ascii="Verdana" w:hAnsi="Verdana"/>
          <w:szCs w:val="20"/>
        </w:rPr>
      </w:pPr>
      <w:r>
        <w:rPr>
          <w:rFonts w:ascii="Verdana" w:hAnsi="Verdana"/>
          <w:szCs w:val="20"/>
        </w:rPr>
        <w:t xml:space="preserve">ATR, </w:t>
      </w:r>
      <w:r w:rsidRPr="00FD37AB">
        <w:rPr>
          <w:rFonts w:ascii="Verdana" w:hAnsi="Verdana"/>
          <w:szCs w:val="20"/>
        </w:rPr>
        <w:t>mental health</w:t>
      </w:r>
      <w:r>
        <w:rPr>
          <w:rFonts w:ascii="Verdana" w:hAnsi="Verdana"/>
          <w:szCs w:val="20"/>
        </w:rPr>
        <w:t xml:space="preserve">, </w:t>
      </w:r>
      <w:r w:rsidR="00B746E1">
        <w:rPr>
          <w:rFonts w:ascii="Verdana" w:hAnsi="Verdana"/>
          <w:szCs w:val="20"/>
        </w:rPr>
        <w:t xml:space="preserve">or </w:t>
      </w:r>
      <w:r w:rsidR="009E74B4" w:rsidRPr="00FD37AB">
        <w:rPr>
          <w:rFonts w:ascii="Verdana" w:hAnsi="Verdana"/>
          <w:szCs w:val="20"/>
        </w:rPr>
        <w:t>non-</w:t>
      </w:r>
      <w:proofErr w:type="spellStart"/>
      <w:r w:rsidR="00745038">
        <w:rPr>
          <w:rFonts w:ascii="Verdana" w:hAnsi="Verdana"/>
          <w:szCs w:val="20"/>
        </w:rPr>
        <w:t>casemix</w:t>
      </w:r>
      <w:proofErr w:type="spellEnd"/>
      <w:r w:rsidR="009E74B4" w:rsidRPr="00FD37AB">
        <w:rPr>
          <w:rFonts w:ascii="Verdana" w:hAnsi="Verdana"/>
          <w:szCs w:val="20"/>
        </w:rPr>
        <w:t xml:space="preserve"> </w:t>
      </w:r>
      <w:r w:rsidR="00B746E1">
        <w:rPr>
          <w:rFonts w:ascii="Verdana" w:hAnsi="Verdana"/>
          <w:szCs w:val="20"/>
        </w:rPr>
        <w:t>events</w:t>
      </w:r>
      <w:r w:rsidR="009E74B4" w:rsidRPr="00FD37AB">
        <w:rPr>
          <w:rFonts w:ascii="Verdana" w:hAnsi="Verdana"/>
          <w:szCs w:val="20"/>
        </w:rPr>
        <w:t xml:space="preserve"> </w:t>
      </w:r>
      <w:r w:rsidR="009523B7" w:rsidRPr="00FD37AB">
        <w:rPr>
          <w:rFonts w:ascii="Verdana" w:hAnsi="Verdana"/>
          <w:szCs w:val="20"/>
        </w:rPr>
        <w:t xml:space="preserve">are included if they are part of a </w:t>
      </w:r>
      <w:proofErr w:type="spellStart"/>
      <w:r w:rsidR="00745038">
        <w:rPr>
          <w:rFonts w:ascii="Verdana" w:hAnsi="Verdana"/>
          <w:szCs w:val="20"/>
        </w:rPr>
        <w:t>casemix</w:t>
      </w:r>
      <w:proofErr w:type="spellEnd"/>
      <w:r w:rsidR="009523B7" w:rsidRPr="00FD37AB">
        <w:rPr>
          <w:rFonts w:ascii="Verdana" w:hAnsi="Verdana"/>
          <w:szCs w:val="20"/>
        </w:rPr>
        <w:t xml:space="preserve"> stay.</w:t>
      </w:r>
    </w:p>
    <w:p w14:paraId="76220D1C" w14:textId="77777777" w:rsidR="009523B7" w:rsidRPr="00FD37AB" w:rsidRDefault="009523B7" w:rsidP="00E6454C">
      <w:pPr>
        <w:pStyle w:val="Heading4"/>
      </w:pPr>
      <w:r w:rsidRPr="00FD37AB">
        <w:t>Explanation</w:t>
      </w:r>
    </w:p>
    <w:p w14:paraId="135DE682" w14:textId="0E88F41F" w:rsidR="009523B7" w:rsidRPr="00FD37AB" w:rsidRDefault="009523B7" w:rsidP="005731A2">
      <w:pPr>
        <w:jc w:val="both"/>
      </w:pPr>
      <w:r w:rsidRPr="00FD37AB">
        <w:t xml:space="preserve">Inpatient events and stays need proper comparison between facilities for the variety of patient activity and reporting methods across </w:t>
      </w:r>
      <w:r w:rsidR="006202DF">
        <w:t>D</w:t>
      </w:r>
      <w:r w:rsidR="0042754E">
        <w:t>istrict</w:t>
      </w:r>
      <w:r w:rsidRPr="00FD37AB">
        <w:t xml:space="preserve">s. While the current </w:t>
      </w:r>
      <w:proofErr w:type="spellStart"/>
      <w:r w:rsidR="00745038">
        <w:t>casemix</w:t>
      </w:r>
      <w:proofErr w:type="spellEnd"/>
      <w:r w:rsidRPr="00FD37AB">
        <w:t xml:space="preserve"> approach is primarily used for funding purposes, this approach can also be applied on inpatient stays to ensure that inpatient stays are relatively homogenous across the sector.</w:t>
      </w:r>
    </w:p>
    <w:p w14:paraId="1D324B14" w14:textId="77777777" w:rsidR="009523B7" w:rsidRPr="00FD37AB" w:rsidRDefault="009523B7" w:rsidP="00E6454C">
      <w:pPr>
        <w:pStyle w:val="Heading4"/>
      </w:pPr>
      <w:r w:rsidRPr="00FD37AB">
        <w:t>Recommendation</w:t>
      </w:r>
    </w:p>
    <w:p w14:paraId="20D3E39C" w14:textId="42B1E6F6" w:rsidR="002F1567" w:rsidRPr="00FD37AB" w:rsidRDefault="002F1567" w:rsidP="005731A2">
      <w:pPr>
        <w:jc w:val="both"/>
      </w:pPr>
      <w:r w:rsidRPr="00FD37AB">
        <w:t>Non-</w:t>
      </w:r>
      <w:proofErr w:type="spellStart"/>
      <w:r w:rsidR="00745038">
        <w:t>casemix</w:t>
      </w:r>
      <w:proofErr w:type="spellEnd"/>
      <w:r w:rsidRPr="00FD37AB">
        <w:t xml:space="preserve"> stays</w:t>
      </w:r>
      <w:r w:rsidR="007A3DF0" w:rsidRPr="00FD37AB">
        <w:t>, not the individual non-</w:t>
      </w:r>
      <w:proofErr w:type="spellStart"/>
      <w:r w:rsidR="00745038">
        <w:t>casemix</w:t>
      </w:r>
      <w:proofErr w:type="spellEnd"/>
      <w:r w:rsidR="007A3DF0" w:rsidRPr="00FD37AB">
        <w:t xml:space="preserve"> events as part of a </w:t>
      </w:r>
      <w:proofErr w:type="spellStart"/>
      <w:r w:rsidR="00745038">
        <w:t>casemix</w:t>
      </w:r>
      <w:proofErr w:type="spellEnd"/>
      <w:r w:rsidR="007A3DF0" w:rsidRPr="00FD37AB">
        <w:t xml:space="preserve"> stay,</w:t>
      </w:r>
      <w:r w:rsidRPr="00FD37AB">
        <w:t xml:space="preserve"> are </w:t>
      </w:r>
      <w:r w:rsidR="00B21998">
        <w:t xml:space="preserve">excluded </w:t>
      </w:r>
      <w:r w:rsidRPr="00FD37AB">
        <w:t>in the measure.</w:t>
      </w:r>
      <w:r w:rsidR="00AA7B70" w:rsidRPr="00FD37AB">
        <w:t xml:space="preserve"> </w:t>
      </w:r>
    </w:p>
    <w:p w14:paraId="282A3004" w14:textId="77777777" w:rsidR="00CA6EFE" w:rsidRDefault="00CA6EFE" w:rsidP="00CA6EFE">
      <w:pPr>
        <w:rPr>
          <w:highlight w:val="yellow"/>
        </w:rPr>
      </w:pPr>
    </w:p>
    <w:p w14:paraId="1524CD5B" w14:textId="53BAC239" w:rsidR="005E314F" w:rsidRPr="00FD37AB" w:rsidRDefault="005E314F" w:rsidP="005E314F">
      <w:pPr>
        <w:pStyle w:val="Heading3"/>
      </w:pPr>
      <w:bookmarkStart w:id="51" w:name="_Ref457222932"/>
      <w:bookmarkStart w:id="52" w:name="_Toc173318894"/>
      <w:r w:rsidRPr="00FD37AB">
        <w:t xml:space="preserve">Mental Health </w:t>
      </w:r>
      <w:r w:rsidR="00C60B52">
        <w:t>Stays</w:t>
      </w:r>
      <w:bookmarkEnd w:id="51"/>
      <w:bookmarkEnd w:id="52"/>
    </w:p>
    <w:p w14:paraId="3FE6E437" w14:textId="77777777" w:rsidR="005E314F" w:rsidRPr="00FD37AB" w:rsidRDefault="005E314F" w:rsidP="00E6454C">
      <w:pPr>
        <w:pStyle w:val="Heading4"/>
      </w:pPr>
      <w:r w:rsidRPr="00FD37AB">
        <w:t>Description</w:t>
      </w:r>
    </w:p>
    <w:p w14:paraId="17CDE8C0" w14:textId="25E59863" w:rsidR="005E314F" w:rsidRDefault="005E314F" w:rsidP="00C60B52">
      <w:pPr>
        <w:jc w:val="both"/>
      </w:pPr>
      <w:r w:rsidRPr="00FD37AB">
        <w:t xml:space="preserve">Mental health </w:t>
      </w:r>
      <w:r w:rsidR="00C60B52">
        <w:t>stays are</w:t>
      </w:r>
      <w:r w:rsidRPr="00FD37AB">
        <w:t xml:space="preserve"> identified </w:t>
      </w:r>
      <w:r w:rsidR="00C60B52">
        <w:t xml:space="preserve">based on the </w:t>
      </w:r>
      <w:r w:rsidRPr="00FD37AB">
        <w:t>health specialty c</w:t>
      </w:r>
      <w:r w:rsidR="00C60B52">
        <w:t>ode</w:t>
      </w:r>
      <w:r w:rsidR="00B746E1">
        <w:t>s</w:t>
      </w:r>
      <w:r w:rsidR="00C60B52">
        <w:t xml:space="preserve"> with ‘Y’ prefix, Y00 to Y99 being recorded in the first event of the entire stay.</w:t>
      </w:r>
    </w:p>
    <w:p w14:paraId="5166CE43" w14:textId="77777777" w:rsidR="005E314F" w:rsidRPr="00FD37AB" w:rsidRDefault="005E314F" w:rsidP="00E6454C">
      <w:pPr>
        <w:pStyle w:val="Heading4"/>
      </w:pPr>
      <w:r w:rsidRPr="00FD37AB">
        <w:t>Explanation</w:t>
      </w:r>
    </w:p>
    <w:p w14:paraId="14ADC8DD" w14:textId="7D5CC33D" w:rsidR="00FD37AB" w:rsidRPr="00DF56FA" w:rsidRDefault="005E314F" w:rsidP="005E314F">
      <w:pPr>
        <w:jc w:val="both"/>
      </w:pPr>
      <w:r w:rsidRPr="00FD37AB">
        <w:t xml:space="preserve">Mental health services are an integral part of the system. </w:t>
      </w:r>
      <w:r w:rsidR="00FD37AB" w:rsidRPr="00FD37AB">
        <w:t xml:space="preserve">It is important that we measure </w:t>
      </w:r>
      <w:r w:rsidR="00C60B52" w:rsidRPr="00DF56FA">
        <w:t xml:space="preserve">these </w:t>
      </w:r>
      <w:r w:rsidR="00FD37AB" w:rsidRPr="00DF56FA">
        <w:t>activities. However, mental</w:t>
      </w:r>
      <w:r w:rsidRPr="00DF56FA">
        <w:t xml:space="preserve"> health </w:t>
      </w:r>
      <w:r w:rsidR="00FD37AB" w:rsidRPr="00DF56FA">
        <w:t xml:space="preserve">services often </w:t>
      </w:r>
      <w:r w:rsidRPr="00DF56FA">
        <w:t xml:space="preserve">have a different </w:t>
      </w:r>
      <w:r w:rsidR="00FD37AB" w:rsidRPr="00DF56FA">
        <w:t xml:space="preserve">acute care </w:t>
      </w:r>
      <w:r w:rsidR="00C60B52" w:rsidRPr="00DF56FA">
        <w:t xml:space="preserve">and readmission </w:t>
      </w:r>
      <w:r w:rsidR="00FD37AB" w:rsidRPr="00DF56FA">
        <w:t xml:space="preserve">pathway for their patients </w:t>
      </w:r>
      <w:r w:rsidR="00C60B52" w:rsidRPr="00DF56FA">
        <w:t xml:space="preserve">compared with </w:t>
      </w:r>
      <w:r w:rsidR="00FD37AB" w:rsidRPr="00DF56FA">
        <w:t>care provided under medical and surgical services. Characteristics of mental health inpatients</w:t>
      </w:r>
      <w:r w:rsidR="00C60B52" w:rsidRPr="00DF56FA">
        <w:t xml:space="preserve"> are also </w:t>
      </w:r>
      <w:r w:rsidR="00FD37AB" w:rsidRPr="00DF56FA">
        <w:t xml:space="preserve">considerably different from those of medical-surgical </w:t>
      </w:r>
      <w:r w:rsidR="00C60B52" w:rsidRPr="00DF56FA">
        <w:t>patients</w:t>
      </w:r>
      <w:r w:rsidR="00FD37AB" w:rsidRPr="00DF56FA">
        <w:t>.</w:t>
      </w:r>
      <w:r w:rsidR="00C60B52" w:rsidRPr="00DF56FA">
        <w:t xml:space="preserve">  </w:t>
      </w:r>
    </w:p>
    <w:p w14:paraId="2D4948E9" w14:textId="5ADA6EAA" w:rsidR="00DF56FA" w:rsidRPr="00DF56FA" w:rsidRDefault="00C60B52" w:rsidP="005E314F">
      <w:pPr>
        <w:jc w:val="both"/>
      </w:pPr>
      <w:r w:rsidRPr="00DF56FA">
        <w:t>Measuring them separately will reduce the skew effects of the model for non-mental health services.</w:t>
      </w:r>
      <w:r w:rsidR="00DF56FA" w:rsidRPr="00DF56FA">
        <w:t xml:space="preserve"> There is a suite of Key Performance Indicators (KPIs) and quality improvement measures for mental health services which the Ministry and the sector are actively monitoring.  These are clinically well defined and used in the mental health service context.</w:t>
      </w:r>
    </w:p>
    <w:p w14:paraId="5C4C0E63" w14:textId="45F80965" w:rsidR="005E314F" w:rsidRPr="00DF56FA" w:rsidRDefault="005E314F" w:rsidP="005E314F">
      <w:pPr>
        <w:jc w:val="both"/>
      </w:pPr>
      <w:r w:rsidRPr="00DF56FA">
        <w:t xml:space="preserve">Along with other key mental health initiatives and investments, these KPIs have proven to be effective in promoting better care management in the community settings. They could be served as contributory measures to help understand the drivers for acute hospital bed days demand. </w:t>
      </w:r>
    </w:p>
    <w:p w14:paraId="6CD0D516" w14:textId="77777777" w:rsidR="005E314F" w:rsidRPr="00FD37AB" w:rsidRDefault="005E314F" w:rsidP="00E6454C">
      <w:pPr>
        <w:pStyle w:val="Heading4"/>
      </w:pPr>
      <w:r w:rsidRPr="00FD37AB">
        <w:t>Recommendation</w:t>
      </w:r>
    </w:p>
    <w:p w14:paraId="5BDB94E3" w14:textId="1B84483F" w:rsidR="00C60B52" w:rsidRPr="00FD37AB" w:rsidRDefault="005E314F" w:rsidP="00C60B52">
      <w:pPr>
        <w:jc w:val="both"/>
        <w:rPr>
          <w:rFonts w:ascii="Verdana" w:hAnsi="Verdana"/>
          <w:szCs w:val="20"/>
        </w:rPr>
      </w:pPr>
      <w:r w:rsidRPr="00FD37AB">
        <w:t xml:space="preserve">Mental health </w:t>
      </w:r>
      <w:r w:rsidR="00C60B52">
        <w:t xml:space="preserve">stays </w:t>
      </w:r>
      <w:r w:rsidRPr="00FD37AB">
        <w:t xml:space="preserve">are </w:t>
      </w:r>
      <w:r w:rsidR="00FD37AB" w:rsidRPr="00FD37AB">
        <w:t>excluded</w:t>
      </w:r>
      <w:r w:rsidR="00C60B52">
        <w:t xml:space="preserve"> in the measure.  However, </w:t>
      </w:r>
      <w:r w:rsidR="00C60B52">
        <w:rPr>
          <w:rFonts w:ascii="Verdana" w:hAnsi="Verdana"/>
          <w:szCs w:val="20"/>
        </w:rPr>
        <w:t xml:space="preserve">mental health </w:t>
      </w:r>
      <w:r w:rsidR="00C60B52" w:rsidRPr="00FD37AB">
        <w:rPr>
          <w:rFonts w:ascii="Verdana" w:hAnsi="Verdana"/>
          <w:szCs w:val="20"/>
        </w:rPr>
        <w:t>events are</w:t>
      </w:r>
      <w:r w:rsidR="00C60B52">
        <w:rPr>
          <w:rFonts w:ascii="Verdana" w:hAnsi="Verdana"/>
          <w:szCs w:val="20"/>
        </w:rPr>
        <w:t xml:space="preserve"> included if they are part of an index or readmission </w:t>
      </w:r>
      <w:r w:rsidR="00C60B52" w:rsidRPr="00FD37AB">
        <w:rPr>
          <w:rFonts w:ascii="Verdana" w:hAnsi="Verdana"/>
          <w:szCs w:val="20"/>
        </w:rPr>
        <w:t>stay.</w:t>
      </w:r>
      <w:r w:rsidR="003F5C66">
        <w:rPr>
          <w:rFonts w:ascii="Verdana" w:hAnsi="Verdana"/>
          <w:szCs w:val="20"/>
        </w:rPr>
        <w:t xml:space="preserve"> (</w:t>
      </w:r>
      <w:proofErr w:type="gramStart"/>
      <w:r w:rsidR="003F5C66">
        <w:rPr>
          <w:rFonts w:ascii="Verdana" w:hAnsi="Verdana"/>
          <w:szCs w:val="20"/>
        </w:rPr>
        <w:t>see</w:t>
      </w:r>
      <w:proofErr w:type="gramEnd"/>
      <w:r w:rsidR="003F5C66">
        <w:rPr>
          <w:rFonts w:ascii="Verdana" w:hAnsi="Verdana"/>
          <w:szCs w:val="20"/>
        </w:rPr>
        <w:t xml:space="preserve"> section </w:t>
      </w:r>
      <w:r w:rsidR="00CC1445">
        <w:rPr>
          <w:rFonts w:ascii="Verdana" w:hAnsi="Verdana"/>
          <w:szCs w:val="20"/>
        </w:rPr>
        <w:fldChar w:fldCharType="begin"/>
      </w:r>
      <w:r w:rsidR="00CC1445">
        <w:rPr>
          <w:rFonts w:ascii="Verdana" w:hAnsi="Verdana"/>
          <w:szCs w:val="20"/>
        </w:rPr>
        <w:instrText xml:space="preserve"> REF _Ref457223044 \r \h </w:instrText>
      </w:r>
      <w:r w:rsidR="00CC1445">
        <w:rPr>
          <w:rFonts w:ascii="Verdana" w:hAnsi="Verdana"/>
          <w:szCs w:val="20"/>
        </w:rPr>
      </w:r>
      <w:r w:rsidR="00CC1445">
        <w:rPr>
          <w:rFonts w:ascii="Verdana" w:hAnsi="Verdana"/>
          <w:szCs w:val="20"/>
        </w:rPr>
        <w:fldChar w:fldCharType="separate"/>
      </w:r>
      <w:r w:rsidR="00DA17CE">
        <w:rPr>
          <w:rFonts w:ascii="Verdana" w:hAnsi="Verdana"/>
          <w:szCs w:val="20"/>
        </w:rPr>
        <w:t>3.4.7</w:t>
      </w:r>
      <w:r w:rsidR="00CC1445">
        <w:rPr>
          <w:rFonts w:ascii="Verdana" w:hAnsi="Verdana"/>
          <w:szCs w:val="20"/>
        </w:rPr>
        <w:fldChar w:fldCharType="end"/>
      </w:r>
      <w:r w:rsidR="003F5C66">
        <w:rPr>
          <w:rFonts w:ascii="Verdana" w:hAnsi="Verdana"/>
          <w:szCs w:val="20"/>
        </w:rPr>
        <w:t xml:space="preserve"> above)</w:t>
      </w:r>
    </w:p>
    <w:p w14:paraId="5A5E1BB9" w14:textId="77777777" w:rsidR="005E314F" w:rsidRDefault="005E314F" w:rsidP="00CA6EFE">
      <w:pPr>
        <w:rPr>
          <w:highlight w:val="yellow"/>
        </w:rPr>
      </w:pPr>
    </w:p>
    <w:p w14:paraId="6CDE5302" w14:textId="77777777" w:rsidR="00621795" w:rsidRPr="00E71793" w:rsidRDefault="00621795" w:rsidP="00621795">
      <w:pPr>
        <w:pStyle w:val="Heading3"/>
      </w:pPr>
      <w:bookmarkStart w:id="53" w:name="_Toc173318895"/>
      <w:r w:rsidRPr="00E71793">
        <w:lastRenderedPageBreak/>
        <w:t>Deceased Patients under Index Stays</w:t>
      </w:r>
      <w:bookmarkEnd w:id="53"/>
    </w:p>
    <w:p w14:paraId="282359DB" w14:textId="77777777" w:rsidR="00621795" w:rsidRPr="00E71793" w:rsidRDefault="00621795" w:rsidP="00E6454C">
      <w:pPr>
        <w:pStyle w:val="Heading4"/>
      </w:pPr>
      <w:r w:rsidRPr="00E71793">
        <w:t>Description</w:t>
      </w:r>
    </w:p>
    <w:p w14:paraId="42B4E379" w14:textId="77777777" w:rsidR="00701847" w:rsidRDefault="00701847" w:rsidP="00701847">
      <w:pPr>
        <w:jc w:val="both"/>
      </w:pPr>
      <w:r>
        <w:t>Deceased patients are p</w:t>
      </w:r>
      <w:r w:rsidRPr="00FE4CA0">
        <w:t>atients discharged as deceased</w:t>
      </w:r>
      <w:r>
        <w:t xml:space="preserve"> at the end of their stay</w:t>
      </w:r>
      <w:r w:rsidRPr="00FE4CA0">
        <w:t xml:space="preserve">. They are </w:t>
      </w:r>
      <w:r>
        <w:t>identified based on the following event end type codes of the last event of the entire stay:</w:t>
      </w:r>
    </w:p>
    <w:p w14:paraId="3087756B" w14:textId="77777777" w:rsidR="00701847" w:rsidRDefault="00701847" w:rsidP="00701847">
      <w:pPr>
        <w:pStyle w:val="ListParagraph"/>
        <w:numPr>
          <w:ilvl w:val="0"/>
          <w:numId w:val="3"/>
        </w:numPr>
        <w:jc w:val="both"/>
      </w:pPr>
      <w:r>
        <w:t xml:space="preserve">DD Died </w:t>
      </w:r>
    </w:p>
    <w:p w14:paraId="57B06941" w14:textId="77777777" w:rsidR="00701847" w:rsidRDefault="00701847" w:rsidP="00701847">
      <w:pPr>
        <w:pStyle w:val="ListParagraph"/>
        <w:numPr>
          <w:ilvl w:val="0"/>
          <w:numId w:val="3"/>
        </w:numPr>
        <w:jc w:val="both"/>
      </w:pPr>
      <w:r>
        <w:t xml:space="preserve">DO Discharge of a patient kept sustainable for organ </w:t>
      </w:r>
      <w:proofErr w:type="gramStart"/>
      <w:r>
        <w:t>donation</w:t>
      </w:r>
      <w:proofErr w:type="gramEnd"/>
      <w:r>
        <w:t xml:space="preserve"> </w:t>
      </w:r>
    </w:p>
    <w:p w14:paraId="25C2C539" w14:textId="77777777" w:rsidR="00701847" w:rsidRDefault="00701847" w:rsidP="00701847">
      <w:pPr>
        <w:pStyle w:val="ListParagraph"/>
        <w:numPr>
          <w:ilvl w:val="0"/>
          <w:numId w:val="3"/>
        </w:numPr>
        <w:jc w:val="both"/>
      </w:pPr>
      <w:r>
        <w:t xml:space="preserve">ED Died while still in emergency department acute </w:t>
      </w:r>
      <w:proofErr w:type="gramStart"/>
      <w:r>
        <w:t>facility</w:t>
      </w:r>
      <w:proofErr w:type="gramEnd"/>
      <w:r>
        <w:t xml:space="preserve"> </w:t>
      </w:r>
    </w:p>
    <w:p w14:paraId="431E36A9" w14:textId="77777777" w:rsidR="00621795" w:rsidRPr="00E71793" w:rsidRDefault="00621795" w:rsidP="00E6454C">
      <w:pPr>
        <w:pStyle w:val="Heading4"/>
      </w:pPr>
      <w:r w:rsidRPr="00E71793">
        <w:t>Explanation</w:t>
      </w:r>
    </w:p>
    <w:p w14:paraId="7923D2B9" w14:textId="5EC1CA16" w:rsidR="00621795" w:rsidRDefault="00701847" w:rsidP="00C53D76">
      <w:r w:rsidRPr="00FE4CA0">
        <w:t>When a patient died in hospital, the patient was d</w:t>
      </w:r>
      <w:r>
        <w:t>ischarged as deceased</w:t>
      </w:r>
      <w:r w:rsidRPr="00FE4CA0">
        <w:t xml:space="preserve">. Their stay in the hospital is a valid count for the measure. </w:t>
      </w:r>
      <w:proofErr w:type="gramStart"/>
      <w:r w:rsidR="00CB7668">
        <w:t>H</w:t>
      </w:r>
      <w:r w:rsidRPr="00FE4CA0">
        <w:t>owever</w:t>
      </w:r>
      <w:proofErr w:type="gramEnd"/>
      <w:r w:rsidRPr="00FE4CA0">
        <w:t xml:space="preserve"> </w:t>
      </w:r>
      <w:r w:rsidR="00CB7668">
        <w:t>t</w:t>
      </w:r>
      <w:r w:rsidR="00CB7668" w:rsidRPr="00FE4CA0">
        <w:t xml:space="preserve">he patient </w:t>
      </w:r>
      <w:r w:rsidRPr="00FE4CA0">
        <w:t xml:space="preserve">can then be acutely readmitted to donate organs for transplantation purposes. </w:t>
      </w:r>
      <w:r w:rsidR="00621795" w:rsidRPr="00CA6EFE">
        <w:t xml:space="preserve">The second event can be mistakenly counted as an acute readmission. </w:t>
      </w:r>
      <w:r w:rsidR="00CB7668">
        <w:t>Although t</w:t>
      </w:r>
      <w:r w:rsidRPr="00FE4CA0">
        <w:t>he number of events with this scenario is insignificant</w:t>
      </w:r>
      <w:r w:rsidR="00CB7668">
        <w:t xml:space="preserve">, excluding these in the index stays </w:t>
      </w:r>
      <w:r w:rsidR="00C53D76">
        <w:t>prevent</w:t>
      </w:r>
      <w:r w:rsidR="009100EB">
        <w:t>s</w:t>
      </w:r>
      <w:r w:rsidR="00C53D76">
        <w:t xml:space="preserve"> penalising </w:t>
      </w:r>
      <w:r w:rsidR="00621795" w:rsidRPr="00CA6EFE">
        <w:t>extraordinary situation</w:t>
      </w:r>
      <w:r w:rsidR="009100EB">
        <w:t>s</w:t>
      </w:r>
      <w:r w:rsidR="00621795" w:rsidRPr="00CA6EFE">
        <w:t xml:space="preserve"> </w:t>
      </w:r>
      <w:r w:rsidR="00CB7668">
        <w:t xml:space="preserve">that </w:t>
      </w:r>
      <w:r w:rsidR="009100EB">
        <w:t>have</w:t>
      </w:r>
      <w:r w:rsidR="00621795" w:rsidRPr="00CA6EFE">
        <w:t xml:space="preserve"> no </w:t>
      </w:r>
      <w:r w:rsidR="00621795" w:rsidRPr="00E71793">
        <w:t>bearing on the objectives of measuring acute readmissions.</w:t>
      </w:r>
    </w:p>
    <w:p w14:paraId="4EF6AC3A" w14:textId="08807220" w:rsidR="00C53D76" w:rsidRDefault="00C53D76" w:rsidP="00701847">
      <w:pPr>
        <w:jc w:val="both"/>
      </w:pPr>
      <w:r>
        <w:t xml:space="preserve">On the other hand, when </w:t>
      </w:r>
      <w:r w:rsidRPr="00FE4CA0">
        <w:t xml:space="preserve">a patient died in hospital </w:t>
      </w:r>
      <w:r w:rsidR="009100EB">
        <w:t>during</w:t>
      </w:r>
      <w:r>
        <w:t xml:space="preserve"> their readmission stay, it is considered </w:t>
      </w:r>
      <w:r w:rsidRPr="00FE4CA0">
        <w:t xml:space="preserve">a valid </w:t>
      </w:r>
      <w:r>
        <w:t xml:space="preserve">readmission stay </w:t>
      </w:r>
      <w:r w:rsidRPr="00FE4CA0">
        <w:t>count for the measure</w:t>
      </w:r>
      <w:r>
        <w:t xml:space="preserve">.  </w:t>
      </w:r>
    </w:p>
    <w:p w14:paraId="6E580189" w14:textId="77777777" w:rsidR="00621795" w:rsidRPr="00E71793" w:rsidRDefault="00621795" w:rsidP="00E6454C">
      <w:pPr>
        <w:pStyle w:val="Heading4"/>
      </w:pPr>
      <w:r w:rsidRPr="00E71793">
        <w:t>Recommendation</w:t>
      </w:r>
    </w:p>
    <w:p w14:paraId="6EB3EC30" w14:textId="30FD661F" w:rsidR="00701847" w:rsidRPr="00FE4CA0" w:rsidRDefault="00701847" w:rsidP="00701847">
      <w:pPr>
        <w:jc w:val="both"/>
      </w:pPr>
      <w:r w:rsidRPr="00FE4CA0">
        <w:t xml:space="preserve">Patients discharged as deceased </w:t>
      </w:r>
      <w:r>
        <w:t>with the event end type code</w:t>
      </w:r>
      <w:r w:rsidR="00B746E1">
        <w:t>s</w:t>
      </w:r>
      <w:r>
        <w:t xml:space="preserve"> DD, DO or ED </w:t>
      </w:r>
      <w:r w:rsidRPr="00FE4CA0">
        <w:t xml:space="preserve">are </w:t>
      </w:r>
      <w:r>
        <w:t xml:space="preserve">excluded </w:t>
      </w:r>
      <w:r w:rsidRPr="00FE4CA0">
        <w:t xml:space="preserve">in the </w:t>
      </w:r>
      <w:r>
        <w:t>index stays (the denominator) but are included in the readmission stays (the numerator).</w:t>
      </w:r>
    </w:p>
    <w:p w14:paraId="3E3B8068" w14:textId="77777777" w:rsidR="00701847" w:rsidRDefault="00701847" w:rsidP="00CA6EFE">
      <w:pPr>
        <w:rPr>
          <w:highlight w:val="yellow"/>
        </w:rPr>
      </w:pPr>
    </w:p>
    <w:p w14:paraId="77CEF3D8" w14:textId="70C39940" w:rsidR="00524144" w:rsidRPr="00A86D27" w:rsidRDefault="00524144" w:rsidP="00524144">
      <w:pPr>
        <w:pStyle w:val="Heading3"/>
      </w:pPr>
      <w:bookmarkStart w:id="54" w:name="_Toc173318896"/>
      <w:r w:rsidRPr="00A86D27">
        <w:t>Incomplete Stays</w:t>
      </w:r>
      <w:r w:rsidR="005B5F83" w:rsidRPr="00A86D27">
        <w:t xml:space="preserve"> under Index Stays</w:t>
      </w:r>
      <w:bookmarkEnd w:id="54"/>
    </w:p>
    <w:p w14:paraId="596DA871" w14:textId="77777777" w:rsidR="00524144" w:rsidRPr="00A86D27" w:rsidRDefault="00524144" w:rsidP="00E6454C">
      <w:pPr>
        <w:pStyle w:val="Heading4"/>
      </w:pPr>
      <w:r w:rsidRPr="00A86D27">
        <w:t>Description</w:t>
      </w:r>
    </w:p>
    <w:p w14:paraId="6FF4A903" w14:textId="1229381A" w:rsidR="00E2631F" w:rsidRPr="00A86D27" w:rsidRDefault="00524144" w:rsidP="00A86D27">
      <w:pPr>
        <w:jc w:val="both"/>
      </w:pPr>
      <w:r w:rsidRPr="00A86D27">
        <w:rPr>
          <w:rFonts w:ascii="Verdana" w:hAnsi="Verdana"/>
          <w:szCs w:val="20"/>
        </w:rPr>
        <w:t xml:space="preserve">An incomplete stay is identified when the last event of the stay has </w:t>
      </w:r>
      <w:r w:rsidR="00A86D27" w:rsidRPr="00A86D27">
        <w:rPr>
          <w:rFonts w:ascii="Verdana" w:hAnsi="Verdana"/>
          <w:szCs w:val="20"/>
        </w:rPr>
        <w:t xml:space="preserve">a transfer flag. The transfer flag </w:t>
      </w:r>
      <w:r w:rsidR="00E2631F" w:rsidRPr="00A86D27">
        <w:t>indicate</w:t>
      </w:r>
      <w:r w:rsidR="00A86D27" w:rsidRPr="00A86D27">
        <w:t>s</w:t>
      </w:r>
      <w:r w:rsidR="00E2631F" w:rsidRPr="00A86D27">
        <w:t xml:space="preserve"> that the patient was transferred.</w:t>
      </w:r>
      <w:r w:rsidR="00A86D27">
        <w:t xml:space="preserve"> Section </w:t>
      </w:r>
      <w:r w:rsidR="0092726A">
        <w:t>2</w:t>
      </w:r>
      <w:r w:rsidR="00A86D27">
        <w:t>.</w:t>
      </w:r>
      <w:r w:rsidR="0092726A">
        <w:t>2</w:t>
      </w:r>
      <w:r w:rsidR="00A86D27">
        <w:t>.3 above describe</w:t>
      </w:r>
      <w:r w:rsidR="005B5A8F">
        <w:t>s</w:t>
      </w:r>
      <w:r w:rsidR="00A86D27">
        <w:t xml:space="preserve"> the </w:t>
      </w:r>
      <w:r w:rsidR="00A86D27" w:rsidRPr="00A86D27">
        <w:t>event end type codes that are used for a transfer flag.</w:t>
      </w:r>
    </w:p>
    <w:p w14:paraId="67BCEAE0" w14:textId="77777777" w:rsidR="00524144" w:rsidRPr="00A86D27" w:rsidRDefault="00524144" w:rsidP="00E6454C">
      <w:pPr>
        <w:pStyle w:val="Heading4"/>
      </w:pPr>
      <w:r w:rsidRPr="00A86D27">
        <w:t>Explanation</w:t>
      </w:r>
    </w:p>
    <w:p w14:paraId="55CA0C14" w14:textId="751FE58F" w:rsidR="00960832" w:rsidRPr="00A86D27" w:rsidRDefault="00960832" w:rsidP="00960832">
      <w:r w:rsidRPr="00A86D27">
        <w:t xml:space="preserve">The last event of the stay with the </w:t>
      </w:r>
      <w:r w:rsidR="00A86D27" w:rsidRPr="00A86D27">
        <w:t xml:space="preserve">transfer flag </w:t>
      </w:r>
      <w:r w:rsidR="00A86D27">
        <w:t xml:space="preserve">in an index stay </w:t>
      </w:r>
      <w:r w:rsidRPr="00A86D27">
        <w:t>may indicate that the patient journey in the health system has not been completed. This could happen when the patient is in the middle of the stay during the end of the reporting period.</w:t>
      </w:r>
    </w:p>
    <w:p w14:paraId="433E3062" w14:textId="425FED50" w:rsidR="00960832" w:rsidRDefault="00960832" w:rsidP="00960832">
      <w:r w:rsidRPr="00A86D27">
        <w:t xml:space="preserve">There are other scenarios for a transfer </w:t>
      </w:r>
      <w:r w:rsidR="00A86D27">
        <w:t>flag</w:t>
      </w:r>
      <w:r w:rsidRPr="00A86D27">
        <w:t xml:space="preserve"> to be </w:t>
      </w:r>
      <w:r w:rsidR="00A86D27">
        <w:t xml:space="preserve">identified </w:t>
      </w:r>
      <w:r w:rsidRPr="00A86D27">
        <w:t>in the last event</w:t>
      </w:r>
      <w:r w:rsidR="00A86D27">
        <w:t xml:space="preserve"> of an index stay</w:t>
      </w:r>
      <w:r w:rsidRPr="00A86D27">
        <w:t>. For example, a patient could be transferred to a private facility where the following events may not be included in the publicly funded activities or not being collected in the NMDS.</w:t>
      </w:r>
    </w:p>
    <w:p w14:paraId="71362206" w14:textId="38F6F9A1" w:rsidR="00A86D27" w:rsidRDefault="00A86D27" w:rsidP="00960832">
      <w:r>
        <w:t xml:space="preserve">Incomplete stays are not excluded in the readmission stays because the rationale </w:t>
      </w:r>
      <w:r w:rsidR="00B21998">
        <w:t xml:space="preserve">is </w:t>
      </w:r>
      <w:r>
        <w:t>to identif</w:t>
      </w:r>
      <w:r w:rsidR="00B21998">
        <w:t>y</w:t>
      </w:r>
      <w:r>
        <w:t xml:space="preserve"> </w:t>
      </w:r>
      <w:r w:rsidR="00DE4834">
        <w:t xml:space="preserve">all </w:t>
      </w:r>
      <w:r>
        <w:t>readmissions</w:t>
      </w:r>
      <w:r w:rsidR="00B21998">
        <w:t>.</w:t>
      </w:r>
      <w:r>
        <w:t xml:space="preserve"> </w:t>
      </w:r>
    </w:p>
    <w:p w14:paraId="613FE4C5" w14:textId="77777777" w:rsidR="00524144" w:rsidRPr="00A86D27" w:rsidRDefault="00524144" w:rsidP="00E6454C">
      <w:pPr>
        <w:pStyle w:val="Heading4"/>
      </w:pPr>
      <w:r w:rsidRPr="00A86D27">
        <w:t>Recommendation</w:t>
      </w:r>
    </w:p>
    <w:p w14:paraId="6B3850C6" w14:textId="3FA37961" w:rsidR="00524144" w:rsidRPr="00A86D27" w:rsidRDefault="00524144" w:rsidP="00524144">
      <w:pPr>
        <w:jc w:val="both"/>
      </w:pPr>
      <w:r w:rsidRPr="00A86D27">
        <w:rPr>
          <w:rFonts w:ascii="Verdana" w:hAnsi="Verdana"/>
          <w:szCs w:val="20"/>
        </w:rPr>
        <w:t xml:space="preserve">Incomplete </w:t>
      </w:r>
      <w:r w:rsidRPr="00A86D27">
        <w:t>stays are excluded in the index stays (</w:t>
      </w:r>
      <w:r w:rsidR="00A86D27">
        <w:t>the denominator) of the measure but are included in the readmission stays (the numerator).</w:t>
      </w:r>
    </w:p>
    <w:p w14:paraId="11B21EF7" w14:textId="77777777" w:rsidR="00960832" w:rsidRPr="00502361" w:rsidRDefault="00960832" w:rsidP="00524144">
      <w:pPr>
        <w:jc w:val="both"/>
      </w:pPr>
    </w:p>
    <w:p w14:paraId="65B2CB7F" w14:textId="77777777" w:rsidR="00524144" w:rsidRPr="00502361" w:rsidRDefault="00524144" w:rsidP="00524144">
      <w:pPr>
        <w:pStyle w:val="Heading3"/>
      </w:pPr>
      <w:bookmarkStart w:id="55" w:name="_Ref457222996"/>
      <w:bookmarkStart w:id="56" w:name="_Toc173318897"/>
      <w:r w:rsidRPr="00502361">
        <w:lastRenderedPageBreak/>
        <w:t xml:space="preserve">Non-acute </w:t>
      </w:r>
      <w:r>
        <w:t>S</w:t>
      </w:r>
      <w:r w:rsidRPr="00502361">
        <w:t>tays</w:t>
      </w:r>
      <w:r>
        <w:t xml:space="preserve"> under Readmission Stays</w:t>
      </w:r>
      <w:bookmarkEnd w:id="55"/>
      <w:bookmarkEnd w:id="56"/>
    </w:p>
    <w:p w14:paraId="1735B236" w14:textId="77777777" w:rsidR="00524144" w:rsidRPr="00502361" w:rsidRDefault="00524144" w:rsidP="00E6454C">
      <w:pPr>
        <w:pStyle w:val="Heading4"/>
      </w:pPr>
      <w:r w:rsidRPr="00502361">
        <w:t>Description</w:t>
      </w:r>
    </w:p>
    <w:p w14:paraId="182EC8DE" w14:textId="29715C8C" w:rsidR="0027197D" w:rsidRPr="0027197D" w:rsidRDefault="00524144" w:rsidP="0027197D">
      <w:pPr>
        <w:jc w:val="both"/>
      </w:pPr>
      <w:r w:rsidRPr="00502361">
        <w:rPr>
          <w:rFonts w:ascii="Verdana" w:hAnsi="Verdana"/>
          <w:szCs w:val="20"/>
        </w:rPr>
        <w:t xml:space="preserve">A non-acute inpatient stay is excluded when the first event of the stay is not an acute admission. For </w:t>
      </w:r>
      <w:proofErr w:type="gramStart"/>
      <w:r w:rsidRPr="00502361">
        <w:rPr>
          <w:rFonts w:ascii="Verdana" w:hAnsi="Verdana"/>
          <w:szCs w:val="20"/>
        </w:rPr>
        <w:t>example</w:t>
      </w:r>
      <w:proofErr w:type="gramEnd"/>
      <w:r w:rsidRPr="00502361">
        <w:rPr>
          <w:rFonts w:ascii="Verdana" w:hAnsi="Verdana"/>
          <w:szCs w:val="20"/>
        </w:rPr>
        <w:t xml:space="preserve"> admission type of the first event is coded as </w:t>
      </w:r>
      <w:r w:rsidR="0027197D">
        <w:rPr>
          <w:rFonts w:ascii="Verdana" w:hAnsi="Verdana"/>
          <w:szCs w:val="20"/>
        </w:rPr>
        <w:t>Arranged (</w:t>
      </w:r>
      <w:r w:rsidR="0027197D">
        <w:t>AA or ZA), Elective (</w:t>
      </w:r>
      <w:r w:rsidR="0027197D" w:rsidRPr="0027197D">
        <w:t>WN</w:t>
      </w:r>
      <w:r w:rsidR="0027197D">
        <w:t xml:space="preserve"> or AP or</w:t>
      </w:r>
      <w:r w:rsidR="0027197D" w:rsidRPr="00502361">
        <w:rPr>
          <w:rFonts w:ascii="Verdana" w:hAnsi="Verdana"/>
          <w:szCs w:val="20"/>
        </w:rPr>
        <w:t xml:space="preserve"> WN</w:t>
      </w:r>
      <w:r w:rsidR="0027197D">
        <w:rPr>
          <w:rFonts w:ascii="Verdana" w:hAnsi="Verdana"/>
          <w:szCs w:val="20"/>
        </w:rPr>
        <w:t>)</w:t>
      </w:r>
      <w:r w:rsidR="0027197D" w:rsidRPr="00502361">
        <w:rPr>
          <w:rFonts w:ascii="Verdana" w:hAnsi="Verdana"/>
          <w:szCs w:val="20"/>
        </w:rPr>
        <w:t xml:space="preserve">, rather than </w:t>
      </w:r>
      <w:r w:rsidR="0027197D">
        <w:rPr>
          <w:rFonts w:ascii="Verdana" w:hAnsi="Verdana"/>
          <w:szCs w:val="20"/>
        </w:rPr>
        <w:t>Acute (</w:t>
      </w:r>
      <w:r w:rsidR="0027197D">
        <w:t>AC or ZC or ZW)</w:t>
      </w:r>
      <w:r w:rsidR="0027197D" w:rsidRPr="00502361">
        <w:rPr>
          <w:rFonts w:ascii="Verdana" w:hAnsi="Verdana"/>
          <w:szCs w:val="20"/>
        </w:rPr>
        <w:t>.</w:t>
      </w:r>
    </w:p>
    <w:p w14:paraId="3691A604" w14:textId="77777777" w:rsidR="00524144" w:rsidRPr="00502361" w:rsidRDefault="00524144" w:rsidP="00E6454C">
      <w:pPr>
        <w:pStyle w:val="Heading4"/>
      </w:pPr>
      <w:r w:rsidRPr="00502361">
        <w:t>Explanation</w:t>
      </w:r>
    </w:p>
    <w:p w14:paraId="0C9ABF20" w14:textId="77777777" w:rsidR="00524144" w:rsidRPr="00502361" w:rsidRDefault="00524144" w:rsidP="00524144">
      <w:pPr>
        <w:jc w:val="both"/>
      </w:pPr>
      <w:r w:rsidRPr="00502361">
        <w:t xml:space="preserve">A key element of an acute readmission stay is that the first event in the readmission sequence </w:t>
      </w:r>
      <w:proofErr w:type="gramStart"/>
      <w:r w:rsidRPr="00502361">
        <w:t>has to</w:t>
      </w:r>
      <w:proofErr w:type="gramEnd"/>
      <w:r w:rsidRPr="00502361">
        <w:t xml:space="preserve"> be an unexpected emergency inpatient event. This exclusion removes patient stays that the first events are admitted as elective or arranged.</w:t>
      </w:r>
    </w:p>
    <w:p w14:paraId="27A2E6AC" w14:textId="77777777" w:rsidR="00524144" w:rsidRPr="00502361" w:rsidRDefault="00524144" w:rsidP="00E6454C">
      <w:pPr>
        <w:pStyle w:val="Heading4"/>
      </w:pPr>
      <w:r w:rsidRPr="00502361">
        <w:t>Recommendation</w:t>
      </w:r>
    </w:p>
    <w:p w14:paraId="2F78293B" w14:textId="77777777" w:rsidR="00524144" w:rsidRPr="00502361" w:rsidRDefault="00524144" w:rsidP="00524144">
      <w:pPr>
        <w:jc w:val="both"/>
      </w:pPr>
      <w:r w:rsidRPr="00502361">
        <w:t xml:space="preserve">Non-acute stays </w:t>
      </w:r>
      <w:r>
        <w:t xml:space="preserve">are excluded in the readmission stays (the </w:t>
      </w:r>
      <w:r w:rsidRPr="00502361">
        <w:t>numerator</w:t>
      </w:r>
      <w:r>
        <w:t>)</w:t>
      </w:r>
      <w:r w:rsidRPr="00502361">
        <w:t xml:space="preserve"> </w:t>
      </w:r>
      <w:r>
        <w:t xml:space="preserve">but </w:t>
      </w:r>
      <w:r w:rsidRPr="00502361">
        <w:t xml:space="preserve">are included in the </w:t>
      </w:r>
      <w:r>
        <w:t xml:space="preserve">index stays (the denominator) </w:t>
      </w:r>
      <w:r w:rsidRPr="00502361">
        <w:t>of the measure.</w:t>
      </w:r>
    </w:p>
    <w:p w14:paraId="1FA05A3E" w14:textId="77777777" w:rsidR="00524144" w:rsidRDefault="00524144" w:rsidP="00CA6EFE">
      <w:pPr>
        <w:rPr>
          <w:highlight w:val="yellow"/>
        </w:rPr>
      </w:pPr>
    </w:p>
    <w:p w14:paraId="3EF9B627" w14:textId="1860E228" w:rsidR="00BC57EB" w:rsidRPr="00DF56FA" w:rsidRDefault="00A939D5" w:rsidP="00BC57EB">
      <w:pPr>
        <w:pStyle w:val="Heading3"/>
      </w:pPr>
      <w:bookmarkStart w:id="57" w:name="_Ref457223023"/>
      <w:bookmarkStart w:id="58" w:name="_Toc173318898"/>
      <w:r>
        <w:t xml:space="preserve">Maternity </w:t>
      </w:r>
      <w:r w:rsidR="00BC57EB" w:rsidRPr="00DF56FA">
        <w:t>Services under Readmission Stays</w:t>
      </w:r>
      <w:bookmarkEnd w:id="57"/>
      <w:bookmarkEnd w:id="58"/>
    </w:p>
    <w:p w14:paraId="0CCDD5EE" w14:textId="77777777" w:rsidR="00BC57EB" w:rsidRPr="00DF56FA" w:rsidRDefault="00BC57EB" w:rsidP="00E6454C">
      <w:pPr>
        <w:pStyle w:val="Heading4"/>
      </w:pPr>
      <w:r w:rsidRPr="00DF56FA">
        <w:t>Description</w:t>
      </w:r>
    </w:p>
    <w:p w14:paraId="6564E24E" w14:textId="15C169DE" w:rsidR="003610FF" w:rsidRPr="009A4529" w:rsidRDefault="0031750D" w:rsidP="003610FF">
      <w:r>
        <w:t>Maternity services (Caesarean Delivery and Vaginal Delivery)</w:t>
      </w:r>
      <w:r w:rsidR="003610FF" w:rsidRPr="009A4529">
        <w:t xml:space="preserve"> are identified based on the first event of the stay being discharged with a maternity delivery DR</w:t>
      </w:r>
      <w:r w:rsidR="00B746E1">
        <w:t xml:space="preserve">G codes </w:t>
      </w:r>
      <w:r w:rsidR="003610FF" w:rsidRPr="009A4529">
        <w:t>O01A,</w:t>
      </w:r>
      <w:r w:rsidR="00B746E1">
        <w:t xml:space="preserve"> O01B,</w:t>
      </w:r>
      <w:r w:rsidR="003A22CB">
        <w:t xml:space="preserve"> O01C, O60A,</w:t>
      </w:r>
      <w:r w:rsidR="00B746E1">
        <w:t xml:space="preserve"> </w:t>
      </w:r>
      <w:r w:rsidR="003A22CB">
        <w:t xml:space="preserve">O60B, O60C, </w:t>
      </w:r>
      <w:r w:rsidR="00B746E1">
        <w:t>O02A, O02B</w:t>
      </w:r>
      <w:r w:rsidR="003610FF" w:rsidRPr="009A4529">
        <w:t xml:space="preserve">. </w:t>
      </w:r>
    </w:p>
    <w:p w14:paraId="193705CF" w14:textId="77777777" w:rsidR="00BC57EB" w:rsidRPr="009A4529" w:rsidRDefault="00BC57EB" w:rsidP="00E6454C">
      <w:pPr>
        <w:pStyle w:val="Heading4"/>
      </w:pPr>
      <w:r w:rsidRPr="009A4529">
        <w:t>Explanation</w:t>
      </w:r>
    </w:p>
    <w:p w14:paraId="19C15768" w14:textId="380734CD" w:rsidR="003610FF" w:rsidRDefault="003610FF" w:rsidP="003610FF">
      <w:r w:rsidRPr="009A4529">
        <w:t>Maternity is a large service and may have an influence over other elements in the measure.  The nature</w:t>
      </w:r>
      <w:r>
        <w:t xml:space="preserve"> of maternity services</w:t>
      </w:r>
      <w:r w:rsidR="008F1162">
        <w:t xml:space="preserve"> </w:t>
      </w:r>
      <w:r>
        <w:t xml:space="preserve">requires multiple visits culminating in the delivery event.  </w:t>
      </w:r>
    </w:p>
    <w:p w14:paraId="49650462" w14:textId="5F0BB81B" w:rsidR="00BC57EB" w:rsidRPr="00BC57EB" w:rsidRDefault="003610FF" w:rsidP="003610FF">
      <w:pPr>
        <w:jc w:val="both"/>
        <w:rPr>
          <w:highlight w:val="lightGray"/>
        </w:rPr>
      </w:pPr>
      <w:r>
        <w:t>Maternity events</w:t>
      </w:r>
      <w:r w:rsidR="008F1162">
        <w:t xml:space="preserve"> (Caesarean Delivery and Vaginal </w:t>
      </w:r>
      <w:proofErr w:type="gramStart"/>
      <w:r w:rsidR="008F1162">
        <w:t>Delivery)</w:t>
      </w:r>
      <w:r w:rsidR="008F1162" w:rsidRPr="00DF56FA">
        <w:t xml:space="preserve"> </w:t>
      </w:r>
      <w:r>
        <w:t xml:space="preserve"> are</w:t>
      </w:r>
      <w:proofErr w:type="gramEnd"/>
      <w:r>
        <w:t xml:space="preserve"> excluded from the readmission stay, given that the delivery event is an expected occurrence and can skew readmission rates.</w:t>
      </w:r>
    </w:p>
    <w:p w14:paraId="43660C47" w14:textId="77777777" w:rsidR="00BC57EB" w:rsidRPr="00DF56FA" w:rsidRDefault="00BC57EB" w:rsidP="00E6454C">
      <w:pPr>
        <w:pStyle w:val="Heading4"/>
      </w:pPr>
      <w:r w:rsidRPr="00DF56FA">
        <w:t>Recommendation</w:t>
      </w:r>
    </w:p>
    <w:p w14:paraId="3CF1D01E" w14:textId="0DB5C074" w:rsidR="00BC57EB" w:rsidRDefault="0031750D" w:rsidP="00BC57EB">
      <w:pPr>
        <w:jc w:val="both"/>
      </w:pPr>
      <w:r>
        <w:t>Maternity services (Caesarean Delivery and Vaginal Delivery)</w:t>
      </w:r>
      <w:r w:rsidR="00BC57EB" w:rsidRPr="00DF56FA">
        <w:t xml:space="preserve"> are </w:t>
      </w:r>
      <w:r w:rsidR="00DF56FA" w:rsidRPr="00DF56FA">
        <w:t>excluded</w:t>
      </w:r>
      <w:r w:rsidR="00BC57EB" w:rsidRPr="00DF56FA">
        <w:t xml:space="preserve"> in the </w:t>
      </w:r>
      <w:r w:rsidR="00DF56FA" w:rsidRPr="00DF56FA">
        <w:t>readmission stays but are included in the index stays</w:t>
      </w:r>
      <w:r w:rsidR="00BC57EB" w:rsidRPr="00DF56FA">
        <w:t xml:space="preserve">.  </w:t>
      </w:r>
      <w:r w:rsidR="003610FF">
        <w:t>(</w:t>
      </w:r>
      <w:proofErr w:type="gramStart"/>
      <w:r w:rsidR="003610FF">
        <w:t>see</w:t>
      </w:r>
      <w:proofErr w:type="gramEnd"/>
      <w:r w:rsidR="003610FF">
        <w:t xml:space="preserve"> section </w:t>
      </w:r>
      <w:r w:rsidR="00CC1445">
        <w:fldChar w:fldCharType="begin"/>
      </w:r>
      <w:r w:rsidR="00CC1445">
        <w:instrText xml:space="preserve"> REF _Ref457223063 \r \h </w:instrText>
      </w:r>
      <w:r w:rsidR="00CC1445">
        <w:fldChar w:fldCharType="separate"/>
      </w:r>
      <w:r w:rsidR="00DA17CE">
        <w:t>3.4.12</w:t>
      </w:r>
      <w:r w:rsidR="00CC1445">
        <w:fldChar w:fldCharType="end"/>
      </w:r>
      <w:r w:rsidR="003610FF">
        <w:t xml:space="preserve"> above)</w:t>
      </w:r>
    </w:p>
    <w:p w14:paraId="06892629" w14:textId="77777777" w:rsidR="003610FF" w:rsidRDefault="003610FF" w:rsidP="00BC57EB">
      <w:pPr>
        <w:jc w:val="both"/>
        <w:rPr>
          <w:b/>
        </w:rPr>
      </w:pPr>
    </w:p>
    <w:p w14:paraId="43CA0A67" w14:textId="5C118EA8" w:rsidR="00814B8E" w:rsidRDefault="00814B8E" w:rsidP="004B6974">
      <w:pPr>
        <w:pStyle w:val="Heading1"/>
        <w:jc w:val="both"/>
      </w:pPr>
      <w:bookmarkStart w:id="59" w:name="_Toc173318899"/>
      <w:r>
        <w:t>Standardisation</w:t>
      </w:r>
      <w:r w:rsidR="00E47194">
        <w:t xml:space="preserve"> and Stratification</w:t>
      </w:r>
      <w:bookmarkEnd w:id="59"/>
    </w:p>
    <w:p w14:paraId="38FDED81" w14:textId="2678FDA4" w:rsidR="00814B8E" w:rsidRDefault="00814B8E" w:rsidP="004B6974">
      <w:pPr>
        <w:pStyle w:val="Heading2"/>
        <w:jc w:val="both"/>
      </w:pPr>
      <w:bookmarkStart w:id="60" w:name="_Ref457295165"/>
      <w:bookmarkStart w:id="61" w:name="_Toc173318900"/>
      <w:r>
        <w:t>Description</w:t>
      </w:r>
      <w:r w:rsidR="00D70C75">
        <w:t xml:space="preserve"> of Approach</w:t>
      </w:r>
      <w:bookmarkEnd w:id="60"/>
      <w:bookmarkEnd w:id="61"/>
    </w:p>
    <w:p w14:paraId="1F6ECE8A" w14:textId="30B8C151" w:rsidR="002615A2" w:rsidRDefault="002615A2" w:rsidP="002615A2">
      <w:pPr>
        <w:pStyle w:val="Heading3"/>
      </w:pPr>
      <w:bookmarkStart w:id="62" w:name="_Toc173318901"/>
      <w:r>
        <w:t>General method</w:t>
      </w:r>
      <w:bookmarkEnd w:id="62"/>
    </w:p>
    <w:p w14:paraId="31FE24C6" w14:textId="2847624B" w:rsidR="00606D58" w:rsidRDefault="00537134" w:rsidP="00606D58">
      <w:pPr>
        <w:jc w:val="both"/>
      </w:pPr>
      <w:r>
        <w:t xml:space="preserve">Logistics regression method has been used in the model.  </w:t>
      </w:r>
      <w:r w:rsidR="00606D58">
        <w:t>Risk factors used for the standardisation process include</w:t>
      </w:r>
      <w:r w:rsidR="00AF55CE">
        <w:rPr>
          <w:rStyle w:val="FootnoteReference"/>
        </w:rPr>
        <w:footnoteReference w:id="2"/>
      </w:r>
      <w:r w:rsidR="00606D58">
        <w:t>:</w:t>
      </w:r>
    </w:p>
    <w:p w14:paraId="386C5C3A" w14:textId="77777777" w:rsidR="001A0F42" w:rsidRPr="00F65499" w:rsidRDefault="001A0F42" w:rsidP="001A0F42">
      <w:pPr>
        <w:pStyle w:val="ListParagraph"/>
        <w:numPr>
          <w:ilvl w:val="0"/>
          <w:numId w:val="3"/>
        </w:numPr>
        <w:jc w:val="both"/>
      </w:pPr>
      <w:r w:rsidRPr="00F65499">
        <w:t xml:space="preserve">Prior stays (the number of stays within the last 12 months) </w:t>
      </w:r>
    </w:p>
    <w:p w14:paraId="7DD57FEA" w14:textId="77777777" w:rsidR="00606D58" w:rsidRDefault="00606D58" w:rsidP="00606D58">
      <w:pPr>
        <w:pStyle w:val="ListParagraph"/>
        <w:numPr>
          <w:ilvl w:val="0"/>
          <w:numId w:val="3"/>
        </w:numPr>
        <w:jc w:val="both"/>
      </w:pPr>
      <w:r>
        <w:t>Admission type (</w:t>
      </w:r>
      <w:r w:rsidRPr="0027197D">
        <w:t>Arranged</w:t>
      </w:r>
      <w:r>
        <w:t>,</w:t>
      </w:r>
      <w:r w:rsidRPr="0027197D">
        <w:t xml:space="preserve"> </w:t>
      </w:r>
      <w:r>
        <w:t>Elective,</w:t>
      </w:r>
      <w:r w:rsidRPr="0027197D">
        <w:t xml:space="preserve"> Acute</w:t>
      </w:r>
      <w:r>
        <w:t>)</w:t>
      </w:r>
      <w:r w:rsidRPr="0027197D">
        <w:t>.</w:t>
      </w:r>
    </w:p>
    <w:p w14:paraId="463A8AC0" w14:textId="77777777" w:rsidR="001A0F42" w:rsidRDefault="001A0F42" w:rsidP="001A0F42">
      <w:pPr>
        <w:pStyle w:val="ListParagraph"/>
        <w:numPr>
          <w:ilvl w:val="0"/>
          <w:numId w:val="3"/>
        </w:numPr>
        <w:jc w:val="both"/>
      </w:pPr>
      <w:r>
        <w:t>Length of stay of index admission (including leave days)</w:t>
      </w:r>
    </w:p>
    <w:p w14:paraId="5710C7D2" w14:textId="77777777" w:rsidR="001A0F42" w:rsidRDefault="001A0F42" w:rsidP="00606D58">
      <w:pPr>
        <w:pStyle w:val="ListParagraph"/>
        <w:numPr>
          <w:ilvl w:val="0"/>
          <w:numId w:val="3"/>
        </w:numPr>
        <w:jc w:val="both"/>
      </w:pPr>
      <w:r>
        <w:t>A</w:t>
      </w:r>
      <w:r w:rsidRPr="00F65499">
        <w:t>ge in 5-year bands (00-04, up to 84, and thereafter 85+)</w:t>
      </w:r>
    </w:p>
    <w:p w14:paraId="4B270558" w14:textId="39CE993C" w:rsidR="00606D58" w:rsidRDefault="00606D58" w:rsidP="00606D58">
      <w:pPr>
        <w:pStyle w:val="ListParagraph"/>
        <w:numPr>
          <w:ilvl w:val="0"/>
          <w:numId w:val="3"/>
        </w:numPr>
        <w:jc w:val="both"/>
      </w:pPr>
      <w:r>
        <w:lastRenderedPageBreak/>
        <w:t xml:space="preserve">Primary diagnosis group (see section </w:t>
      </w:r>
      <w:r>
        <w:fldChar w:fldCharType="begin"/>
      </w:r>
      <w:r>
        <w:instrText xml:space="preserve"> REF _Ref457223091 \r \h </w:instrText>
      </w:r>
      <w:r>
        <w:fldChar w:fldCharType="separate"/>
      </w:r>
      <w:r w:rsidR="00DA17CE">
        <w:t>4.2.2</w:t>
      </w:r>
      <w:r>
        <w:fldChar w:fldCharType="end"/>
      </w:r>
      <w:r>
        <w:t xml:space="preserve"> below)</w:t>
      </w:r>
    </w:p>
    <w:p w14:paraId="4812FB00" w14:textId="77777777" w:rsidR="00606D58" w:rsidRDefault="00606D58" w:rsidP="00606D58">
      <w:pPr>
        <w:pStyle w:val="ListParagraph"/>
        <w:numPr>
          <w:ilvl w:val="0"/>
          <w:numId w:val="3"/>
        </w:numPr>
        <w:jc w:val="both"/>
      </w:pPr>
      <w:r>
        <w:t xml:space="preserve">Prior morbidities, using the </w:t>
      </w:r>
      <w:proofErr w:type="spellStart"/>
      <w:r>
        <w:t>Charlson</w:t>
      </w:r>
      <w:proofErr w:type="spellEnd"/>
      <w:r>
        <w:t xml:space="preserve"> Comorbidity Index (see section </w:t>
      </w:r>
      <w:r>
        <w:fldChar w:fldCharType="begin"/>
      </w:r>
      <w:r>
        <w:instrText xml:space="preserve"> REF _Ref457223109 \r \h </w:instrText>
      </w:r>
      <w:r>
        <w:fldChar w:fldCharType="separate"/>
      </w:r>
      <w:r w:rsidR="00DA17CE">
        <w:t>4.2.3</w:t>
      </w:r>
      <w:r>
        <w:fldChar w:fldCharType="end"/>
      </w:r>
      <w:r>
        <w:t xml:space="preserve"> below)</w:t>
      </w:r>
    </w:p>
    <w:p w14:paraId="34610781" w14:textId="04380E50" w:rsidR="00606D58" w:rsidRDefault="00606D58" w:rsidP="00606D58">
      <w:pPr>
        <w:pStyle w:val="ListParagraph"/>
        <w:numPr>
          <w:ilvl w:val="0"/>
          <w:numId w:val="3"/>
        </w:numPr>
        <w:jc w:val="both"/>
      </w:pPr>
      <w:r>
        <w:t xml:space="preserve">Current morbidities, using the </w:t>
      </w:r>
      <w:proofErr w:type="spellStart"/>
      <w:r>
        <w:t>Charlson</w:t>
      </w:r>
      <w:proofErr w:type="spellEnd"/>
      <w:r>
        <w:t xml:space="preserve"> Comorbidity Index (see section </w:t>
      </w:r>
      <w:r>
        <w:fldChar w:fldCharType="begin"/>
      </w:r>
      <w:r>
        <w:instrText xml:space="preserve"> REF _Ref457223109 \r \h </w:instrText>
      </w:r>
      <w:r>
        <w:fldChar w:fldCharType="separate"/>
      </w:r>
      <w:r w:rsidR="00DA17CE">
        <w:t>4.2.3</w:t>
      </w:r>
      <w:r>
        <w:fldChar w:fldCharType="end"/>
      </w:r>
      <w:r>
        <w:t xml:space="preserve"> below)</w:t>
      </w:r>
      <w:r w:rsidR="00537134">
        <w:t>.</w:t>
      </w:r>
    </w:p>
    <w:p w14:paraId="0969BB0E" w14:textId="046A8A39" w:rsidR="00606D58" w:rsidRPr="00E67A23" w:rsidRDefault="00606D58" w:rsidP="00606D58">
      <w:pPr>
        <w:jc w:val="both"/>
      </w:pPr>
      <w:r w:rsidRPr="00E67A23">
        <w:t xml:space="preserve">The following variables </w:t>
      </w:r>
      <w:r>
        <w:t xml:space="preserve">from the NMDS </w:t>
      </w:r>
      <w:r w:rsidRPr="00E67A23">
        <w:t xml:space="preserve">will be included </w:t>
      </w:r>
      <w:r w:rsidR="001076F1">
        <w:t xml:space="preserve">in the summary level analysis and </w:t>
      </w:r>
      <w:r>
        <w:t xml:space="preserve">for stratification </w:t>
      </w:r>
      <w:r w:rsidRPr="00E67A23">
        <w:t>in the measure data:</w:t>
      </w:r>
    </w:p>
    <w:p w14:paraId="3839BDBC" w14:textId="1D64CE6E" w:rsidR="00606D58" w:rsidRDefault="006202DF" w:rsidP="00606D58">
      <w:pPr>
        <w:pStyle w:val="ListParagraph"/>
        <w:numPr>
          <w:ilvl w:val="0"/>
          <w:numId w:val="5"/>
        </w:numPr>
        <w:jc w:val="both"/>
      </w:pPr>
      <w:r>
        <w:t>D</w:t>
      </w:r>
      <w:r w:rsidR="0042754E">
        <w:t>istrict</w:t>
      </w:r>
      <w:r w:rsidR="00606D58" w:rsidRPr="00E67A23">
        <w:t xml:space="preserve"> of domicile</w:t>
      </w:r>
      <w:r w:rsidR="00401A14">
        <w:t xml:space="preserve"> based on </w:t>
      </w:r>
      <w:r w:rsidR="00401A14" w:rsidRPr="0069073A">
        <w:t>the first</w:t>
      </w:r>
      <w:r w:rsidR="00401A14">
        <w:t xml:space="preserve"> event of the index stay</w:t>
      </w:r>
      <w:r w:rsidR="00234DB6">
        <w:t xml:space="preserve"> (this is for the 28 – </w:t>
      </w:r>
      <w:proofErr w:type="gramStart"/>
      <w:r w:rsidR="00234DB6">
        <w:t>180 day</w:t>
      </w:r>
      <w:proofErr w:type="gramEnd"/>
      <w:r w:rsidR="00234DB6">
        <w:t xml:space="preserve"> intervals)</w:t>
      </w:r>
    </w:p>
    <w:p w14:paraId="3F30D84A" w14:textId="3F500211" w:rsidR="00234DB6" w:rsidRPr="009C7E10" w:rsidRDefault="00234DB6" w:rsidP="00606D58">
      <w:pPr>
        <w:pStyle w:val="ListParagraph"/>
        <w:numPr>
          <w:ilvl w:val="0"/>
          <w:numId w:val="5"/>
        </w:numPr>
        <w:jc w:val="both"/>
      </w:pPr>
      <w:r w:rsidRPr="009C7E10">
        <w:t xml:space="preserve">Principal </w:t>
      </w:r>
      <w:r w:rsidR="006202DF">
        <w:t>D</w:t>
      </w:r>
      <w:r w:rsidR="0042754E">
        <w:t>istrict</w:t>
      </w:r>
      <w:r w:rsidRPr="009C7E10">
        <w:t xml:space="preserve"> of service (last event of the stay) for the </w:t>
      </w:r>
      <w:proofErr w:type="gramStart"/>
      <w:r w:rsidRPr="009C7E10">
        <w:t>3,7 and 28 day</w:t>
      </w:r>
      <w:proofErr w:type="gramEnd"/>
      <w:r w:rsidRPr="009C7E10">
        <w:t xml:space="preserve"> intervals)</w:t>
      </w:r>
    </w:p>
    <w:p w14:paraId="1A30B13D" w14:textId="1F279D29" w:rsidR="00606D58" w:rsidRPr="00E67A23" w:rsidRDefault="00606D58" w:rsidP="00606D58">
      <w:pPr>
        <w:pStyle w:val="ListParagraph"/>
        <w:numPr>
          <w:ilvl w:val="0"/>
          <w:numId w:val="5"/>
        </w:numPr>
        <w:jc w:val="both"/>
      </w:pPr>
      <w:r w:rsidRPr="00E67A23">
        <w:t>age in 5-year bands</w:t>
      </w:r>
      <w:r w:rsidR="00E92B5C">
        <w:t xml:space="preserve"> based on the </w:t>
      </w:r>
      <w:r w:rsidR="00E92B5C" w:rsidRPr="0069073A">
        <w:t>first</w:t>
      </w:r>
      <w:r w:rsidR="00E92B5C">
        <w:t xml:space="preserve"> event of the index </w:t>
      </w:r>
      <w:proofErr w:type="gramStart"/>
      <w:r w:rsidR="00E92B5C">
        <w:t>stay</w:t>
      </w:r>
      <w:proofErr w:type="gramEnd"/>
    </w:p>
    <w:p w14:paraId="590C1FC4" w14:textId="77777777" w:rsidR="00606D58" w:rsidRPr="00E67A23" w:rsidRDefault="00606D58" w:rsidP="00606D58">
      <w:pPr>
        <w:pStyle w:val="ListParagraph"/>
        <w:numPr>
          <w:ilvl w:val="0"/>
          <w:numId w:val="5"/>
        </w:numPr>
        <w:jc w:val="both"/>
      </w:pPr>
      <w:r w:rsidRPr="00E67A23">
        <w:t>gender</w:t>
      </w:r>
    </w:p>
    <w:p w14:paraId="412B7B4B" w14:textId="17994105" w:rsidR="00606D58" w:rsidRPr="00E67A23" w:rsidRDefault="00606D58" w:rsidP="00606D58">
      <w:pPr>
        <w:pStyle w:val="ListParagraph"/>
        <w:numPr>
          <w:ilvl w:val="0"/>
          <w:numId w:val="5"/>
        </w:numPr>
        <w:jc w:val="both"/>
      </w:pPr>
      <w:r w:rsidRPr="00E67A23">
        <w:t>prioritised ethnicity (Māori, Pacific, and Other in that order)</w:t>
      </w:r>
      <w:r w:rsidR="00E92B5C">
        <w:t xml:space="preserve"> based on the </w:t>
      </w:r>
      <w:r w:rsidR="00E92B5C" w:rsidRPr="0069073A">
        <w:t>first e</w:t>
      </w:r>
      <w:r w:rsidR="00E92B5C">
        <w:t xml:space="preserve">vent of the index </w:t>
      </w:r>
      <w:proofErr w:type="gramStart"/>
      <w:r w:rsidR="00E92B5C">
        <w:t>stay</w:t>
      </w:r>
      <w:proofErr w:type="gramEnd"/>
    </w:p>
    <w:p w14:paraId="3C25C4F6" w14:textId="36116516" w:rsidR="00606D58" w:rsidRPr="0069073A" w:rsidRDefault="00606D58" w:rsidP="00606D58">
      <w:pPr>
        <w:pStyle w:val="ListParagraph"/>
        <w:numPr>
          <w:ilvl w:val="0"/>
          <w:numId w:val="5"/>
        </w:numPr>
        <w:jc w:val="both"/>
      </w:pPr>
      <w:r w:rsidRPr="0069073A">
        <w:t>NZDep2013 Index of deprivation quintile</w:t>
      </w:r>
      <w:r w:rsidR="00E92B5C" w:rsidRPr="0069073A">
        <w:t xml:space="preserve"> based on the first event of the index </w:t>
      </w:r>
      <w:proofErr w:type="gramStart"/>
      <w:r w:rsidR="00E92B5C" w:rsidRPr="0069073A">
        <w:t>stay</w:t>
      </w:r>
      <w:proofErr w:type="gramEnd"/>
      <w:r w:rsidR="00F6797C" w:rsidRPr="0069073A">
        <w:t xml:space="preserve"> </w:t>
      </w:r>
    </w:p>
    <w:p w14:paraId="3FCF2AFC" w14:textId="77777777" w:rsidR="00AD4642" w:rsidRDefault="00AD4642" w:rsidP="00AD4642">
      <w:pPr>
        <w:ind w:left="360"/>
        <w:jc w:val="both"/>
      </w:pPr>
      <w:r>
        <w:t>-------------</w:t>
      </w:r>
    </w:p>
    <w:p w14:paraId="56B85B45" w14:textId="3BCE7980" w:rsidR="009528CC" w:rsidRPr="002B2A91" w:rsidRDefault="009528CC" w:rsidP="00AD4642">
      <w:pPr>
        <w:pStyle w:val="ListParagraph"/>
        <w:numPr>
          <w:ilvl w:val="0"/>
          <w:numId w:val="5"/>
        </w:numPr>
        <w:jc w:val="both"/>
      </w:pPr>
      <w:r w:rsidRPr="002B2A91">
        <w:t xml:space="preserve">Top </w:t>
      </w:r>
      <w:r w:rsidR="002B2A91" w:rsidRPr="002B2A91">
        <w:t>50</w:t>
      </w:r>
      <w:r w:rsidRPr="002B2A91">
        <w:t xml:space="preserve"> DRG clusters of the </w:t>
      </w:r>
      <w:r w:rsidR="00B55FC2" w:rsidRPr="002B2A91">
        <w:t>last no</w:t>
      </w:r>
      <w:r w:rsidR="00AD4642" w:rsidRPr="002B2A91">
        <w:t>n-ATR events of stays.</w:t>
      </w:r>
    </w:p>
    <w:p w14:paraId="1001ED9B" w14:textId="42453F7C" w:rsidR="00606D58" w:rsidRDefault="001076F1" w:rsidP="00606D58">
      <w:pPr>
        <w:jc w:val="both"/>
      </w:pPr>
      <w:r>
        <w:t xml:space="preserve">In addition to the above, additional </w:t>
      </w:r>
      <w:r w:rsidR="00606D58">
        <w:t xml:space="preserve">data </w:t>
      </w:r>
      <w:r w:rsidR="00BA779E">
        <w:t>will be</w:t>
      </w:r>
      <w:r>
        <w:t xml:space="preserve"> included at a stay level for further detailed analysis such as</w:t>
      </w:r>
      <w:r w:rsidR="00606D58">
        <w:t>:</w:t>
      </w:r>
    </w:p>
    <w:p w14:paraId="37C7D96C" w14:textId="0FD27068" w:rsidR="001076F1" w:rsidRDefault="001076F1" w:rsidP="00606D58">
      <w:pPr>
        <w:pStyle w:val="ListParagraph"/>
        <w:numPr>
          <w:ilvl w:val="0"/>
          <w:numId w:val="5"/>
        </w:numPr>
        <w:jc w:val="both"/>
      </w:pPr>
      <w:r>
        <w:t xml:space="preserve">Unique person ID (a </w:t>
      </w:r>
      <w:proofErr w:type="gramStart"/>
      <w:r>
        <w:t>made up</w:t>
      </w:r>
      <w:proofErr w:type="gramEnd"/>
      <w:r>
        <w:t xml:space="preserve"> number </w:t>
      </w:r>
      <w:r w:rsidR="00BA779E">
        <w:t>to identify</w:t>
      </w:r>
      <w:r>
        <w:t xml:space="preserve"> unique person)</w:t>
      </w:r>
    </w:p>
    <w:p w14:paraId="35051DCA" w14:textId="7B6C112D" w:rsidR="00606D58" w:rsidRDefault="009461B3" w:rsidP="00606D58">
      <w:pPr>
        <w:pStyle w:val="ListParagraph"/>
        <w:numPr>
          <w:ilvl w:val="0"/>
          <w:numId w:val="5"/>
        </w:numPr>
        <w:jc w:val="both"/>
      </w:pPr>
      <w:r>
        <w:t>P</w:t>
      </w:r>
      <w:r w:rsidR="00401A14">
        <w:t xml:space="preserve">rincipal </w:t>
      </w:r>
      <w:r w:rsidR="006202DF">
        <w:t>D</w:t>
      </w:r>
      <w:r w:rsidR="0042754E">
        <w:t>istrict</w:t>
      </w:r>
      <w:r w:rsidR="00606D58">
        <w:t xml:space="preserve"> of service based </w:t>
      </w:r>
      <w:r w:rsidR="00606D58" w:rsidRPr="0069073A">
        <w:t>on the last event</w:t>
      </w:r>
      <w:r w:rsidR="00606D58">
        <w:t xml:space="preserve"> of the index </w:t>
      </w:r>
      <w:proofErr w:type="gramStart"/>
      <w:r w:rsidR="00606D58">
        <w:t>stay</w:t>
      </w:r>
      <w:proofErr w:type="gramEnd"/>
    </w:p>
    <w:p w14:paraId="662B4DED" w14:textId="7BDBE4BA" w:rsidR="00BA779E" w:rsidRDefault="006202DF" w:rsidP="00BA779E">
      <w:pPr>
        <w:pStyle w:val="ListParagraph"/>
        <w:numPr>
          <w:ilvl w:val="0"/>
          <w:numId w:val="5"/>
        </w:numPr>
        <w:jc w:val="both"/>
      </w:pPr>
      <w:r>
        <w:t>D</w:t>
      </w:r>
      <w:r w:rsidR="0042754E">
        <w:t>istrict</w:t>
      </w:r>
      <w:r w:rsidR="00BA779E" w:rsidRPr="00C816B2">
        <w:t xml:space="preserve"> of service for each of the first ten events in a</w:t>
      </w:r>
      <w:r w:rsidR="00BA779E">
        <w:t>n</w:t>
      </w:r>
      <w:r w:rsidR="00BA779E" w:rsidRPr="00C816B2">
        <w:t xml:space="preserve"> </w:t>
      </w:r>
      <w:r w:rsidR="00BA779E">
        <w:t xml:space="preserve">index </w:t>
      </w:r>
      <w:proofErr w:type="gramStart"/>
      <w:r w:rsidR="00BA779E" w:rsidRPr="00C816B2">
        <w:t>stay</w:t>
      </w:r>
      <w:proofErr w:type="gramEnd"/>
    </w:p>
    <w:p w14:paraId="46A4E4AB" w14:textId="2E3BD8F5" w:rsidR="00BA779E" w:rsidRPr="00C816B2" w:rsidRDefault="00BA779E" w:rsidP="00BA779E">
      <w:pPr>
        <w:pStyle w:val="ListParagraph"/>
        <w:numPr>
          <w:ilvl w:val="0"/>
          <w:numId w:val="5"/>
        </w:numPr>
        <w:jc w:val="both"/>
      </w:pPr>
      <w:r w:rsidRPr="00C816B2">
        <w:t>Agen</w:t>
      </w:r>
      <w:r>
        <w:t xml:space="preserve">cy code of the </w:t>
      </w:r>
      <w:r w:rsidR="009461B3" w:rsidRPr="00E327CD">
        <w:t>last</w:t>
      </w:r>
      <w:r>
        <w:t xml:space="preserve"> event of an index </w:t>
      </w:r>
      <w:proofErr w:type="gramStart"/>
      <w:r w:rsidRPr="00C816B2">
        <w:t>stay</w:t>
      </w:r>
      <w:proofErr w:type="gramEnd"/>
    </w:p>
    <w:p w14:paraId="3EE53BFA" w14:textId="04504C48" w:rsidR="00BA779E" w:rsidRDefault="00BA779E" w:rsidP="00BA779E">
      <w:pPr>
        <w:pStyle w:val="ListParagraph"/>
        <w:numPr>
          <w:ilvl w:val="0"/>
          <w:numId w:val="5"/>
        </w:numPr>
        <w:jc w:val="both"/>
      </w:pPr>
      <w:r w:rsidRPr="00C816B2">
        <w:t>Practice Management System Unique Identification (PMSUI</w:t>
      </w:r>
      <w:r>
        <w:t xml:space="preserve">D) code of the </w:t>
      </w:r>
      <w:r w:rsidR="009461B3" w:rsidRPr="00E327CD">
        <w:t>last</w:t>
      </w:r>
      <w:r>
        <w:t xml:space="preserve"> event of an index </w:t>
      </w:r>
      <w:proofErr w:type="gramStart"/>
      <w:r w:rsidRPr="00C816B2">
        <w:t>stay</w:t>
      </w:r>
      <w:proofErr w:type="gramEnd"/>
    </w:p>
    <w:p w14:paraId="0128E351" w14:textId="40777AC7" w:rsidR="00BA779E" w:rsidRDefault="00BA779E" w:rsidP="00BA779E">
      <w:pPr>
        <w:pStyle w:val="ListParagraph"/>
        <w:numPr>
          <w:ilvl w:val="0"/>
          <w:numId w:val="5"/>
        </w:numPr>
        <w:jc w:val="both"/>
      </w:pPr>
      <w:r>
        <w:t>Admission type of the first event of an index stay</w:t>
      </w:r>
      <w:r w:rsidR="008A4FC1">
        <w:t xml:space="preserve"> (Acute, Arranged, Electives)</w:t>
      </w:r>
    </w:p>
    <w:p w14:paraId="2674136A" w14:textId="3176D4DD" w:rsidR="006E30E2" w:rsidRDefault="006E30E2" w:rsidP="00BA779E">
      <w:pPr>
        <w:pStyle w:val="ListParagraph"/>
        <w:numPr>
          <w:ilvl w:val="0"/>
          <w:numId w:val="5"/>
        </w:numPr>
        <w:jc w:val="both"/>
      </w:pPr>
      <w:r>
        <w:t xml:space="preserve">Facility of the last event of the index </w:t>
      </w:r>
      <w:proofErr w:type="gramStart"/>
      <w:r>
        <w:t>stay</w:t>
      </w:r>
      <w:proofErr w:type="gramEnd"/>
    </w:p>
    <w:p w14:paraId="41994EF5" w14:textId="36D0DD2E" w:rsidR="006E30E2" w:rsidRDefault="006E30E2" w:rsidP="00BA779E">
      <w:pPr>
        <w:pStyle w:val="ListParagraph"/>
        <w:numPr>
          <w:ilvl w:val="0"/>
          <w:numId w:val="5"/>
        </w:numPr>
        <w:jc w:val="both"/>
      </w:pPr>
      <w:r>
        <w:t xml:space="preserve">Facility of the first event of readmission </w:t>
      </w:r>
      <w:proofErr w:type="gramStart"/>
      <w:r>
        <w:t>stay</w:t>
      </w:r>
      <w:proofErr w:type="gramEnd"/>
    </w:p>
    <w:p w14:paraId="64A290D2" w14:textId="77777777" w:rsidR="00AD4642" w:rsidRDefault="00AD4642" w:rsidP="00AD4642">
      <w:pPr>
        <w:ind w:left="360"/>
        <w:jc w:val="both"/>
      </w:pPr>
      <w:r>
        <w:t>-------------</w:t>
      </w:r>
    </w:p>
    <w:p w14:paraId="6E897275" w14:textId="74C9C8DD" w:rsidR="001076F1" w:rsidRPr="00C816B2" w:rsidRDefault="00BA779E" w:rsidP="001076F1">
      <w:pPr>
        <w:pStyle w:val="ListParagraph"/>
        <w:numPr>
          <w:ilvl w:val="0"/>
          <w:numId w:val="5"/>
        </w:numPr>
        <w:jc w:val="both"/>
      </w:pPr>
      <w:r w:rsidRPr="008F3BFF">
        <w:t>Primary Health Organisation</w:t>
      </w:r>
      <w:r>
        <w:t xml:space="preserve"> (PHO) (from </w:t>
      </w:r>
      <w:r w:rsidRPr="008F3BFF">
        <w:t xml:space="preserve">the </w:t>
      </w:r>
      <w:r>
        <w:t xml:space="preserve">PHO </w:t>
      </w:r>
      <w:r w:rsidRPr="008F3BFF">
        <w:t>registers linked in using NHIs</w:t>
      </w:r>
      <w:r>
        <w:t xml:space="preserve">, </w:t>
      </w:r>
      <w:r w:rsidRPr="008F3BFF">
        <w:t>last date of the stay against the quarter of the PHO enrolment data the patient is enrolled in</w:t>
      </w:r>
      <w:r>
        <w:t>)</w:t>
      </w:r>
    </w:p>
    <w:p w14:paraId="29F8D93B" w14:textId="55E78DC0" w:rsidR="001076F1" w:rsidRPr="006E30E2" w:rsidRDefault="001076F1" w:rsidP="001076F1">
      <w:pPr>
        <w:pStyle w:val="ListParagraph"/>
        <w:numPr>
          <w:ilvl w:val="0"/>
          <w:numId w:val="5"/>
        </w:numPr>
        <w:jc w:val="both"/>
      </w:pPr>
      <w:r w:rsidRPr="006E30E2">
        <w:t>General practice name</w:t>
      </w:r>
    </w:p>
    <w:p w14:paraId="54AB5A1F" w14:textId="2B4743DC" w:rsidR="00234DB6" w:rsidRPr="006E30E2" w:rsidRDefault="00234DB6" w:rsidP="001076F1">
      <w:pPr>
        <w:pStyle w:val="ListParagraph"/>
        <w:numPr>
          <w:ilvl w:val="0"/>
          <w:numId w:val="5"/>
        </w:numPr>
        <w:jc w:val="both"/>
      </w:pPr>
      <w:r w:rsidRPr="006E30E2">
        <w:t>Ethnicity (from PHO register)</w:t>
      </w:r>
    </w:p>
    <w:p w14:paraId="4CAD3140" w14:textId="3DE2BDAA" w:rsidR="00234DB6" w:rsidRPr="006E30E2" w:rsidRDefault="00234DB6" w:rsidP="001076F1">
      <w:pPr>
        <w:pStyle w:val="ListParagraph"/>
        <w:numPr>
          <w:ilvl w:val="0"/>
          <w:numId w:val="5"/>
        </w:numPr>
        <w:jc w:val="both"/>
      </w:pPr>
      <w:r w:rsidRPr="006E30E2">
        <w:t xml:space="preserve">Lead </w:t>
      </w:r>
      <w:r w:rsidR="006202DF">
        <w:t>D</w:t>
      </w:r>
      <w:r w:rsidR="0042754E">
        <w:t>istrict</w:t>
      </w:r>
      <w:r w:rsidRPr="006E30E2">
        <w:t xml:space="preserve"> of PHO</w:t>
      </w:r>
    </w:p>
    <w:p w14:paraId="44615D82" w14:textId="77777777" w:rsidR="00AD4642" w:rsidRPr="006E30E2" w:rsidRDefault="00AD4642" w:rsidP="00AD4642">
      <w:pPr>
        <w:ind w:left="360"/>
        <w:jc w:val="both"/>
      </w:pPr>
      <w:r w:rsidRPr="006E30E2">
        <w:t>-------------</w:t>
      </w:r>
    </w:p>
    <w:p w14:paraId="4A01A08B" w14:textId="75C0C756" w:rsidR="001076F1" w:rsidRPr="006E30E2" w:rsidRDefault="001076F1" w:rsidP="001076F1">
      <w:pPr>
        <w:pStyle w:val="ListParagraph"/>
        <w:numPr>
          <w:ilvl w:val="0"/>
          <w:numId w:val="5"/>
        </w:numPr>
        <w:jc w:val="both"/>
      </w:pPr>
      <w:r w:rsidRPr="006E30E2">
        <w:t xml:space="preserve">Health specialty of the first event in an index </w:t>
      </w:r>
      <w:proofErr w:type="gramStart"/>
      <w:r w:rsidRPr="006E30E2">
        <w:t>stay</w:t>
      </w:r>
      <w:proofErr w:type="gramEnd"/>
    </w:p>
    <w:p w14:paraId="4CB7F01A" w14:textId="278E1608" w:rsidR="001076F1" w:rsidRPr="006E30E2" w:rsidRDefault="001076F1" w:rsidP="001561CB">
      <w:pPr>
        <w:pStyle w:val="ListParagraph"/>
        <w:numPr>
          <w:ilvl w:val="0"/>
          <w:numId w:val="5"/>
        </w:numPr>
        <w:jc w:val="both"/>
      </w:pPr>
      <w:r w:rsidRPr="006E30E2">
        <w:t xml:space="preserve">Health specialty of the last event in an index </w:t>
      </w:r>
      <w:proofErr w:type="gramStart"/>
      <w:r w:rsidRPr="006E30E2">
        <w:t>stay</w:t>
      </w:r>
      <w:proofErr w:type="gramEnd"/>
    </w:p>
    <w:p w14:paraId="634679A7" w14:textId="54F6AAC6" w:rsidR="001076F1" w:rsidRPr="006E30E2" w:rsidRDefault="001076F1" w:rsidP="001076F1">
      <w:pPr>
        <w:pStyle w:val="ListParagraph"/>
        <w:numPr>
          <w:ilvl w:val="0"/>
          <w:numId w:val="5"/>
        </w:numPr>
        <w:jc w:val="both"/>
      </w:pPr>
      <w:r w:rsidRPr="006E30E2">
        <w:t xml:space="preserve">Health specialty of the highest </w:t>
      </w:r>
      <w:proofErr w:type="spellStart"/>
      <w:r w:rsidRPr="006E30E2">
        <w:t>caseweight</w:t>
      </w:r>
      <w:proofErr w:type="spellEnd"/>
      <w:r w:rsidRPr="006E30E2">
        <w:t xml:space="preserve"> non-ATR event in an index </w:t>
      </w:r>
      <w:proofErr w:type="gramStart"/>
      <w:r w:rsidRPr="006E30E2">
        <w:t>stay</w:t>
      </w:r>
      <w:proofErr w:type="gramEnd"/>
    </w:p>
    <w:p w14:paraId="5B64BDBB" w14:textId="2E1B0CF9" w:rsidR="008A4FC1" w:rsidRDefault="008A4FC1" w:rsidP="001076F1">
      <w:pPr>
        <w:pStyle w:val="ListParagraph"/>
        <w:numPr>
          <w:ilvl w:val="0"/>
          <w:numId w:val="5"/>
        </w:numPr>
        <w:jc w:val="both"/>
      </w:pPr>
      <w:r w:rsidRPr="006E30E2">
        <w:t xml:space="preserve">Health specialty of the last </w:t>
      </w:r>
      <w:proofErr w:type="gramStart"/>
      <w:r w:rsidRPr="006E30E2">
        <w:t>non ATR</w:t>
      </w:r>
      <w:proofErr w:type="gramEnd"/>
      <w:r w:rsidRPr="006E30E2">
        <w:t xml:space="preserve"> event of index stay</w:t>
      </w:r>
    </w:p>
    <w:p w14:paraId="24E49D6D" w14:textId="717812BF" w:rsidR="006E30E2" w:rsidRPr="006E30E2" w:rsidRDefault="006E30E2" w:rsidP="001076F1">
      <w:pPr>
        <w:pStyle w:val="ListParagraph"/>
        <w:numPr>
          <w:ilvl w:val="0"/>
          <w:numId w:val="5"/>
        </w:numPr>
        <w:jc w:val="both"/>
      </w:pPr>
      <w:r>
        <w:t xml:space="preserve">Health specialty of the first event of the readmission </w:t>
      </w:r>
      <w:proofErr w:type="gramStart"/>
      <w:r>
        <w:t>stay</w:t>
      </w:r>
      <w:proofErr w:type="gramEnd"/>
    </w:p>
    <w:p w14:paraId="0E13135D" w14:textId="77777777" w:rsidR="00AD4642" w:rsidRDefault="00AD4642" w:rsidP="00AD4642">
      <w:pPr>
        <w:ind w:left="360"/>
        <w:jc w:val="both"/>
      </w:pPr>
      <w:r>
        <w:t>-------------</w:t>
      </w:r>
    </w:p>
    <w:p w14:paraId="376C1A5C" w14:textId="7B17E497" w:rsidR="001076F1" w:rsidRDefault="001076F1" w:rsidP="001076F1">
      <w:pPr>
        <w:pStyle w:val="ListParagraph"/>
        <w:numPr>
          <w:ilvl w:val="0"/>
          <w:numId w:val="5"/>
        </w:numPr>
        <w:jc w:val="both"/>
      </w:pPr>
      <w:r w:rsidRPr="00C816B2">
        <w:t>DRGs for the first ten events of a</w:t>
      </w:r>
      <w:r>
        <w:t>n index</w:t>
      </w:r>
      <w:r w:rsidRPr="00C816B2">
        <w:t xml:space="preserve"> </w:t>
      </w:r>
      <w:proofErr w:type="gramStart"/>
      <w:r w:rsidRPr="00C816B2">
        <w:t>stay</w:t>
      </w:r>
      <w:proofErr w:type="gramEnd"/>
    </w:p>
    <w:p w14:paraId="4D9AC44C" w14:textId="45697E1C" w:rsidR="001076F1" w:rsidRDefault="001076F1" w:rsidP="001076F1">
      <w:pPr>
        <w:pStyle w:val="ListParagraph"/>
        <w:numPr>
          <w:ilvl w:val="0"/>
          <w:numId w:val="5"/>
        </w:numPr>
        <w:jc w:val="both"/>
      </w:pPr>
      <w:r>
        <w:t xml:space="preserve">DRG of the last event of the index </w:t>
      </w:r>
      <w:proofErr w:type="gramStart"/>
      <w:r>
        <w:t>stay</w:t>
      </w:r>
      <w:proofErr w:type="gramEnd"/>
    </w:p>
    <w:p w14:paraId="5ECD8A91" w14:textId="0E49BBEA" w:rsidR="008A4FC1" w:rsidRDefault="008A4FC1" w:rsidP="001076F1">
      <w:pPr>
        <w:pStyle w:val="ListParagraph"/>
        <w:numPr>
          <w:ilvl w:val="0"/>
          <w:numId w:val="5"/>
        </w:numPr>
        <w:jc w:val="both"/>
      </w:pPr>
      <w:r>
        <w:t xml:space="preserve">DRG of the highest </w:t>
      </w:r>
      <w:proofErr w:type="spellStart"/>
      <w:r>
        <w:t>caseweight</w:t>
      </w:r>
      <w:proofErr w:type="spellEnd"/>
      <w:r>
        <w:t xml:space="preserve"> non-ATR event of the index </w:t>
      </w:r>
      <w:proofErr w:type="gramStart"/>
      <w:r>
        <w:t>stay</w:t>
      </w:r>
      <w:proofErr w:type="gramEnd"/>
    </w:p>
    <w:p w14:paraId="3DBAAE50" w14:textId="3DBE16A5" w:rsidR="008A4FC1" w:rsidRDefault="008A4FC1" w:rsidP="001076F1">
      <w:pPr>
        <w:pStyle w:val="ListParagraph"/>
        <w:numPr>
          <w:ilvl w:val="0"/>
          <w:numId w:val="5"/>
        </w:numPr>
        <w:jc w:val="both"/>
      </w:pPr>
      <w:r>
        <w:t xml:space="preserve">DRG of the first event of the readmission </w:t>
      </w:r>
      <w:proofErr w:type="gramStart"/>
      <w:r>
        <w:t>stay</w:t>
      </w:r>
      <w:proofErr w:type="gramEnd"/>
    </w:p>
    <w:p w14:paraId="3C599770" w14:textId="0E001A51" w:rsidR="00BA779E" w:rsidRDefault="00B55FC2" w:rsidP="00BA779E">
      <w:pPr>
        <w:pStyle w:val="ListParagraph"/>
        <w:numPr>
          <w:ilvl w:val="0"/>
          <w:numId w:val="5"/>
        </w:numPr>
        <w:jc w:val="both"/>
      </w:pPr>
      <w:r>
        <w:t xml:space="preserve">DRG of the last non-ATR event of the index </w:t>
      </w:r>
      <w:proofErr w:type="gramStart"/>
      <w:r>
        <w:t>stay</w:t>
      </w:r>
      <w:proofErr w:type="gramEnd"/>
    </w:p>
    <w:p w14:paraId="4EB5EDD1" w14:textId="77777777" w:rsidR="00AD4642" w:rsidRDefault="00AD4642" w:rsidP="00AD4642">
      <w:pPr>
        <w:ind w:left="360"/>
        <w:jc w:val="both"/>
      </w:pPr>
      <w:r>
        <w:t>-------------</w:t>
      </w:r>
    </w:p>
    <w:p w14:paraId="3E33DBE2" w14:textId="157B524D" w:rsidR="001076F1" w:rsidRDefault="001076F1" w:rsidP="001076F1">
      <w:pPr>
        <w:pStyle w:val="ListParagraph"/>
        <w:numPr>
          <w:ilvl w:val="0"/>
          <w:numId w:val="5"/>
        </w:numPr>
        <w:jc w:val="both"/>
      </w:pPr>
      <w:r>
        <w:lastRenderedPageBreak/>
        <w:t>Start date of the</w:t>
      </w:r>
      <w:r w:rsidR="00BA779E">
        <w:t xml:space="preserve"> index</w:t>
      </w:r>
      <w:r>
        <w:t xml:space="preserve"> </w:t>
      </w:r>
      <w:proofErr w:type="gramStart"/>
      <w:r>
        <w:t>stay</w:t>
      </w:r>
      <w:proofErr w:type="gramEnd"/>
    </w:p>
    <w:p w14:paraId="668735B4" w14:textId="3711067A" w:rsidR="001076F1" w:rsidRDefault="001076F1" w:rsidP="001076F1">
      <w:pPr>
        <w:pStyle w:val="ListParagraph"/>
        <w:numPr>
          <w:ilvl w:val="0"/>
          <w:numId w:val="5"/>
        </w:numPr>
        <w:jc w:val="both"/>
      </w:pPr>
      <w:r>
        <w:t xml:space="preserve">End date of the </w:t>
      </w:r>
      <w:r w:rsidR="00BA779E">
        <w:t xml:space="preserve">index </w:t>
      </w:r>
      <w:proofErr w:type="gramStart"/>
      <w:r>
        <w:t>stay</w:t>
      </w:r>
      <w:proofErr w:type="gramEnd"/>
    </w:p>
    <w:p w14:paraId="334F3820" w14:textId="77777777" w:rsidR="00BA779E" w:rsidRDefault="00BA779E" w:rsidP="00BA779E">
      <w:pPr>
        <w:pStyle w:val="ListParagraph"/>
        <w:numPr>
          <w:ilvl w:val="0"/>
          <w:numId w:val="5"/>
        </w:numPr>
        <w:jc w:val="both"/>
      </w:pPr>
      <w:r>
        <w:t xml:space="preserve">Start date of the readmission </w:t>
      </w:r>
      <w:proofErr w:type="gramStart"/>
      <w:r>
        <w:t>stay</w:t>
      </w:r>
      <w:proofErr w:type="gramEnd"/>
    </w:p>
    <w:p w14:paraId="6C243AF7" w14:textId="55AB1EEE" w:rsidR="001076F1" w:rsidRDefault="001076F1" w:rsidP="001076F1">
      <w:pPr>
        <w:pStyle w:val="ListParagraph"/>
        <w:numPr>
          <w:ilvl w:val="0"/>
          <w:numId w:val="5"/>
        </w:numPr>
        <w:jc w:val="both"/>
      </w:pPr>
      <w:r>
        <w:t xml:space="preserve">Total length of </w:t>
      </w:r>
      <w:r w:rsidR="00BA779E">
        <w:t xml:space="preserve">the index </w:t>
      </w:r>
      <w:proofErr w:type="gramStart"/>
      <w:r>
        <w:t>stay</w:t>
      </w:r>
      <w:proofErr w:type="gramEnd"/>
      <w:r w:rsidR="00BA779E">
        <w:t xml:space="preserve"> (i.e. total bed days)</w:t>
      </w:r>
    </w:p>
    <w:p w14:paraId="44F70A3E" w14:textId="2CD61ADB" w:rsidR="001076F1" w:rsidRDefault="00BA779E" w:rsidP="001076F1">
      <w:pPr>
        <w:pStyle w:val="ListParagraph"/>
        <w:numPr>
          <w:ilvl w:val="0"/>
          <w:numId w:val="5"/>
        </w:numPr>
        <w:jc w:val="both"/>
      </w:pPr>
      <w:r>
        <w:t xml:space="preserve">Total leave days of the index </w:t>
      </w:r>
      <w:proofErr w:type="gramStart"/>
      <w:r>
        <w:t>stay</w:t>
      </w:r>
      <w:proofErr w:type="gramEnd"/>
    </w:p>
    <w:p w14:paraId="20CE7E75" w14:textId="2CD120EC" w:rsidR="00BA779E" w:rsidRDefault="00BA779E" w:rsidP="001076F1">
      <w:pPr>
        <w:pStyle w:val="ListParagraph"/>
        <w:numPr>
          <w:ilvl w:val="0"/>
          <w:numId w:val="5"/>
        </w:numPr>
        <w:jc w:val="both"/>
      </w:pPr>
      <w:r>
        <w:t xml:space="preserve">Total ATR days of the index </w:t>
      </w:r>
      <w:proofErr w:type="gramStart"/>
      <w:r>
        <w:t>stay</w:t>
      </w:r>
      <w:proofErr w:type="gramEnd"/>
    </w:p>
    <w:p w14:paraId="477E98D0" w14:textId="77777777" w:rsidR="00AD4642" w:rsidRDefault="00AD4642" w:rsidP="00AD4642">
      <w:pPr>
        <w:ind w:left="360"/>
        <w:jc w:val="both"/>
      </w:pPr>
      <w:r>
        <w:t>-------------</w:t>
      </w:r>
    </w:p>
    <w:p w14:paraId="205496FE" w14:textId="77777777" w:rsidR="00606D58" w:rsidRDefault="00606D58" w:rsidP="00606D58">
      <w:pPr>
        <w:pStyle w:val="ListParagraph"/>
        <w:numPr>
          <w:ilvl w:val="0"/>
          <w:numId w:val="5"/>
        </w:numPr>
        <w:jc w:val="both"/>
      </w:pPr>
      <w:r>
        <w:t>Service flags (</w:t>
      </w:r>
      <w:proofErr w:type="gramStart"/>
      <w:r>
        <w:t>e.g.</w:t>
      </w:r>
      <w:proofErr w:type="gramEnd"/>
      <w:r>
        <w:t xml:space="preserve"> ED short stays, Palliative care, etc.) (See section </w:t>
      </w:r>
      <w:r>
        <w:fldChar w:fldCharType="begin"/>
      </w:r>
      <w:r>
        <w:instrText xml:space="preserve"> REF _Ref457225667 \r \h </w:instrText>
      </w:r>
      <w:r>
        <w:fldChar w:fldCharType="separate"/>
      </w:r>
      <w:r w:rsidR="00DA17CE">
        <w:t>3.3</w:t>
      </w:r>
      <w:r>
        <w:fldChar w:fldCharType="end"/>
      </w:r>
      <w:r>
        <w:t xml:space="preserve"> above)</w:t>
      </w:r>
    </w:p>
    <w:p w14:paraId="1D9A8094" w14:textId="77777777" w:rsidR="0011330E" w:rsidRDefault="0011330E" w:rsidP="0011330E">
      <w:pPr>
        <w:jc w:val="both"/>
      </w:pPr>
    </w:p>
    <w:p w14:paraId="4D120DB9" w14:textId="471AD45C" w:rsidR="002615A2" w:rsidRDefault="002F2932" w:rsidP="002615A2">
      <w:pPr>
        <w:pStyle w:val="Heading3"/>
      </w:pPr>
      <w:bookmarkStart w:id="63" w:name="_Toc173318902"/>
      <w:r>
        <w:t>Sharing of q</w:t>
      </w:r>
      <w:r w:rsidR="002615A2">
        <w:t>uarterly results</w:t>
      </w:r>
      <w:bookmarkEnd w:id="63"/>
    </w:p>
    <w:p w14:paraId="6C2DE1D8" w14:textId="77777777" w:rsidR="00B54EB5" w:rsidRDefault="002615A2" w:rsidP="0011330E">
      <w:pPr>
        <w:jc w:val="both"/>
        <w:rPr>
          <w:rFonts w:ascii="Verdana" w:hAnsi="Verdana"/>
        </w:rPr>
      </w:pPr>
      <w:r>
        <w:rPr>
          <w:rFonts w:ascii="Verdana" w:hAnsi="Verdana"/>
        </w:rPr>
        <w:t>R</w:t>
      </w:r>
      <w:r w:rsidR="0011330E">
        <w:rPr>
          <w:rFonts w:ascii="Verdana" w:hAnsi="Verdana"/>
        </w:rPr>
        <w:t>esults</w:t>
      </w:r>
      <w:r w:rsidR="00A01981">
        <w:rPr>
          <w:rFonts w:ascii="Verdana" w:hAnsi="Verdana"/>
        </w:rPr>
        <w:t xml:space="preserve"> </w:t>
      </w:r>
      <w:r w:rsidR="00C01169">
        <w:rPr>
          <w:rFonts w:ascii="Verdana" w:hAnsi="Verdana"/>
        </w:rPr>
        <w:t>for</w:t>
      </w:r>
      <w:r w:rsidR="00A01981">
        <w:rPr>
          <w:rFonts w:ascii="Verdana" w:hAnsi="Verdana"/>
        </w:rPr>
        <w:t xml:space="preserve"> the quarter</w:t>
      </w:r>
      <w:r w:rsidR="0011330E">
        <w:rPr>
          <w:rFonts w:ascii="Verdana" w:hAnsi="Verdana"/>
        </w:rPr>
        <w:t xml:space="preserve"> will be issued </w:t>
      </w:r>
      <w:r>
        <w:rPr>
          <w:rFonts w:ascii="Verdana" w:hAnsi="Verdana"/>
        </w:rPr>
        <w:t xml:space="preserve">in two stages, interim </w:t>
      </w:r>
      <w:proofErr w:type="gramStart"/>
      <w:r>
        <w:rPr>
          <w:rFonts w:ascii="Verdana" w:hAnsi="Verdana"/>
        </w:rPr>
        <w:t>results</w:t>
      </w:r>
      <w:proofErr w:type="gramEnd"/>
      <w:r>
        <w:rPr>
          <w:rFonts w:ascii="Verdana" w:hAnsi="Verdana"/>
        </w:rPr>
        <w:t xml:space="preserve"> and final results. </w:t>
      </w:r>
      <w:r w:rsidR="0011330E">
        <w:rPr>
          <w:rFonts w:ascii="Verdana" w:hAnsi="Verdana"/>
        </w:rPr>
        <w:t>This is in reflection of the delayed readmission activities not being fully captured in the national collections that are relevant to the index stays ended in the reporting quarter.</w:t>
      </w:r>
      <w:r w:rsidR="00A01981">
        <w:rPr>
          <w:rFonts w:ascii="Verdana" w:hAnsi="Verdana"/>
        </w:rPr>
        <w:t xml:space="preserve">  </w:t>
      </w:r>
    </w:p>
    <w:p w14:paraId="1EE7B1FF" w14:textId="14180D79" w:rsidR="00B54EB5" w:rsidRDefault="00B54EB5" w:rsidP="0011330E">
      <w:pPr>
        <w:jc w:val="both"/>
        <w:rPr>
          <w:rFonts w:ascii="Verdana" w:hAnsi="Verdana"/>
        </w:rPr>
      </w:pPr>
      <w:r>
        <w:rPr>
          <w:rFonts w:ascii="Verdana" w:hAnsi="Verdana"/>
        </w:rPr>
        <w:t xml:space="preserve">Interim results cover index stays ended within the first two months of the three months in a quarter.  This is because, the model </w:t>
      </w:r>
      <w:proofErr w:type="gramStart"/>
      <w:r>
        <w:rPr>
          <w:rFonts w:ascii="Verdana" w:hAnsi="Verdana"/>
        </w:rPr>
        <w:t>takes into account</w:t>
      </w:r>
      <w:proofErr w:type="gramEnd"/>
      <w:r>
        <w:rPr>
          <w:rFonts w:ascii="Verdana" w:hAnsi="Verdana"/>
        </w:rPr>
        <w:t xml:space="preserve"> that some readmissions associated with the last month of index stays may not have been discharged or recorded in the national collections. </w:t>
      </w:r>
    </w:p>
    <w:p w14:paraId="2CDE134E" w14:textId="45D95363" w:rsidR="00B54EB5" w:rsidRDefault="00B54EB5" w:rsidP="0011330E">
      <w:pPr>
        <w:jc w:val="both"/>
        <w:rPr>
          <w:rFonts w:ascii="Verdana" w:hAnsi="Verdana"/>
        </w:rPr>
      </w:pPr>
      <w:proofErr w:type="gramStart"/>
      <w:r>
        <w:rPr>
          <w:rFonts w:ascii="Verdana" w:hAnsi="Verdana"/>
        </w:rPr>
        <w:t>Final results</w:t>
      </w:r>
      <w:proofErr w:type="gramEnd"/>
      <w:r>
        <w:rPr>
          <w:rFonts w:ascii="Verdana" w:hAnsi="Verdana"/>
        </w:rPr>
        <w:t xml:space="preserve"> cover a re-calculation of the quarter to cover index stays ended in all three months of the quarter </w:t>
      </w:r>
      <w:r w:rsidR="0080056F">
        <w:rPr>
          <w:rFonts w:ascii="Verdana" w:hAnsi="Verdana"/>
        </w:rPr>
        <w:t>in anticipating that most first event of readmissions would have been discharged and captured in the national collection</w:t>
      </w:r>
      <w:r w:rsidR="001A0F42">
        <w:rPr>
          <w:rFonts w:ascii="Verdana" w:hAnsi="Verdana"/>
        </w:rPr>
        <w:t>s</w:t>
      </w:r>
      <w:r w:rsidR="0080056F">
        <w:rPr>
          <w:rFonts w:ascii="Verdana" w:hAnsi="Verdana"/>
        </w:rPr>
        <w:t xml:space="preserve"> with an extra three months after the quarter ends</w:t>
      </w:r>
      <w:r w:rsidR="00CF5DFB">
        <w:rPr>
          <w:rFonts w:ascii="Verdana" w:hAnsi="Verdana"/>
        </w:rPr>
        <w:t xml:space="preserve"> for the 3, 7, 28 days readmission intervals in the model</w:t>
      </w:r>
      <w:r w:rsidR="0080056F">
        <w:rPr>
          <w:rFonts w:ascii="Verdana" w:hAnsi="Verdana"/>
        </w:rPr>
        <w:t>.</w:t>
      </w:r>
      <w:r w:rsidR="00CF5DFB">
        <w:rPr>
          <w:rFonts w:ascii="Verdana" w:hAnsi="Verdana"/>
        </w:rPr>
        <w:t xml:space="preserve">  An extra nine months after the quarter ends has been allowed for when measuring the 180 days readmission interval.</w:t>
      </w:r>
    </w:p>
    <w:p w14:paraId="21CD5D3A" w14:textId="283BF5A5" w:rsidR="0011330E" w:rsidRDefault="002615A2" w:rsidP="0011330E">
      <w:pPr>
        <w:jc w:val="both"/>
        <w:rPr>
          <w:rFonts w:ascii="Verdana" w:hAnsi="Verdana"/>
        </w:rPr>
      </w:pPr>
      <w:r>
        <w:rPr>
          <w:rFonts w:ascii="Verdana" w:hAnsi="Verdana"/>
        </w:rPr>
        <w:t xml:space="preserve">In general, </w:t>
      </w:r>
      <w:r w:rsidR="00B54EB5">
        <w:rPr>
          <w:rFonts w:ascii="Verdana" w:hAnsi="Verdana"/>
        </w:rPr>
        <w:t>report for each quarter covers index stays ended in that quarter and readmissions associated with those index stays.  For completeness purposes, the model extends its search for index stays started twelve months prior to the beginning of the</w:t>
      </w:r>
      <w:r w:rsidR="00D975DB">
        <w:rPr>
          <w:rFonts w:ascii="Verdana" w:hAnsi="Verdana"/>
        </w:rPr>
        <w:t xml:space="preserve"> </w:t>
      </w:r>
      <w:r w:rsidR="00B54EB5">
        <w:rPr>
          <w:rFonts w:ascii="Verdana" w:hAnsi="Verdana"/>
        </w:rPr>
        <w:t>quarter</w:t>
      </w:r>
      <w:r w:rsidR="00D975DB">
        <w:rPr>
          <w:rFonts w:ascii="Verdana" w:hAnsi="Verdana"/>
        </w:rPr>
        <w:t xml:space="preserve"> being measured</w:t>
      </w:r>
      <w:r w:rsidR="00B54EB5">
        <w:rPr>
          <w:rFonts w:ascii="Verdana" w:hAnsi="Verdana"/>
        </w:rPr>
        <w:t xml:space="preserve">. </w:t>
      </w:r>
      <w:r>
        <w:rPr>
          <w:rFonts w:ascii="Verdana" w:hAnsi="Verdana"/>
        </w:rPr>
        <w:t xml:space="preserve">Table 5 </w:t>
      </w:r>
      <w:r w:rsidR="00C70B09">
        <w:rPr>
          <w:rFonts w:ascii="Verdana" w:hAnsi="Verdana"/>
        </w:rPr>
        <w:t>below show</w:t>
      </w:r>
      <w:r w:rsidR="00EA692F">
        <w:rPr>
          <w:rFonts w:ascii="Verdana" w:hAnsi="Verdana"/>
        </w:rPr>
        <w:t>s</w:t>
      </w:r>
      <w:r>
        <w:rPr>
          <w:rFonts w:ascii="Verdana" w:hAnsi="Verdana"/>
        </w:rPr>
        <w:t xml:space="preserve"> example</w:t>
      </w:r>
      <w:r w:rsidR="00EA692F">
        <w:rPr>
          <w:rFonts w:ascii="Verdana" w:hAnsi="Verdana"/>
        </w:rPr>
        <w:t>s</w:t>
      </w:r>
      <w:r>
        <w:rPr>
          <w:rFonts w:ascii="Verdana" w:hAnsi="Verdana"/>
        </w:rPr>
        <w:t xml:space="preserve"> of how the reporting works.</w:t>
      </w:r>
    </w:p>
    <w:p w14:paraId="0E6200DA" w14:textId="4CCCD483" w:rsidR="00B10459" w:rsidRDefault="00B10459" w:rsidP="00B10459">
      <w:pPr>
        <w:keepNext/>
        <w:jc w:val="both"/>
        <w:rPr>
          <w:highlight w:val="yellow"/>
        </w:rPr>
      </w:pPr>
      <w:r w:rsidRPr="00EF3C25">
        <w:rPr>
          <w:b/>
        </w:rPr>
        <w:t>Table</w:t>
      </w:r>
      <w:r>
        <w:rPr>
          <w:b/>
        </w:rPr>
        <w:t xml:space="preserve"> 5</w:t>
      </w:r>
      <w:r w:rsidRPr="00EF3C25">
        <w:rPr>
          <w:b/>
        </w:rPr>
        <w:t xml:space="preserve">. </w:t>
      </w:r>
      <w:r>
        <w:rPr>
          <w:b/>
        </w:rPr>
        <w:t>Example</w:t>
      </w:r>
      <w:r w:rsidR="00EA692F">
        <w:rPr>
          <w:b/>
        </w:rPr>
        <w:t>s</w:t>
      </w:r>
      <w:r>
        <w:rPr>
          <w:b/>
        </w:rPr>
        <w:t xml:space="preserve"> of quarterly reporting</w:t>
      </w:r>
    </w:p>
    <w:tbl>
      <w:tblPr>
        <w:tblStyle w:val="TableGrid"/>
        <w:tblW w:w="0" w:type="auto"/>
        <w:tblLook w:val="04A0" w:firstRow="1" w:lastRow="0" w:firstColumn="1" w:lastColumn="0" w:noHBand="0" w:noVBand="1"/>
      </w:tblPr>
      <w:tblGrid>
        <w:gridCol w:w="1838"/>
        <w:gridCol w:w="1985"/>
        <w:gridCol w:w="1701"/>
        <w:gridCol w:w="1842"/>
        <w:gridCol w:w="1650"/>
      </w:tblGrid>
      <w:tr w:rsidR="00B10459" w14:paraId="0DC64AC8" w14:textId="77777777" w:rsidTr="00F66548">
        <w:tc>
          <w:tcPr>
            <w:tcW w:w="1838" w:type="dxa"/>
            <w:shd w:val="clear" w:color="auto" w:fill="D9D9D9" w:themeFill="background1" w:themeFillShade="D9"/>
          </w:tcPr>
          <w:p w14:paraId="27012B31" w14:textId="77777777" w:rsidR="00B10459" w:rsidRPr="00DA5CAE" w:rsidRDefault="00B10459" w:rsidP="00F66548">
            <w:pPr>
              <w:spacing w:before="0"/>
              <w:rPr>
                <w:b/>
              </w:rPr>
            </w:pPr>
            <w:r>
              <w:rPr>
                <w:b/>
              </w:rPr>
              <w:t>Q</w:t>
            </w:r>
            <w:r w:rsidRPr="00DA5CAE">
              <w:rPr>
                <w:b/>
              </w:rPr>
              <w:t>uarter being measured</w:t>
            </w:r>
          </w:p>
        </w:tc>
        <w:tc>
          <w:tcPr>
            <w:tcW w:w="3686" w:type="dxa"/>
            <w:gridSpan w:val="2"/>
            <w:shd w:val="clear" w:color="auto" w:fill="D9D9D9" w:themeFill="background1" w:themeFillShade="D9"/>
          </w:tcPr>
          <w:p w14:paraId="72E2CB8B" w14:textId="77777777" w:rsidR="00B10459" w:rsidRDefault="00B10459" w:rsidP="00F66548">
            <w:pPr>
              <w:spacing w:before="0"/>
              <w:jc w:val="center"/>
              <w:rPr>
                <w:b/>
              </w:rPr>
            </w:pPr>
            <w:r w:rsidRPr="00DA5CAE">
              <w:rPr>
                <w:b/>
              </w:rPr>
              <w:t>2016/17 Quarter 1</w:t>
            </w:r>
          </w:p>
          <w:p w14:paraId="01A77E0C" w14:textId="77777777" w:rsidR="00B10459" w:rsidRDefault="00B10459" w:rsidP="00F66548">
            <w:pPr>
              <w:spacing w:before="0"/>
              <w:jc w:val="center"/>
            </w:pPr>
            <w:r>
              <w:t>July to September 2016</w:t>
            </w:r>
          </w:p>
        </w:tc>
        <w:tc>
          <w:tcPr>
            <w:tcW w:w="3492" w:type="dxa"/>
            <w:gridSpan w:val="2"/>
            <w:shd w:val="clear" w:color="auto" w:fill="D9D9D9" w:themeFill="background1" w:themeFillShade="D9"/>
          </w:tcPr>
          <w:p w14:paraId="119B513A" w14:textId="77777777" w:rsidR="00B10459" w:rsidRDefault="00B10459" w:rsidP="00F66548">
            <w:pPr>
              <w:spacing w:before="0"/>
              <w:jc w:val="center"/>
              <w:rPr>
                <w:b/>
              </w:rPr>
            </w:pPr>
            <w:r w:rsidRPr="00DA5CAE">
              <w:rPr>
                <w:b/>
              </w:rPr>
              <w:t>2016/17 Quarter 2</w:t>
            </w:r>
          </w:p>
          <w:p w14:paraId="0E87E0C3" w14:textId="77777777" w:rsidR="00B10459" w:rsidRDefault="00B10459" w:rsidP="00F66548">
            <w:pPr>
              <w:spacing w:before="0"/>
              <w:jc w:val="center"/>
            </w:pPr>
            <w:r>
              <w:t>October to December 2016</w:t>
            </w:r>
          </w:p>
        </w:tc>
      </w:tr>
      <w:tr w:rsidR="00B10459" w14:paraId="6918B12F" w14:textId="77777777" w:rsidTr="00F66548">
        <w:tc>
          <w:tcPr>
            <w:tcW w:w="1838" w:type="dxa"/>
          </w:tcPr>
          <w:p w14:paraId="17CD9F45" w14:textId="77777777" w:rsidR="00B10459" w:rsidRPr="00DA5CAE" w:rsidRDefault="00B10459" w:rsidP="00F66548">
            <w:pPr>
              <w:spacing w:before="0"/>
              <w:rPr>
                <w:b/>
              </w:rPr>
            </w:pPr>
            <w:r w:rsidRPr="00DA5CAE">
              <w:rPr>
                <w:b/>
              </w:rPr>
              <w:t>Index stays ending</w:t>
            </w:r>
          </w:p>
        </w:tc>
        <w:tc>
          <w:tcPr>
            <w:tcW w:w="1985" w:type="dxa"/>
          </w:tcPr>
          <w:p w14:paraId="4663D542" w14:textId="77777777" w:rsidR="00B10459" w:rsidRDefault="00B10459" w:rsidP="00F66548">
            <w:pPr>
              <w:spacing w:before="0"/>
              <w:jc w:val="center"/>
            </w:pPr>
            <w:r>
              <w:t>July to August 2016 (2 months)</w:t>
            </w:r>
          </w:p>
        </w:tc>
        <w:tc>
          <w:tcPr>
            <w:tcW w:w="1701" w:type="dxa"/>
          </w:tcPr>
          <w:p w14:paraId="7EF931D8" w14:textId="77777777" w:rsidR="00B10459" w:rsidRDefault="00B10459" w:rsidP="00F66548">
            <w:pPr>
              <w:spacing w:before="0"/>
              <w:jc w:val="center"/>
            </w:pPr>
            <w:r>
              <w:t>July to September 2016</w:t>
            </w:r>
          </w:p>
        </w:tc>
        <w:tc>
          <w:tcPr>
            <w:tcW w:w="1842" w:type="dxa"/>
          </w:tcPr>
          <w:p w14:paraId="38FA28C0" w14:textId="77777777" w:rsidR="00B10459" w:rsidRDefault="00B10459" w:rsidP="00F66548">
            <w:pPr>
              <w:spacing w:before="0"/>
              <w:jc w:val="center"/>
            </w:pPr>
            <w:r>
              <w:t>October to November 2016 (2 months)</w:t>
            </w:r>
          </w:p>
        </w:tc>
        <w:tc>
          <w:tcPr>
            <w:tcW w:w="1650" w:type="dxa"/>
          </w:tcPr>
          <w:p w14:paraId="6FFA1C33" w14:textId="77777777" w:rsidR="00B10459" w:rsidRDefault="00B10459" w:rsidP="00F66548">
            <w:pPr>
              <w:spacing w:before="0"/>
              <w:jc w:val="center"/>
            </w:pPr>
            <w:r>
              <w:t>October to December 2016</w:t>
            </w:r>
          </w:p>
        </w:tc>
      </w:tr>
      <w:tr w:rsidR="00B10459" w14:paraId="3C437FB3" w14:textId="77777777" w:rsidTr="00F66548">
        <w:tc>
          <w:tcPr>
            <w:tcW w:w="1838" w:type="dxa"/>
          </w:tcPr>
          <w:p w14:paraId="73523E33" w14:textId="77777777" w:rsidR="00B10459" w:rsidRPr="00DA5CAE" w:rsidRDefault="00B10459" w:rsidP="00F66548">
            <w:pPr>
              <w:spacing w:before="0"/>
              <w:rPr>
                <w:b/>
              </w:rPr>
            </w:pPr>
            <w:r w:rsidRPr="00DA5CAE">
              <w:rPr>
                <w:b/>
              </w:rPr>
              <w:t>Index stays starting</w:t>
            </w:r>
          </w:p>
        </w:tc>
        <w:tc>
          <w:tcPr>
            <w:tcW w:w="1985" w:type="dxa"/>
          </w:tcPr>
          <w:p w14:paraId="35291A79" w14:textId="77777777" w:rsidR="00B10459" w:rsidRDefault="00B10459" w:rsidP="00F66548">
            <w:pPr>
              <w:spacing w:before="0"/>
              <w:jc w:val="center"/>
            </w:pPr>
            <w:r>
              <w:t>July 2015 to August 2016 (14 months)</w:t>
            </w:r>
          </w:p>
        </w:tc>
        <w:tc>
          <w:tcPr>
            <w:tcW w:w="1701" w:type="dxa"/>
          </w:tcPr>
          <w:p w14:paraId="04E955D3" w14:textId="77777777" w:rsidR="00B10459" w:rsidRDefault="00B10459" w:rsidP="00F66548">
            <w:pPr>
              <w:spacing w:before="0"/>
              <w:jc w:val="center"/>
            </w:pPr>
            <w:r>
              <w:t>July 2015 to September 2016 (15 months)</w:t>
            </w:r>
          </w:p>
        </w:tc>
        <w:tc>
          <w:tcPr>
            <w:tcW w:w="1842" w:type="dxa"/>
          </w:tcPr>
          <w:p w14:paraId="068E262B" w14:textId="77777777" w:rsidR="00B10459" w:rsidRDefault="00B10459" w:rsidP="00F66548">
            <w:pPr>
              <w:spacing w:before="0"/>
              <w:jc w:val="center"/>
            </w:pPr>
            <w:r>
              <w:t>October 2015 to November 2016 (14 months)</w:t>
            </w:r>
          </w:p>
        </w:tc>
        <w:tc>
          <w:tcPr>
            <w:tcW w:w="1650" w:type="dxa"/>
          </w:tcPr>
          <w:p w14:paraId="165B0109" w14:textId="77777777" w:rsidR="00B10459" w:rsidRDefault="00B10459" w:rsidP="00F66548">
            <w:pPr>
              <w:spacing w:before="0"/>
              <w:jc w:val="center"/>
            </w:pPr>
            <w:r>
              <w:t>October 2015 to December 2016 (15 months)</w:t>
            </w:r>
          </w:p>
        </w:tc>
      </w:tr>
      <w:tr w:rsidR="00B10459" w14:paraId="4EFC3134" w14:textId="77777777" w:rsidTr="00F66548">
        <w:tc>
          <w:tcPr>
            <w:tcW w:w="1838" w:type="dxa"/>
          </w:tcPr>
          <w:p w14:paraId="0688533D" w14:textId="77777777" w:rsidR="00B10459" w:rsidRPr="00DA5CAE" w:rsidRDefault="00B10459" w:rsidP="00F66548">
            <w:pPr>
              <w:spacing w:before="0"/>
              <w:rPr>
                <w:b/>
              </w:rPr>
            </w:pPr>
            <w:r>
              <w:rPr>
                <w:b/>
              </w:rPr>
              <w:t>Results status</w:t>
            </w:r>
          </w:p>
        </w:tc>
        <w:tc>
          <w:tcPr>
            <w:tcW w:w="1985" w:type="dxa"/>
          </w:tcPr>
          <w:p w14:paraId="36EE0D8C" w14:textId="77777777" w:rsidR="00B10459" w:rsidRDefault="00B10459" w:rsidP="00F66548">
            <w:pPr>
              <w:spacing w:before="0"/>
              <w:jc w:val="center"/>
            </w:pPr>
            <w:r>
              <w:t>Interim</w:t>
            </w:r>
          </w:p>
        </w:tc>
        <w:tc>
          <w:tcPr>
            <w:tcW w:w="1701" w:type="dxa"/>
          </w:tcPr>
          <w:p w14:paraId="658A8B26" w14:textId="77777777" w:rsidR="00B10459" w:rsidRDefault="00B10459" w:rsidP="00F66548">
            <w:pPr>
              <w:spacing w:before="0"/>
              <w:jc w:val="center"/>
            </w:pPr>
            <w:r>
              <w:t>Final (rerun)</w:t>
            </w:r>
          </w:p>
        </w:tc>
        <w:tc>
          <w:tcPr>
            <w:tcW w:w="1842" w:type="dxa"/>
          </w:tcPr>
          <w:p w14:paraId="0F092219" w14:textId="77777777" w:rsidR="00B10459" w:rsidRDefault="00B10459" w:rsidP="00F66548">
            <w:pPr>
              <w:spacing w:before="0"/>
              <w:jc w:val="center"/>
            </w:pPr>
            <w:r>
              <w:t>Interim</w:t>
            </w:r>
          </w:p>
        </w:tc>
        <w:tc>
          <w:tcPr>
            <w:tcW w:w="1650" w:type="dxa"/>
          </w:tcPr>
          <w:p w14:paraId="6C6DE522" w14:textId="77777777" w:rsidR="00B10459" w:rsidRDefault="00B10459" w:rsidP="00F66548">
            <w:pPr>
              <w:spacing w:before="0"/>
              <w:jc w:val="center"/>
            </w:pPr>
            <w:r>
              <w:t>Final (rerun)</w:t>
            </w:r>
          </w:p>
        </w:tc>
      </w:tr>
      <w:tr w:rsidR="00B10459" w:rsidRPr="00B10459" w14:paraId="4E299418" w14:textId="77777777" w:rsidTr="00F66548">
        <w:tc>
          <w:tcPr>
            <w:tcW w:w="9016" w:type="dxa"/>
            <w:gridSpan w:val="5"/>
          </w:tcPr>
          <w:p w14:paraId="24A44CF8" w14:textId="5AA01CAD" w:rsidR="00B10459" w:rsidRPr="00B10459" w:rsidRDefault="00B10459" w:rsidP="00B10459">
            <w:pPr>
              <w:spacing w:before="0"/>
              <w:jc w:val="center"/>
              <w:rPr>
                <w:b/>
              </w:rPr>
            </w:pPr>
            <w:r w:rsidRPr="00B10459">
              <w:rPr>
                <w:b/>
              </w:rPr>
              <w:t>For the 3, 7, 28 days intervals</w:t>
            </w:r>
          </w:p>
        </w:tc>
      </w:tr>
      <w:tr w:rsidR="00B10459" w14:paraId="10695094" w14:textId="77777777" w:rsidTr="00F66548">
        <w:tc>
          <w:tcPr>
            <w:tcW w:w="1838" w:type="dxa"/>
          </w:tcPr>
          <w:p w14:paraId="44A54A7A" w14:textId="77777777" w:rsidR="00B10459" w:rsidRPr="00DA5CAE" w:rsidRDefault="00B10459" w:rsidP="00F66548">
            <w:pPr>
              <w:spacing w:before="0"/>
              <w:rPr>
                <w:b/>
              </w:rPr>
            </w:pPr>
            <w:r w:rsidRPr="00DA5CAE">
              <w:rPr>
                <w:b/>
              </w:rPr>
              <w:t>Readmission stays starting</w:t>
            </w:r>
          </w:p>
        </w:tc>
        <w:tc>
          <w:tcPr>
            <w:tcW w:w="1985" w:type="dxa"/>
          </w:tcPr>
          <w:p w14:paraId="14271685" w14:textId="77777777" w:rsidR="00B10459" w:rsidRDefault="00B10459" w:rsidP="00F66548">
            <w:pPr>
              <w:spacing w:before="0"/>
              <w:jc w:val="center"/>
            </w:pPr>
            <w:r>
              <w:t>July to September 2016</w:t>
            </w:r>
          </w:p>
        </w:tc>
        <w:tc>
          <w:tcPr>
            <w:tcW w:w="1701" w:type="dxa"/>
          </w:tcPr>
          <w:p w14:paraId="3A97AAE2" w14:textId="77777777" w:rsidR="00B10459" w:rsidRDefault="00B10459" w:rsidP="00F66548">
            <w:pPr>
              <w:spacing w:before="0"/>
              <w:jc w:val="center"/>
            </w:pPr>
            <w:r>
              <w:t>July to October 2016</w:t>
            </w:r>
          </w:p>
        </w:tc>
        <w:tc>
          <w:tcPr>
            <w:tcW w:w="1842" w:type="dxa"/>
          </w:tcPr>
          <w:p w14:paraId="67836D47" w14:textId="77777777" w:rsidR="00B10459" w:rsidRDefault="00B10459" w:rsidP="00F66548">
            <w:pPr>
              <w:spacing w:before="0"/>
              <w:jc w:val="center"/>
            </w:pPr>
            <w:r>
              <w:t>October to December 2016</w:t>
            </w:r>
          </w:p>
        </w:tc>
        <w:tc>
          <w:tcPr>
            <w:tcW w:w="1650" w:type="dxa"/>
          </w:tcPr>
          <w:p w14:paraId="38041A14" w14:textId="77777777" w:rsidR="00B10459" w:rsidRDefault="00B10459" w:rsidP="00F66548">
            <w:pPr>
              <w:spacing w:before="0"/>
              <w:jc w:val="center"/>
            </w:pPr>
            <w:r>
              <w:t>October 2016 to January 2017</w:t>
            </w:r>
          </w:p>
        </w:tc>
      </w:tr>
      <w:tr w:rsidR="00B10459" w14:paraId="41FAB40B" w14:textId="77777777" w:rsidTr="00F66548">
        <w:tc>
          <w:tcPr>
            <w:tcW w:w="1838" w:type="dxa"/>
          </w:tcPr>
          <w:p w14:paraId="0B2FA3C1" w14:textId="77777777" w:rsidR="00B10459" w:rsidRPr="00DA5CAE" w:rsidRDefault="00B10459" w:rsidP="00F66548">
            <w:pPr>
              <w:spacing w:before="0"/>
              <w:rPr>
                <w:b/>
              </w:rPr>
            </w:pPr>
            <w:r w:rsidRPr="00DA5CAE">
              <w:rPr>
                <w:b/>
              </w:rPr>
              <w:t>Result</w:t>
            </w:r>
            <w:r>
              <w:rPr>
                <w:b/>
              </w:rPr>
              <w:t>s</w:t>
            </w:r>
            <w:r w:rsidRPr="00DA5CAE">
              <w:rPr>
                <w:b/>
              </w:rPr>
              <w:t xml:space="preserve"> </w:t>
            </w:r>
            <w:r>
              <w:rPr>
                <w:b/>
              </w:rPr>
              <w:t>available</w:t>
            </w:r>
          </w:p>
        </w:tc>
        <w:tc>
          <w:tcPr>
            <w:tcW w:w="1985" w:type="dxa"/>
          </w:tcPr>
          <w:p w14:paraId="3DA9CAB7" w14:textId="77777777" w:rsidR="00B10459" w:rsidRDefault="00B10459" w:rsidP="00F66548">
            <w:pPr>
              <w:spacing w:before="0"/>
              <w:jc w:val="center"/>
            </w:pPr>
            <w:r>
              <w:t>November / December 2016</w:t>
            </w:r>
          </w:p>
        </w:tc>
        <w:tc>
          <w:tcPr>
            <w:tcW w:w="1701" w:type="dxa"/>
          </w:tcPr>
          <w:p w14:paraId="35D29507" w14:textId="77777777" w:rsidR="00B10459" w:rsidRDefault="00B10459" w:rsidP="00F66548">
            <w:pPr>
              <w:spacing w:before="0"/>
              <w:jc w:val="center"/>
            </w:pPr>
            <w:r>
              <w:t>February / March 2017</w:t>
            </w:r>
          </w:p>
        </w:tc>
        <w:tc>
          <w:tcPr>
            <w:tcW w:w="1842" w:type="dxa"/>
          </w:tcPr>
          <w:p w14:paraId="6AABF4B9" w14:textId="77777777" w:rsidR="00B10459" w:rsidRDefault="00B10459" w:rsidP="00F66548">
            <w:pPr>
              <w:spacing w:before="0"/>
              <w:jc w:val="center"/>
            </w:pPr>
            <w:r>
              <w:t>February / March 2017</w:t>
            </w:r>
          </w:p>
        </w:tc>
        <w:tc>
          <w:tcPr>
            <w:tcW w:w="1650" w:type="dxa"/>
          </w:tcPr>
          <w:p w14:paraId="61D84C79" w14:textId="77777777" w:rsidR="00B10459" w:rsidRDefault="00B10459" w:rsidP="00F66548">
            <w:pPr>
              <w:spacing w:before="0"/>
              <w:jc w:val="center"/>
            </w:pPr>
            <w:r>
              <w:t>May / June 2017</w:t>
            </w:r>
          </w:p>
        </w:tc>
      </w:tr>
      <w:tr w:rsidR="00B10459" w:rsidRPr="00B10459" w14:paraId="69DE8AC9" w14:textId="77777777" w:rsidTr="00F66548">
        <w:tc>
          <w:tcPr>
            <w:tcW w:w="9016" w:type="dxa"/>
            <w:gridSpan w:val="5"/>
          </w:tcPr>
          <w:p w14:paraId="41D6D60D" w14:textId="43C0DBCD" w:rsidR="00B10459" w:rsidRPr="00B10459" w:rsidRDefault="00B10459" w:rsidP="00B10459">
            <w:pPr>
              <w:spacing w:before="0"/>
              <w:jc w:val="center"/>
              <w:rPr>
                <w:b/>
              </w:rPr>
            </w:pPr>
            <w:r w:rsidRPr="00B10459">
              <w:rPr>
                <w:b/>
              </w:rPr>
              <w:t>For the 180 days intervals</w:t>
            </w:r>
          </w:p>
        </w:tc>
      </w:tr>
      <w:tr w:rsidR="00B10459" w14:paraId="48737096" w14:textId="77777777" w:rsidTr="00F66548">
        <w:tc>
          <w:tcPr>
            <w:tcW w:w="1838" w:type="dxa"/>
          </w:tcPr>
          <w:p w14:paraId="0A59BDB7" w14:textId="77777777" w:rsidR="00B10459" w:rsidRPr="00DA5CAE" w:rsidRDefault="00B10459" w:rsidP="00F66548">
            <w:pPr>
              <w:spacing w:before="0"/>
              <w:rPr>
                <w:b/>
              </w:rPr>
            </w:pPr>
            <w:r w:rsidRPr="00DA5CAE">
              <w:rPr>
                <w:b/>
              </w:rPr>
              <w:t>Readmission stays starting</w:t>
            </w:r>
          </w:p>
        </w:tc>
        <w:tc>
          <w:tcPr>
            <w:tcW w:w="1985" w:type="dxa"/>
          </w:tcPr>
          <w:p w14:paraId="2FCFDA31" w14:textId="77777777" w:rsidR="00B10459" w:rsidRDefault="00B10459" w:rsidP="00F66548">
            <w:pPr>
              <w:spacing w:before="0"/>
              <w:jc w:val="center"/>
            </w:pPr>
            <w:r>
              <w:t>January to March 2017</w:t>
            </w:r>
          </w:p>
        </w:tc>
        <w:tc>
          <w:tcPr>
            <w:tcW w:w="1701" w:type="dxa"/>
          </w:tcPr>
          <w:p w14:paraId="53F252EE" w14:textId="77777777" w:rsidR="00B10459" w:rsidRDefault="00B10459" w:rsidP="00F66548">
            <w:pPr>
              <w:spacing w:before="0"/>
              <w:jc w:val="center"/>
            </w:pPr>
            <w:r>
              <w:t>January to April 2017</w:t>
            </w:r>
          </w:p>
        </w:tc>
        <w:tc>
          <w:tcPr>
            <w:tcW w:w="1842" w:type="dxa"/>
          </w:tcPr>
          <w:p w14:paraId="12645918" w14:textId="77777777" w:rsidR="00B10459" w:rsidRDefault="00B10459" w:rsidP="00F66548">
            <w:pPr>
              <w:spacing w:before="0"/>
              <w:jc w:val="center"/>
            </w:pPr>
            <w:r>
              <w:t>April to June 2017</w:t>
            </w:r>
          </w:p>
        </w:tc>
        <w:tc>
          <w:tcPr>
            <w:tcW w:w="1650" w:type="dxa"/>
          </w:tcPr>
          <w:p w14:paraId="2EBA9F06" w14:textId="77777777" w:rsidR="00B10459" w:rsidRDefault="00B10459" w:rsidP="00F66548">
            <w:pPr>
              <w:spacing w:before="0"/>
              <w:jc w:val="center"/>
            </w:pPr>
            <w:r>
              <w:t>April to July 2017</w:t>
            </w:r>
          </w:p>
        </w:tc>
      </w:tr>
      <w:tr w:rsidR="00B10459" w14:paraId="631773C6" w14:textId="77777777" w:rsidTr="00F66548">
        <w:tc>
          <w:tcPr>
            <w:tcW w:w="1838" w:type="dxa"/>
          </w:tcPr>
          <w:p w14:paraId="2A654F6B" w14:textId="77777777" w:rsidR="00B10459" w:rsidRPr="00DA5CAE" w:rsidRDefault="00B10459" w:rsidP="00F66548">
            <w:pPr>
              <w:spacing w:before="0"/>
              <w:rPr>
                <w:b/>
              </w:rPr>
            </w:pPr>
            <w:r w:rsidRPr="00DA5CAE">
              <w:rPr>
                <w:b/>
              </w:rPr>
              <w:t>Result</w:t>
            </w:r>
            <w:r>
              <w:rPr>
                <w:b/>
              </w:rPr>
              <w:t>s</w:t>
            </w:r>
            <w:r w:rsidRPr="00DA5CAE">
              <w:rPr>
                <w:b/>
              </w:rPr>
              <w:t xml:space="preserve"> </w:t>
            </w:r>
            <w:r>
              <w:rPr>
                <w:b/>
              </w:rPr>
              <w:t>available</w:t>
            </w:r>
          </w:p>
        </w:tc>
        <w:tc>
          <w:tcPr>
            <w:tcW w:w="1985" w:type="dxa"/>
          </w:tcPr>
          <w:p w14:paraId="0BA47CD6" w14:textId="77777777" w:rsidR="00B10459" w:rsidRDefault="00B10459" w:rsidP="00F66548">
            <w:pPr>
              <w:spacing w:before="0"/>
              <w:jc w:val="center"/>
            </w:pPr>
            <w:r>
              <w:t>May / June 2017</w:t>
            </w:r>
          </w:p>
        </w:tc>
        <w:tc>
          <w:tcPr>
            <w:tcW w:w="1701" w:type="dxa"/>
          </w:tcPr>
          <w:p w14:paraId="4055E3BA" w14:textId="77777777" w:rsidR="00B10459" w:rsidRDefault="00B10459" w:rsidP="00F66548">
            <w:pPr>
              <w:spacing w:before="0"/>
              <w:jc w:val="center"/>
            </w:pPr>
            <w:r>
              <w:t>August / September 2017</w:t>
            </w:r>
          </w:p>
        </w:tc>
        <w:tc>
          <w:tcPr>
            <w:tcW w:w="1842" w:type="dxa"/>
          </w:tcPr>
          <w:p w14:paraId="3A0E2313" w14:textId="77777777" w:rsidR="00B10459" w:rsidRDefault="00B10459" w:rsidP="00F66548">
            <w:pPr>
              <w:spacing w:before="0"/>
              <w:jc w:val="center"/>
            </w:pPr>
            <w:r>
              <w:t>August / September 2017</w:t>
            </w:r>
          </w:p>
        </w:tc>
        <w:tc>
          <w:tcPr>
            <w:tcW w:w="1650" w:type="dxa"/>
          </w:tcPr>
          <w:p w14:paraId="4B6454D6" w14:textId="77777777" w:rsidR="00B10459" w:rsidRDefault="00B10459" w:rsidP="00F66548">
            <w:pPr>
              <w:spacing w:before="0"/>
              <w:jc w:val="center"/>
            </w:pPr>
            <w:r>
              <w:t>November / December 2017</w:t>
            </w:r>
          </w:p>
        </w:tc>
      </w:tr>
    </w:tbl>
    <w:p w14:paraId="0AABC6B6" w14:textId="77777777" w:rsidR="00B10459" w:rsidRDefault="00B10459" w:rsidP="0011330E">
      <w:pPr>
        <w:jc w:val="both"/>
      </w:pPr>
    </w:p>
    <w:p w14:paraId="4860666A" w14:textId="07AB5D6A" w:rsidR="00814B8E" w:rsidRPr="001F7ECC" w:rsidRDefault="00814B8E" w:rsidP="004B6974">
      <w:pPr>
        <w:pStyle w:val="Heading2"/>
        <w:jc w:val="both"/>
      </w:pPr>
      <w:bookmarkStart w:id="64" w:name="_Toc173318903"/>
      <w:r w:rsidRPr="001F7ECC">
        <w:t>Explanation</w:t>
      </w:r>
      <w:bookmarkEnd w:id="64"/>
    </w:p>
    <w:p w14:paraId="4FE5B94E" w14:textId="3E92F39B" w:rsidR="00606D58" w:rsidRDefault="00606D58" w:rsidP="00606D58">
      <w:pPr>
        <w:jc w:val="both"/>
      </w:pPr>
      <w:r w:rsidRPr="001F7ECC">
        <w:t xml:space="preserve">Standardisation is often used when comparing rates </w:t>
      </w:r>
      <w:r>
        <w:t xml:space="preserve">or ratios </w:t>
      </w:r>
      <w:r w:rsidRPr="001F7ECC">
        <w:t xml:space="preserve">between </w:t>
      </w:r>
      <w:r>
        <w:t>different groups</w:t>
      </w:r>
      <w:r w:rsidRPr="001F7ECC">
        <w:t xml:space="preserve">, for example different </w:t>
      </w:r>
      <w:r w:rsidR="006202DF">
        <w:t>D</w:t>
      </w:r>
      <w:r w:rsidR="0042754E">
        <w:t>istrict</w:t>
      </w:r>
      <w:r w:rsidRPr="001F7ECC">
        <w:t xml:space="preserve">s or health services. Rates are often standardised by </w:t>
      </w:r>
      <w:r>
        <w:t xml:space="preserve">risk factors so that these factors or </w:t>
      </w:r>
      <w:r w:rsidRPr="00813CD7">
        <w:t xml:space="preserve">variables measured at different </w:t>
      </w:r>
      <w:r>
        <w:t xml:space="preserve">scenarios </w:t>
      </w:r>
      <w:r w:rsidRPr="00813CD7">
        <w:t>contribute</w:t>
      </w:r>
      <w:r>
        <w:t>s</w:t>
      </w:r>
      <w:r w:rsidRPr="00813CD7">
        <w:t xml:space="preserve"> equally to the analysis.</w:t>
      </w:r>
      <w:r>
        <w:t xml:space="preserve">  </w:t>
      </w:r>
    </w:p>
    <w:p w14:paraId="3B02C64B" w14:textId="77777777" w:rsidR="00606D58" w:rsidRPr="001F7ECC" w:rsidRDefault="00606D58" w:rsidP="00606D58">
      <w:pPr>
        <w:jc w:val="both"/>
      </w:pPr>
      <w:r>
        <w:t xml:space="preserve">For instance, </w:t>
      </w:r>
      <w:r w:rsidRPr="001F7ECC">
        <w:t xml:space="preserve">the prevalence of many conditions is associated with age which makes age one of the major confounding factors for explaining differences between groups. </w:t>
      </w:r>
      <w:r>
        <w:t xml:space="preserve">It could reflect that </w:t>
      </w:r>
      <w:r w:rsidRPr="001F7ECC">
        <w:t xml:space="preserve">older people are more likely to get long term conditions than younger people. </w:t>
      </w:r>
      <w:r>
        <w:t>Controlling for age would allow the data to be t</w:t>
      </w:r>
      <w:r w:rsidRPr="00813CD7">
        <w:t>r</w:t>
      </w:r>
      <w:r>
        <w:t>ansformed</w:t>
      </w:r>
      <w:r w:rsidRPr="00813CD7">
        <w:t xml:space="preserve"> </w:t>
      </w:r>
      <w:r>
        <w:t>in</w:t>
      </w:r>
      <w:r w:rsidRPr="00813CD7">
        <w:t xml:space="preserve">to </w:t>
      </w:r>
      <w:r>
        <w:t>a more compatible state.</w:t>
      </w:r>
    </w:p>
    <w:p w14:paraId="747E06BB" w14:textId="3DDF3320" w:rsidR="00606D58" w:rsidRDefault="006202DF" w:rsidP="00606D58">
      <w:pPr>
        <w:jc w:val="both"/>
      </w:pPr>
      <w:r>
        <w:t>D</w:t>
      </w:r>
      <w:r w:rsidR="0042754E">
        <w:t>istrict</w:t>
      </w:r>
      <w:r w:rsidR="00606D58">
        <w:t xml:space="preserve">s and facilities have different types of specialties and serve different types of patients. </w:t>
      </w:r>
      <w:proofErr w:type="gramStart"/>
      <w:r w:rsidR="00606D58">
        <w:t>Therefore</w:t>
      </w:r>
      <w:proofErr w:type="gramEnd"/>
      <w:r w:rsidR="00606D58">
        <w:t xml:space="preserve"> unadjusted readmission rates (i.e. the observed number of readmission stays divided by the observed number of index stays) cannot be used to compare against the national readmission rate average or other </w:t>
      </w:r>
      <w:r>
        <w:t>D</w:t>
      </w:r>
      <w:r w:rsidR="0042754E">
        <w:t>istrict</w:t>
      </w:r>
      <w:r w:rsidR="00606D58">
        <w:t xml:space="preserve">s.  This is because the differences in patient characteristics between the groups have not been </w:t>
      </w:r>
      <w:proofErr w:type="gramStart"/>
      <w:r w:rsidR="00606D58">
        <w:t>taken into account</w:t>
      </w:r>
      <w:proofErr w:type="gramEnd"/>
      <w:r w:rsidR="00606D58">
        <w:t>.</w:t>
      </w:r>
    </w:p>
    <w:p w14:paraId="21D52BD2" w14:textId="76312253" w:rsidR="00606D58" w:rsidRDefault="00606D58" w:rsidP="00606D58">
      <w:pPr>
        <w:jc w:val="both"/>
      </w:pPr>
      <w:r>
        <w:t>Learning from the national data, a logistic regression formula is derived to enable the calculation of the probability of readmission taking into account the characteristics of the stays (</w:t>
      </w:r>
      <w:proofErr w:type="gramStart"/>
      <w:r>
        <w:t>i.e.</w:t>
      </w:r>
      <w:proofErr w:type="gramEnd"/>
      <w:r>
        <w:t xml:space="preserve"> the risk factors in </w:t>
      </w:r>
      <w:r w:rsidRPr="008A7CFC">
        <w:t xml:space="preserve">section </w:t>
      </w:r>
      <w:r w:rsidRPr="008A7CFC">
        <w:fldChar w:fldCharType="begin"/>
      </w:r>
      <w:r w:rsidRPr="008A7CFC">
        <w:instrText xml:space="preserve"> REF _Ref457295165 \r \h </w:instrText>
      </w:r>
      <w:r>
        <w:instrText xml:space="preserve"> \* MERGEFORMAT </w:instrText>
      </w:r>
      <w:r w:rsidRPr="008A7CFC">
        <w:fldChar w:fldCharType="separate"/>
      </w:r>
      <w:r w:rsidR="00DA17CE">
        <w:t>4.1</w:t>
      </w:r>
      <w:r w:rsidRPr="008A7CFC">
        <w:fldChar w:fldCharType="end"/>
      </w:r>
      <w:r w:rsidRPr="008A7CFC">
        <w:t xml:space="preserve"> </w:t>
      </w:r>
      <w:r>
        <w:t xml:space="preserve">above). This was then applied to the reporting period for individual </w:t>
      </w:r>
      <w:r w:rsidR="006202DF">
        <w:t>D</w:t>
      </w:r>
      <w:r w:rsidR="0042754E">
        <w:t>istrict</w:t>
      </w:r>
      <w:r>
        <w:t xml:space="preserve">s at a stay level to calculate the probability of readmission for each stay.  Probability of readmission for each stay were then aggregated up to form the predicted number of </w:t>
      </w:r>
      <w:proofErr w:type="gramStart"/>
      <w:r>
        <w:t>readmission</w:t>
      </w:r>
      <w:proofErr w:type="gramEnd"/>
      <w:r>
        <w:t xml:space="preserve"> stays for that </w:t>
      </w:r>
      <w:r w:rsidR="006202DF">
        <w:t>D</w:t>
      </w:r>
      <w:r w:rsidR="0042754E">
        <w:t>istrict</w:t>
      </w:r>
      <w:r>
        <w:t>.</w:t>
      </w:r>
    </w:p>
    <w:p w14:paraId="09FEE2BF" w14:textId="2B2CF0CE" w:rsidR="00606D58" w:rsidRDefault="006202DF" w:rsidP="00606D58">
      <w:pPr>
        <w:jc w:val="both"/>
      </w:pPr>
      <w:r>
        <w:t>D</w:t>
      </w:r>
      <w:r w:rsidR="0042754E">
        <w:t>istrict</w:t>
      </w:r>
      <w:r w:rsidR="00606D58">
        <w:t xml:space="preserve"> s</w:t>
      </w:r>
      <w:r w:rsidR="00606D58" w:rsidRPr="008A7CFC">
        <w:t xml:space="preserve">tandardised readmission ratio is calculated using the observed number of </w:t>
      </w:r>
      <w:proofErr w:type="gramStart"/>
      <w:r w:rsidR="00606D58" w:rsidRPr="008A7CFC">
        <w:t>readmission</w:t>
      </w:r>
      <w:proofErr w:type="gramEnd"/>
      <w:r w:rsidR="00606D58" w:rsidRPr="008A7CFC">
        <w:t xml:space="preserve"> stays divided by </w:t>
      </w:r>
      <w:r w:rsidR="00606D58">
        <w:t xml:space="preserve">the </w:t>
      </w:r>
      <w:r w:rsidR="00606D58" w:rsidRPr="008A7CFC">
        <w:t xml:space="preserve">predicted number of readmission stays </w:t>
      </w:r>
      <w:r w:rsidR="00606D58">
        <w:t xml:space="preserve">for that </w:t>
      </w:r>
      <w:r>
        <w:t>D</w:t>
      </w:r>
      <w:r w:rsidR="0042754E">
        <w:t>istrict</w:t>
      </w:r>
      <w:r w:rsidR="00606D58" w:rsidRPr="008A7CFC">
        <w:t xml:space="preserve">. </w:t>
      </w:r>
      <w:r w:rsidR="00606D58">
        <w:t xml:space="preserve">It </w:t>
      </w:r>
      <w:r w:rsidR="00606D58" w:rsidRPr="008A7CFC">
        <w:t xml:space="preserve">is a form of indirect standardisation. </w:t>
      </w:r>
    </w:p>
    <w:p w14:paraId="124D697E" w14:textId="17C24AD1" w:rsidR="00606D58" w:rsidRDefault="00606D58" w:rsidP="00606D58">
      <w:pPr>
        <w:jc w:val="both"/>
      </w:pPr>
      <w:r>
        <w:t xml:space="preserve">The indirect standardisation process does not take into account the differences in patient characteristics between </w:t>
      </w:r>
      <w:proofErr w:type="gramStart"/>
      <w:r w:rsidR="006202DF">
        <w:t>D</w:t>
      </w:r>
      <w:r w:rsidR="0042754E">
        <w:t>istrict</w:t>
      </w:r>
      <w:r>
        <w:t>s,</w:t>
      </w:r>
      <w:proofErr w:type="gramEnd"/>
      <w:r>
        <w:t xml:space="preserve"> therefore it is not advised to compare the indirectly standardised readmission ratios between </w:t>
      </w:r>
      <w:r w:rsidR="006202DF">
        <w:t>D</w:t>
      </w:r>
      <w:r w:rsidR="0042754E">
        <w:t>istrict</w:t>
      </w:r>
      <w:r>
        <w:t>s.</w:t>
      </w:r>
    </w:p>
    <w:p w14:paraId="3ED4D1C7" w14:textId="77777777" w:rsidR="00606D58" w:rsidRDefault="00606D58" w:rsidP="00606D58">
      <w:pPr>
        <w:jc w:val="both"/>
      </w:pPr>
      <w:r w:rsidRPr="0069073A">
        <w:t>Three baseline years for standardisation have been considered:</w:t>
      </w:r>
    </w:p>
    <w:p w14:paraId="05809251" w14:textId="77777777" w:rsidR="00606D58" w:rsidRPr="007017C1" w:rsidRDefault="00606D58" w:rsidP="00606D58">
      <w:pPr>
        <w:pStyle w:val="ListParagraph"/>
        <w:numPr>
          <w:ilvl w:val="0"/>
          <w:numId w:val="5"/>
        </w:numPr>
        <w:jc w:val="both"/>
      </w:pPr>
      <w:r w:rsidRPr="002D2CF2">
        <w:rPr>
          <w:color w:val="000000" w:themeColor="text1"/>
          <w:szCs w:val="20"/>
        </w:rPr>
        <w:t xml:space="preserve">Standardised to a </w:t>
      </w:r>
      <w:r>
        <w:rPr>
          <w:color w:val="000000" w:themeColor="text1"/>
          <w:szCs w:val="20"/>
        </w:rPr>
        <w:t xml:space="preserve">single fixed </w:t>
      </w:r>
      <w:r w:rsidRPr="002D2CF2">
        <w:rPr>
          <w:color w:val="000000" w:themeColor="text1"/>
          <w:szCs w:val="20"/>
        </w:rPr>
        <w:t>year</w:t>
      </w:r>
      <w:r>
        <w:rPr>
          <w:color w:val="000000" w:themeColor="text1"/>
          <w:szCs w:val="20"/>
        </w:rPr>
        <w:t xml:space="preserve"> </w:t>
      </w:r>
      <w:proofErr w:type="gramStart"/>
      <w:r>
        <w:rPr>
          <w:color w:val="000000" w:themeColor="text1"/>
          <w:szCs w:val="20"/>
        </w:rPr>
        <w:t>data</w:t>
      </w:r>
      <w:proofErr w:type="gramEnd"/>
    </w:p>
    <w:p w14:paraId="3079EACB" w14:textId="77777777" w:rsidR="00606D58" w:rsidRPr="002D2CF2" w:rsidRDefault="00606D58" w:rsidP="00606D58">
      <w:pPr>
        <w:pStyle w:val="ListParagraph"/>
        <w:jc w:val="both"/>
      </w:pPr>
      <w:r w:rsidRPr="002D2CF2">
        <w:rPr>
          <w:color w:val="000000" w:themeColor="text1"/>
          <w:szCs w:val="20"/>
        </w:rPr>
        <w:t>Using a fixed ba</w:t>
      </w:r>
      <w:r>
        <w:rPr>
          <w:color w:val="000000" w:themeColor="text1"/>
          <w:szCs w:val="20"/>
        </w:rPr>
        <w:t>seline data (</w:t>
      </w:r>
      <w:proofErr w:type="gramStart"/>
      <w:r>
        <w:rPr>
          <w:color w:val="000000" w:themeColor="text1"/>
          <w:szCs w:val="20"/>
        </w:rPr>
        <w:t>e.g.</w:t>
      </w:r>
      <w:proofErr w:type="gramEnd"/>
      <w:r>
        <w:rPr>
          <w:color w:val="000000" w:themeColor="text1"/>
          <w:szCs w:val="20"/>
        </w:rPr>
        <w:t xml:space="preserve"> data in 2014</w:t>
      </w:r>
      <w:r w:rsidRPr="002D2CF2">
        <w:rPr>
          <w:color w:val="000000" w:themeColor="text1"/>
          <w:szCs w:val="20"/>
        </w:rPr>
        <w:t xml:space="preserve">) to develop a </w:t>
      </w:r>
      <w:r>
        <w:rPr>
          <w:color w:val="000000" w:themeColor="text1"/>
          <w:szCs w:val="20"/>
        </w:rPr>
        <w:t xml:space="preserve">logistic regression formula </w:t>
      </w:r>
      <w:r w:rsidRPr="002D2CF2">
        <w:rPr>
          <w:color w:val="000000" w:themeColor="text1"/>
          <w:szCs w:val="20"/>
        </w:rPr>
        <w:t xml:space="preserve">that </w:t>
      </w:r>
      <w:r>
        <w:rPr>
          <w:color w:val="000000" w:themeColor="text1"/>
          <w:szCs w:val="20"/>
        </w:rPr>
        <w:t>can be applied to the reporting period (e.g. 2015/16, 2016/17</w:t>
      </w:r>
      <w:r w:rsidRPr="002D2CF2">
        <w:rPr>
          <w:color w:val="000000" w:themeColor="text1"/>
          <w:szCs w:val="20"/>
        </w:rPr>
        <w:t>)</w:t>
      </w:r>
    </w:p>
    <w:p w14:paraId="50313E85" w14:textId="77777777" w:rsidR="00606D58" w:rsidRPr="007017C1" w:rsidRDefault="00606D58" w:rsidP="00606D58">
      <w:pPr>
        <w:pStyle w:val="ListParagraph"/>
        <w:numPr>
          <w:ilvl w:val="0"/>
          <w:numId w:val="5"/>
        </w:numPr>
        <w:jc w:val="both"/>
      </w:pPr>
      <w:r w:rsidRPr="002D2CF2">
        <w:rPr>
          <w:color w:val="000000" w:themeColor="text1"/>
          <w:szCs w:val="20"/>
        </w:rPr>
        <w:t xml:space="preserve">Standardised to </w:t>
      </w:r>
      <w:r>
        <w:rPr>
          <w:color w:val="000000" w:themeColor="text1"/>
          <w:szCs w:val="20"/>
        </w:rPr>
        <w:t xml:space="preserve">the </w:t>
      </w:r>
      <w:r w:rsidRPr="002D2CF2">
        <w:rPr>
          <w:color w:val="000000" w:themeColor="text1"/>
          <w:szCs w:val="20"/>
        </w:rPr>
        <w:t>reporting year</w:t>
      </w:r>
      <w:r>
        <w:rPr>
          <w:color w:val="000000" w:themeColor="text1"/>
          <w:szCs w:val="20"/>
        </w:rPr>
        <w:t xml:space="preserve"> </w:t>
      </w:r>
      <w:proofErr w:type="gramStart"/>
      <w:r>
        <w:rPr>
          <w:color w:val="000000" w:themeColor="text1"/>
          <w:szCs w:val="20"/>
        </w:rPr>
        <w:t>data</w:t>
      </w:r>
      <w:proofErr w:type="gramEnd"/>
    </w:p>
    <w:p w14:paraId="0C3846D1" w14:textId="77777777" w:rsidR="00606D58" w:rsidRDefault="00606D58" w:rsidP="00606D58">
      <w:pPr>
        <w:pStyle w:val="ListParagraph"/>
        <w:jc w:val="both"/>
        <w:rPr>
          <w:color w:val="000000" w:themeColor="text1"/>
          <w:szCs w:val="20"/>
        </w:rPr>
      </w:pPr>
      <w:r w:rsidRPr="002D2CF2">
        <w:rPr>
          <w:color w:val="000000" w:themeColor="text1"/>
          <w:szCs w:val="20"/>
        </w:rPr>
        <w:t xml:space="preserve">Using the </w:t>
      </w:r>
      <w:r>
        <w:rPr>
          <w:color w:val="000000" w:themeColor="text1"/>
          <w:szCs w:val="20"/>
        </w:rPr>
        <w:t xml:space="preserve">national </w:t>
      </w:r>
      <w:r w:rsidRPr="002D2CF2">
        <w:rPr>
          <w:color w:val="000000" w:themeColor="text1"/>
          <w:szCs w:val="20"/>
        </w:rPr>
        <w:t xml:space="preserve">data </w:t>
      </w:r>
      <w:r>
        <w:rPr>
          <w:color w:val="000000" w:themeColor="text1"/>
          <w:szCs w:val="20"/>
        </w:rPr>
        <w:t>12 months immediately prior to the beginning of the reporting period (</w:t>
      </w:r>
      <w:proofErr w:type="gramStart"/>
      <w:r>
        <w:rPr>
          <w:color w:val="000000" w:themeColor="text1"/>
          <w:szCs w:val="20"/>
        </w:rPr>
        <w:t>e.g.</w:t>
      </w:r>
      <w:proofErr w:type="gramEnd"/>
      <w:r>
        <w:rPr>
          <w:color w:val="000000" w:themeColor="text1"/>
          <w:szCs w:val="20"/>
        </w:rPr>
        <w:t xml:space="preserve"> July 2015 to June 2016</w:t>
      </w:r>
      <w:r w:rsidRPr="002D2CF2">
        <w:rPr>
          <w:color w:val="000000" w:themeColor="text1"/>
          <w:szCs w:val="20"/>
        </w:rPr>
        <w:t xml:space="preserve">) to develop a </w:t>
      </w:r>
      <w:r>
        <w:rPr>
          <w:color w:val="000000" w:themeColor="text1"/>
          <w:szCs w:val="20"/>
        </w:rPr>
        <w:t xml:space="preserve">logistic regression formula </w:t>
      </w:r>
      <w:r w:rsidRPr="002D2CF2">
        <w:rPr>
          <w:color w:val="000000" w:themeColor="text1"/>
          <w:szCs w:val="20"/>
        </w:rPr>
        <w:t xml:space="preserve">that </w:t>
      </w:r>
      <w:r>
        <w:rPr>
          <w:color w:val="000000" w:themeColor="text1"/>
          <w:szCs w:val="20"/>
        </w:rPr>
        <w:t>can be applied to the reporting period (e.g. quarter one of 2016/17 or July to September 2016</w:t>
      </w:r>
      <w:r w:rsidRPr="002D2CF2">
        <w:rPr>
          <w:color w:val="000000" w:themeColor="text1"/>
          <w:szCs w:val="20"/>
        </w:rPr>
        <w:t>)</w:t>
      </w:r>
    </w:p>
    <w:p w14:paraId="660172E0" w14:textId="77777777" w:rsidR="00606D58" w:rsidRPr="007017C1" w:rsidRDefault="00606D58" w:rsidP="00606D58">
      <w:pPr>
        <w:pStyle w:val="ListParagraph"/>
        <w:numPr>
          <w:ilvl w:val="0"/>
          <w:numId w:val="5"/>
        </w:numPr>
        <w:jc w:val="both"/>
      </w:pPr>
      <w:r w:rsidRPr="002D2CF2">
        <w:rPr>
          <w:color w:val="000000" w:themeColor="text1"/>
          <w:szCs w:val="20"/>
        </w:rPr>
        <w:t xml:space="preserve">Standardised to </w:t>
      </w:r>
      <w:r>
        <w:rPr>
          <w:color w:val="000000" w:themeColor="text1"/>
          <w:szCs w:val="20"/>
        </w:rPr>
        <w:t xml:space="preserve">three years </w:t>
      </w:r>
      <w:proofErr w:type="gramStart"/>
      <w:r>
        <w:rPr>
          <w:color w:val="000000" w:themeColor="text1"/>
          <w:szCs w:val="20"/>
        </w:rPr>
        <w:t>data</w:t>
      </w:r>
      <w:proofErr w:type="gramEnd"/>
    </w:p>
    <w:p w14:paraId="60A0E8FE" w14:textId="77777777" w:rsidR="00606D58" w:rsidRDefault="00606D58" w:rsidP="00606D58">
      <w:pPr>
        <w:pStyle w:val="ListParagraph"/>
        <w:jc w:val="both"/>
        <w:rPr>
          <w:color w:val="000000" w:themeColor="text1"/>
          <w:szCs w:val="20"/>
        </w:rPr>
      </w:pPr>
      <w:r w:rsidRPr="002D2CF2">
        <w:rPr>
          <w:color w:val="000000" w:themeColor="text1"/>
          <w:szCs w:val="20"/>
        </w:rPr>
        <w:t xml:space="preserve">Using the data </w:t>
      </w:r>
      <w:r>
        <w:rPr>
          <w:color w:val="000000" w:themeColor="text1"/>
          <w:szCs w:val="20"/>
        </w:rPr>
        <w:t xml:space="preserve">36 months immediately prior to the beginning of the </w:t>
      </w:r>
      <w:r w:rsidRPr="002D2CF2">
        <w:rPr>
          <w:color w:val="000000" w:themeColor="text1"/>
          <w:szCs w:val="20"/>
        </w:rPr>
        <w:t>re</w:t>
      </w:r>
      <w:r>
        <w:rPr>
          <w:color w:val="000000" w:themeColor="text1"/>
          <w:szCs w:val="20"/>
        </w:rPr>
        <w:t>porting period (</w:t>
      </w:r>
      <w:proofErr w:type="gramStart"/>
      <w:r>
        <w:rPr>
          <w:color w:val="000000" w:themeColor="text1"/>
          <w:szCs w:val="20"/>
        </w:rPr>
        <w:t>e.g.</w:t>
      </w:r>
      <w:proofErr w:type="gramEnd"/>
      <w:r>
        <w:rPr>
          <w:color w:val="000000" w:themeColor="text1"/>
          <w:szCs w:val="20"/>
        </w:rPr>
        <w:t xml:space="preserve"> data from July 2013 to June 2016</w:t>
      </w:r>
      <w:r w:rsidRPr="002D2CF2">
        <w:rPr>
          <w:color w:val="000000" w:themeColor="text1"/>
          <w:szCs w:val="20"/>
        </w:rPr>
        <w:t xml:space="preserve">) to develop a </w:t>
      </w:r>
      <w:r>
        <w:rPr>
          <w:color w:val="000000" w:themeColor="text1"/>
          <w:szCs w:val="20"/>
        </w:rPr>
        <w:t xml:space="preserve">logistic regression formula </w:t>
      </w:r>
      <w:r w:rsidRPr="002D2CF2">
        <w:rPr>
          <w:color w:val="000000" w:themeColor="text1"/>
          <w:szCs w:val="20"/>
        </w:rPr>
        <w:t xml:space="preserve">that </w:t>
      </w:r>
      <w:r>
        <w:rPr>
          <w:color w:val="000000" w:themeColor="text1"/>
          <w:szCs w:val="20"/>
        </w:rPr>
        <w:t>can be applied to the reporting period (e.g. quarter one of 2016/17 or July to September 2016</w:t>
      </w:r>
      <w:r w:rsidRPr="002D2CF2">
        <w:rPr>
          <w:color w:val="000000" w:themeColor="text1"/>
          <w:szCs w:val="20"/>
        </w:rPr>
        <w:t>)</w:t>
      </w:r>
      <w:r>
        <w:rPr>
          <w:color w:val="000000" w:themeColor="text1"/>
          <w:szCs w:val="20"/>
        </w:rPr>
        <w:t>.</w:t>
      </w:r>
    </w:p>
    <w:p w14:paraId="18174E83" w14:textId="77777777" w:rsidR="00606D58" w:rsidRPr="007017C1" w:rsidRDefault="00606D58" w:rsidP="00606D58">
      <w:pPr>
        <w:jc w:val="both"/>
      </w:pPr>
      <w:r>
        <w:t xml:space="preserve">All these baselines would have a </w:t>
      </w:r>
      <w:proofErr w:type="gramStart"/>
      <w:r>
        <w:t>12 month</w:t>
      </w:r>
      <w:proofErr w:type="gramEnd"/>
      <w:r>
        <w:t xml:space="preserve"> extension of data prior to the baseline year(s) to enable searching of index stays.  It also includes three months of data delay to allow the readmission activities to be discharged and captured in the NMDS.</w:t>
      </w:r>
    </w:p>
    <w:p w14:paraId="512BC331" w14:textId="240E8EFF" w:rsidR="00606D58" w:rsidRDefault="00606D58" w:rsidP="00606D58">
      <w:pPr>
        <w:jc w:val="both"/>
      </w:pPr>
      <w:r>
        <w:t>The advantages and disadvantages of baseline s</w:t>
      </w:r>
      <w:r w:rsidR="002615A2">
        <w:t>election is described in t</w:t>
      </w:r>
      <w:r w:rsidR="00EA692F">
        <w:t>able 6</w:t>
      </w:r>
      <w:r>
        <w:t xml:space="preserve"> below.</w:t>
      </w:r>
    </w:p>
    <w:p w14:paraId="3B4E3953" w14:textId="1E5B2304" w:rsidR="007017C1" w:rsidRDefault="007017C1" w:rsidP="00D91389">
      <w:pPr>
        <w:keepNext/>
        <w:jc w:val="both"/>
        <w:rPr>
          <w:highlight w:val="yellow"/>
        </w:rPr>
      </w:pPr>
      <w:r w:rsidRPr="00EF3C25">
        <w:rPr>
          <w:b/>
        </w:rPr>
        <w:lastRenderedPageBreak/>
        <w:t>Table</w:t>
      </w:r>
      <w:r w:rsidR="00EA692F">
        <w:rPr>
          <w:b/>
        </w:rPr>
        <w:t xml:space="preserve"> 6</w:t>
      </w:r>
      <w:r w:rsidRPr="00EF3C25">
        <w:rPr>
          <w:b/>
        </w:rPr>
        <w:t xml:space="preserve">. </w:t>
      </w:r>
      <w:r>
        <w:rPr>
          <w:b/>
        </w:rPr>
        <w:t>Comparison of b</w:t>
      </w:r>
      <w:r w:rsidR="008C3E84">
        <w:rPr>
          <w:b/>
        </w:rPr>
        <w:t xml:space="preserve">aseline </w:t>
      </w:r>
      <w:r>
        <w:rPr>
          <w:b/>
        </w:rPr>
        <w:t>for standardisation</w:t>
      </w:r>
    </w:p>
    <w:tbl>
      <w:tblPr>
        <w:tblStyle w:val="TableGrid"/>
        <w:tblW w:w="9067" w:type="dxa"/>
        <w:tblLook w:val="04A0" w:firstRow="1" w:lastRow="0" w:firstColumn="1" w:lastColumn="0" w:noHBand="0" w:noVBand="1"/>
      </w:tblPr>
      <w:tblGrid>
        <w:gridCol w:w="1982"/>
        <w:gridCol w:w="3487"/>
        <w:gridCol w:w="3598"/>
      </w:tblGrid>
      <w:tr w:rsidR="00B370E7" w:rsidRPr="00004B34" w14:paraId="754096C5" w14:textId="77777777" w:rsidTr="008C3E84">
        <w:tc>
          <w:tcPr>
            <w:tcW w:w="1809" w:type="dxa"/>
            <w:shd w:val="clear" w:color="auto" w:fill="9CC2E5" w:themeFill="accent1" w:themeFillTint="99"/>
          </w:tcPr>
          <w:p w14:paraId="07FF2AAF" w14:textId="7D5DC30D" w:rsidR="008C3E84" w:rsidRPr="002D2CF2" w:rsidRDefault="008C3E84" w:rsidP="008F3BFF">
            <w:pPr>
              <w:spacing w:before="0"/>
              <w:jc w:val="center"/>
              <w:rPr>
                <w:b/>
                <w:color w:val="000000" w:themeColor="text1"/>
                <w:szCs w:val="20"/>
              </w:rPr>
            </w:pPr>
            <w:r>
              <w:rPr>
                <w:b/>
                <w:color w:val="000000" w:themeColor="text1"/>
                <w:szCs w:val="20"/>
              </w:rPr>
              <w:t>Baseline</w:t>
            </w:r>
          </w:p>
        </w:tc>
        <w:tc>
          <w:tcPr>
            <w:tcW w:w="3573" w:type="dxa"/>
            <w:shd w:val="clear" w:color="auto" w:fill="9CC2E5" w:themeFill="accent1" w:themeFillTint="99"/>
          </w:tcPr>
          <w:p w14:paraId="7B8C98F1" w14:textId="53087F0E" w:rsidR="008C3E84" w:rsidRPr="00004B34" w:rsidRDefault="008C3E84" w:rsidP="008F3BFF">
            <w:pPr>
              <w:spacing w:before="0"/>
              <w:jc w:val="center"/>
              <w:rPr>
                <w:b/>
                <w:color w:val="000000" w:themeColor="text1"/>
                <w:szCs w:val="20"/>
              </w:rPr>
            </w:pPr>
            <w:r w:rsidRPr="002D2CF2">
              <w:rPr>
                <w:b/>
                <w:color w:val="000000" w:themeColor="text1"/>
                <w:szCs w:val="20"/>
              </w:rPr>
              <w:t>Advantages</w:t>
            </w:r>
          </w:p>
        </w:tc>
        <w:tc>
          <w:tcPr>
            <w:tcW w:w="3685" w:type="dxa"/>
            <w:shd w:val="clear" w:color="auto" w:fill="9CC2E5" w:themeFill="accent1" w:themeFillTint="99"/>
          </w:tcPr>
          <w:p w14:paraId="5BD444F8" w14:textId="7A331A7A" w:rsidR="008C3E84" w:rsidRPr="00004B34" w:rsidRDefault="008C3E84" w:rsidP="008F3BFF">
            <w:pPr>
              <w:spacing w:before="0"/>
              <w:jc w:val="center"/>
              <w:rPr>
                <w:b/>
                <w:color w:val="000000" w:themeColor="text1"/>
                <w:szCs w:val="20"/>
              </w:rPr>
            </w:pPr>
            <w:r>
              <w:rPr>
                <w:b/>
                <w:color w:val="000000" w:themeColor="text1"/>
                <w:szCs w:val="20"/>
              </w:rPr>
              <w:t>Disa</w:t>
            </w:r>
            <w:r w:rsidRPr="002D2CF2">
              <w:rPr>
                <w:b/>
                <w:color w:val="000000" w:themeColor="text1"/>
                <w:szCs w:val="20"/>
              </w:rPr>
              <w:t>dvantages</w:t>
            </w:r>
          </w:p>
        </w:tc>
      </w:tr>
      <w:tr w:rsidR="00B370E7" w:rsidRPr="00004B34" w14:paraId="0DF42AD8" w14:textId="77777777" w:rsidTr="008C3E84">
        <w:tc>
          <w:tcPr>
            <w:tcW w:w="1809" w:type="dxa"/>
          </w:tcPr>
          <w:p w14:paraId="3F5050AB" w14:textId="16880B31" w:rsidR="008C3E84" w:rsidRPr="008C3E84" w:rsidRDefault="008C3E84" w:rsidP="008F3BFF">
            <w:pPr>
              <w:pStyle w:val="ListParagraph"/>
              <w:numPr>
                <w:ilvl w:val="0"/>
                <w:numId w:val="19"/>
              </w:numPr>
              <w:spacing w:before="0"/>
              <w:ind w:left="284" w:hanging="284"/>
              <w:rPr>
                <w:color w:val="000000" w:themeColor="text1"/>
                <w:szCs w:val="20"/>
              </w:rPr>
            </w:pPr>
            <w:r w:rsidRPr="008C3E84">
              <w:rPr>
                <w:b/>
                <w:color w:val="000000" w:themeColor="text1"/>
                <w:szCs w:val="20"/>
              </w:rPr>
              <w:t>Standardised to a single fixed year</w:t>
            </w:r>
            <w:r w:rsidR="00F208CA">
              <w:rPr>
                <w:b/>
                <w:color w:val="000000" w:themeColor="text1"/>
                <w:szCs w:val="20"/>
              </w:rPr>
              <w:t xml:space="preserve"> data</w:t>
            </w:r>
          </w:p>
        </w:tc>
        <w:tc>
          <w:tcPr>
            <w:tcW w:w="3573" w:type="dxa"/>
          </w:tcPr>
          <w:p w14:paraId="0D9E62DA" w14:textId="5347F218" w:rsidR="008C3E84" w:rsidRPr="00D91389" w:rsidRDefault="008C3E84" w:rsidP="008F3BFF">
            <w:pPr>
              <w:pStyle w:val="ListParagraph"/>
              <w:numPr>
                <w:ilvl w:val="0"/>
                <w:numId w:val="5"/>
              </w:numPr>
              <w:spacing w:before="0"/>
              <w:ind w:left="284" w:hanging="284"/>
              <w:rPr>
                <w:color w:val="000000" w:themeColor="text1"/>
                <w:szCs w:val="20"/>
              </w:rPr>
            </w:pPr>
            <w:r w:rsidRPr="0002668C">
              <w:rPr>
                <w:color w:val="000000" w:themeColor="text1"/>
                <w:szCs w:val="20"/>
              </w:rPr>
              <w:t xml:space="preserve">Comparable </w:t>
            </w:r>
            <w:r w:rsidR="006202DF">
              <w:rPr>
                <w:color w:val="000000" w:themeColor="text1"/>
                <w:szCs w:val="20"/>
              </w:rPr>
              <w:t>D</w:t>
            </w:r>
            <w:r w:rsidR="0042754E">
              <w:rPr>
                <w:color w:val="000000" w:themeColor="text1"/>
                <w:szCs w:val="20"/>
              </w:rPr>
              <w:t>istrict</w:t>
            </w:r>
            <w:r w:rsidRPr="0002668C">
              <w:rPr>
                <w:color w:val="000000" w:themeColor="text1"/>
                <w:szCs w:val="20"/>
              </w:rPr>
              <w:t xml:space="preserve"> standardised readmission ratios across years</w:t>
            </w:r>
            <w:r>
              <w:rPr>
                <w:color w:val="000000" w:themeColor="text1"/>
                <w:szCs w:val="20"/>
              </w:rPr>
              <w:t xml:space="preserve"> within a </w:t>
            </w:r>
            <w:r w:rsidR="006202DF">
              <w:rPr>
                <w:color w:val="000000" w:themeColor="text1"/>
                <w:szCs w:val="20"/>
              </w:rPr>
              <w:t>D</w:t>
            </w:r>
            <w:r w:rsidR="0042754E">
              <w:rPr>
                <w:color w:val="000000" w:themeColor="text1"/>
                <w:szCs w:val="20"/>
              </w:rPr>
              <w:t>istrict</w:t>
            </w:r>
          </w:p>
        </w:tc>
        <w:tc>
          <w:tcPr>
            <w:tcW w:w="3685" w:type="dxa"/>
          </w:tcPr>
          <w:p w14:paraId="64F015AD" w14:textId="0A1F6BC6" w:rsidR="008C3E84" w:rsidRDefault="006202DF" w:rsidP="008F3BFF">
            <w:pPr>
              <w:pStyle w:val="ListParagraph"/>
              <w:numPr>
                <w:ilvl w:val="0"/>
                <w:numId w:val="5"/>
              </w:numPr>
              <w:spacing w:before="0"/>
              <w:ind w:left="284" w:hanging="284"/>
              <w:rPr>
                <w:color w:val="000000" w:themeColor="text1"/>
                <w:szCs w:val="20"/>
              </w:rPr>
            </w:pPr>
            <w:r>
              <w:rPr>
                <w:color w:val="000000" w:themeColor="text1"/>
                <w:szCs w:val="20"/>
              </w:rPr>
              <w:t>D</w:t>
            </w:r>
            <w:r w:rsidR="0042754E">
              <w:rPr>
                <w:color w:val="000000" w:themeColor="text1"/>
                <w:szCs w:val="20"/>
              </w:rPr>
              <w:t>istrict</w:t>
            </w:r>
            <w:r w:rsidR="008C3E84" w:rsidRPr="0002668C">
              <w:rPr>
                <w:color w:val="000000" w:themeColor="text1"/>
                <w:szCs w:val="20"/>
              </w:rPr>
              <w:t xml:space="preserve"> standardised readmission ratio for the reporting year cannot be compared with the national standardised readmission ratio of that </w:t>
            </w:r>
            <w:proofErr w:type="gramStart"/>
            <w:r w:rsidR="008C3E84" w:rsidRPr="0002668C">
              <w:rPr>
                <w:color w:val="000000" w:themeColor="text1"/>
                <w:szCs w:val="20"/>
              </w:rPr>
              <w:t>year</w:t>
            </w:r>
            <w:proofErr w:type="gramEnd"/>
          </w:p>
          <w:p w14:paraId="17370961" w14:textId="44EC92F0" w:rsidR="008C3E84" w:rsidRDefault="008C3E84" w:rsidP="008F3BFF">
            <w:pPr>
              <w:pStyle w:val="ListParagraph"/>
              <w:numPr>
                <w:ilvl w:val="0"/>
                <w:numId w:val="5"/>
              </w:numPr>
              <w:spacing w:before="0"/>
              <w:ind w:left="284" w:hanging="284"/>
              <w:rPr>
                <w:color w:val="000000" w:themeColor="text1"/>
                <w:szCs w:val="20"/>
              </w:rPr>
            </w:pPr>
            <w:r w:rsidRPr="0002668C">
              <w:rPr>
                <w:color w:val="000000" w:themeColor="text1"/>
                <w:szCs w:val="20"/>
              </w:rPr>
              <w:t xml:space="preserve">It does </w:t>
            </w:r>
            <w:r w:rsidR="00DF2921">
              <w:rPr>
                <w:color w:val="000000" w:themeColor="text1"/>
                <w:szCs w:val="20"/>
              </w:rPr>
              <w:t xml:space="preserve">not </w:t>
            </w:r>
            <w:r>
              <w:rPr>
                <w:color w:val="000000" w:themeColor="text1"/>
                <w:szCs w:val="20"/>
              </w:rPr>
              <w:t xml:space="preserve">keep up with </w:t>
            </w:r>
            <w:r w:rsidRPr="0002668C">
              <w:rPr>
                <w:color w:val="000000" w:themeColor="text1"/>
                <w:szCs w:val="20"/>
              </w:rPr>
              <w:t xml:space="preserve">changes in service </w:t>
            </w:r>
            <w:r>
              <w:rPr>
                <w:color w:val="000000" w:themeColor="text1"/>
                <w:szCs w:val="20"/>
              </w:rPr>
              <w:t xml:space="preserve">model or readmission </w:t>
            </w:r>
            <w:proofErr w:type="gramStart"/>
            <w:r>
              <w:rPr>
                <w:color w:val="000000" w:themeColor="text1"/>
                <w:szCs w:val="20"/>
              </w:rPr>
              <w:t>patterns</w:t>
            </w:r>
            <w:proofErr w:type="gramEnd"/>
          </w:p>
          <w:p w14:paraId="1042F54D" w14:textId="73FB6DC3" w:rsidR="00B370E7" w:rsidRPr="0002668C" w:rsidRDefault="00B370E7" w:rsidP="008F3BFF">
            <w:pPr>
              <w:pStyle w:val="ListParagraph"/>
              <w:numPr>
                <w:ilvl w:val="0"/>
                <w:numId w:val="5"/>
              </w:numPr>
              <w:spacing w:before="0"/>
              <w:ind w:left="284" w:hanging="284"/>
              <w:rPr>
                <w:color w:val="000000" w:themeColor="text1"/>
                <w:szCs w:val="20"/>
              </w:rPr>
            </w:pPr>
            <w:r>
              <w:rPr>
                <w:color w:val="000000" w:themeColor="text1"/>
                <w:szCs w:val="20"/>
              </w:rPr>
              <w:t>Historical baseline can get out of date</w:t>
            </w:r>
          </w:p>
        </w:tc>
      </w:tr>
      <w:tr w:rsidR="00B370E7" w:rsidRPr="00004B34" w14:paraId="7000FB1B" w14:textId="77777777" w:rsidTr="008C3E84">
        <w:tc>
          <w:tcPr>
            <w:tcW w:w="1809" w:type="dxa"/>
          </w:tcPr>
          <w:p w14:paraId="61909965" w14:textId="7C222074" w:rsidR="008C3E84" w:rsidRPr="008C3E84" w:rsidRDefault="008C3E84" w:rsidP="008F3BFF">
            <w:pPr>
              <w:pStyle w:val="ListParagraph"/>
              <w:numPr>
                <w:ilvl w:val="0"/>
                <w:numId w:val="19"/>
              </w:numPr>
              <w:spacing w:before="0"/>
              <w:ind w:left="284" w:hanging="284"/>
              <w:rPr>
                <w:color w:val="000000" w:themeColor="text1"/>
                <w:szCs w:val="20"/>
              </w:rPr>
            </w:pPr>
            <w:r w:rsidRPr="008C3E84">
              <w:rPr>
                <w:b/>
                <w:color w:val="000000" w:themeColor="text1"/>
                <w:szCs w:val="20"/>
              </w:rPr>
              <w:t>Standardised to the reporting year</w:t>
            </w:r>
            <w:r w:rsidR="00F208CA">
              <w:rPr>
                <w:b/>
                <w:color w:val="000000" w:themeColor="text1"/>
                <w:szCs w:val="20"/>
              </w:rPr>
              <w:t xml:space="preserve"> data</w:t>
            </w:r>
          </w:p>
        </w:tc>
        <w:tc>
          <w:tcPr>
            <w:tcW w:w="3573" w:type="dxa"/>
          </w:tcPr>
          <w:p w14:paraId="1FBB8785" w14:textId="7276315D" w:rsidR="008C3E84" w:rsidRDefault="006202DF" w:rsidP="008F3BFF">
            <w:pPr>
              <w:pStyle w:val="ListParagraph"/>
              <w:numPr>
                <w:ilvl w:val="0"/>
                <w:numId w:val="5"/>
              </w:numPr>
              <w:spacing w:before="0"/>
              <w:ind w:left="284" w:hanging="284"/>
              <w:rPr>
                <w:color w:val="000000" w:themeColor="text1"/>
                <w:szCs w:val="20"/>
              </w:rPr>
            </w:pPr>
            <w:r>
              <w:rPr>
                <w:color w:val="000000" w:themeColor="text1"/>
                <w:szCs w:val="20"/>
              </w:rPr>
              <w:t>D</w:t>
            </w:r>
            <w:r w:rsidR="0042754E">
              <w:rPr>
                <w:color w:val="000000" w:themeColor="text1"/>
                <w:szCs w:val="20"/>
              </w:rPr>
              <w:t>istrict</w:t>
            </w:r>
            <w:r w:rsidR="008C3E84" w:rsidRPr="0002668C">
              <w:rPr>
                <w:color w:val="000000" w:themeColor="text1"/>
                <w:szCs w:val="20"/>
              </w:rPr>
              <w:t xml:space="preserve"> standardised readmission ratio can be compared with the national standardised readmission ratio to determine whether the ratio is higher or lower than the national </w:t>
            </w:r>
            <w:r w:rsidR="008C3E84">
              <w:rPr>
                <w:color w:val="000000" w:themeColor="text1"/>
                <w:szCs w:val="20"/>
              </w:rPr>
              <w:t xml:space="preserve">average </w:t>
            </w:r>
            <w:r w:rsidR="008C3E84" w:rsidRPr="0002668C">
              <w:rPr>
                <w:color w:val="000000" w:themeColor="text1"/>
                <w:szCs w:val="20"/>
              </w:rPr>
              <w:t xml:space="preserve">in the reporting </w:t>
            </w:r>
            <w:proofErr w:type="gramStart"/>
            <w:r w:rsidR="008C3E84" w:rsidRPr="0002668C">
              <w:rPr>
                <w:color w:val="000000" w:themeColor="text1"/>
                <w:szCs w:val="20"/>
              </w:rPr>
              <w:t>year</w:t>
            </w:r>
            <w:proofErr w:type="gramEnd"/>
          </w:p>
          <w:p w14:paraId="2FF0A18E" w14:textId="31679D68" w:rsidR="00B370E7" w:rsidRPr="00B370E7" w:rsidRDefault="008C3E84" w:rsidP="008F3BFF">
            <w:pPr>
              <w:pStyle w:val="ListParagraph"/>
              <w:numPr>
                <w:ilvl w:val="0"/>
                <w:numId w:val="5"/>
              </w:numPr>
              <w:spacing w:before="0"/>
              <w:ind w:left="284" w:hanging="284"/>
              <w:rPr>
                <w:color w:val="000000" w:themeColor="text1"/>
                <w:szCs w:val="20"/>
              </w:rPr>
            </w:pPr>
            <w:r>
              <w:rPr>
                <w:color w:val="000000" w:themeColor="text1"/>
                <w:szCs w:val="20"/>
              </w:rPr>
              <w:t xml:space="preserve">It reflects system changes in the baseline data </w:t>
            </w:r>
            <w:r w:rsidR="00B370E7">
              <w:rPr>
                <w:color w:val="000000" w:themeColor="text1"/>
                <w:szCs w:val="20"/>
              </w:rPr>
              <w:t>for prediction</w:t>
            </w:r>
          </w:p>
        </w:tc>
        <w:tc>
          <w:tcPr>
            <w:tcW w:w="3685" w:type="dxa"/>
          </w:tcPr>
          <w:p w14:paraId="6420F62E" w14:textId="247A5B8F" w:rsidR="008C3E84" w:rsidRDefault="008C3E84" w:rsidP="008F3BFF">
            <w:pPr>
              <w:pStyle w:val="ListParagraph"/>
              <w:numPr>
                <w:ilvl w:val="0"/>
                <w:numId w:val="5"/>
              </w:numPr>
              <w:spacing w:before="0"/>
              <w:ind w:left="284" w:hanging="284"/>
              <w:rPr>
                <w:color w:val="000000" w:themeColor="text1"/>
                <w:szCs w:val="20"/>
              </w:rPr>
            </w:pPr>
            <w:r>
              <w:rPr>
                <w:color w:val="000000" w:themeColor="text1"/>
                <w:szCs w:val="20"/>
              </w:rPr>
              <w:t>Inc</w:t>
            </w:r>
            <w:r w:rsidRPr="0002668C">
              <w:rPr>
                <w:color w:val="000000" w:themeColor="text1"/>
                <w:szCs w:val="20"/>
              </w:rPr>
              <w:t xml:space="preserve">omparable </w:t>
            </w:r>
            <w:r w:rsidR="006202DF">
              <w:rPr>
                <w:color w:val="000000" w:themeColor="text1"/>
                <w:szCs w:val="20"/>
              </w:rPr>
              <w:t>D</w:t>
            </w:r>
            <w:r w:rsidR="0042754E">
              <w:rPr>
                <w:color w:val="000000" w:themeColor="text1"/>
                <w:szCs w:val="20"/>
              </w:rPr>
              <w:t>istrict</w:t>
            </w:r>
            <w:r w:rsidRPr="0002668C">
              <w:rPr>
                <w:color w:val="000000" w:themeColor="text1"/>
                <w:szCs w:val="20"/>
              </w:rPr>
              <w:t xml:space="preserve"> standardised readmission ratios across years</w:t>
            </w:r>
            <w:r>
              <w:rPr>
                <w:color w:val="000000" w:themeColor="text1"/>
                <w:szCs w:val="20"/>
              </w:rPr>
              <w:t xml:space="preserve"> within a </w:t>
            </w:r>
            <w:r w:rsidR="006202DF">
              <w:rPr>
                <w:color w:val="000000" w:themeColor="text1"/>
                <w:szCs w:val="20"/>
              </w:rPr>
              <w:t>D</w:t>
            </w:r>
            <w:r w:rsidR="0042754E">
              <w:rPr>
                <w:color w:val="000000" w:themeColor="text1"/>
                <w:szCs w:val="20"/>
              </w:rPr>
              <w:t>istrict</w:t>
            </w:r>
          </w:p>
          <w:p w14:paraId="26842F1B" w14:textId="4FF46B69" w:rsidR="00B370E7" w:rsidRDefault="00DF2921" w:rsidP="008F3BFF">
            <w:pPr>
              <w:pStyle w:val="ListParagraph"/>
              <w:numPr>
                <w:ilvl w:val="0"/>
                <w:numId w:val="5"/>
              </w:numPr>
              <w:spacing w:before="0"/>
              <w:ind w:left="284" w:hanging="284"/>
              <w:rPr>
                <w:color w:val="000000" w:themeColor="text1"/>
                <w:szCs w:val="20"/>
              </w:rPr>
            </w:pPr>
            <w:r>
              <w:rPr>
                <w:color w:val="000000" w:themeColor="text1"/>
                <w:szCs w:val="20"/>
              </w:rPr>
              <w:t xml:space="preserve">It can be subjected to small sample size </w:t>
            </w:r>
            <w:proofErr w:type="gramStart"/>
            <w:r>
              <w:rPr>
                <w:color w:val="000000" w:themeColor="text1"/>
                <w:szCs w:val="20"/>
              </w:rPr>
              <w:t>issues</w:t>
            </w:r>
            <w:proofErr w:type="gramEnd"/>
          </w:p>
          <w:p w14:paraId="3D729668" w14:textId="77777777" w:rsidR="008C3E84" w:rsidRPr="00485C3A" w:rsidRDefault="008C3E84" w:rsidP="008F3BFF">
            <w:pPr>
              <w:spacing w:before="0"/>
              <w:rPr>
                <w:color w:val="000000" w:themeColor="text1"/>
                <w:szCs w:val="20"/>
              </w:rPr>
            </w:pPr>
          </w:p>
        </w:tc>
      </w:tr>
      <w:tr w:rsidR="00DF2921" w:rsidRPr="00004B34" w14:paraId="0B055DE2" w14:textId="77777777" w:rsidTr="008C3E84">
        <w:tc>
          <w:tcPr>
            <w:tcW w:w="1809" w:type="dxa"/>
          </w:tcPr>
          <w:p w14:paraId="68707A59" w14:textId="7D887967" w:rsidR="008C3E84" w:rsidRPr="008C3E84" w:rsidRDefault="008C3E84" w:rsidP="008F3BFF">
            <w:pPr>
              <w:pStyle w:val="ListParagraph"/>
              <w:numPr>
                <w:ilvl w:val="0"/>
                <w:numId w:val="19"/>
              </w:numPr>
              <w:spacing w:before="0"/>
              <w:ind w:left="284" w:hanging="284"/>
              <w:rPr>
                <w:color w:val="000000" w:themeColor="text1"/>
                <w:szCs w:val="20"/>
              </w:rPr>
            </w:pPr>
            <w:r w:rsidRPr="008C3E84">
              <w:rPr>
                <w:b/>
                <w:color w:val="000000" w:themeColor="text1"/>
                <w:szCs w:val="20"/>
              </w:rPr>
              <w:t>Standardised to three years</w:t>
            </w:r>
            <w:r w:rsidR="00F208CA">
              <w:rPr>
                <w:b/>
                <w:color w:val="000000" w:themeColor="text1"/>
                <w:szCs w:val="20"/>
              </w:rPr>
              <w:t xml:space="preserve"> data</w:t>
            </w:r>
          </w:p>
        </w:tc>
        <w:tc>
          <w:tcPr>
            <w:tcW w:w="3573" w:type="dxa"/>
          </w:tcPr>
          <w:p w14:paraId="75EB5676" w14:textId="77777777" w:rsidR="008C3E84" w:rsidRDefault="008C3E84" w:rsidP="008F3BFF">
            <w:pPr>
              <w:pStyle w:val="ListParagraph"/>
              <w:numPr>
                <w:ilvl w:val="0"/>
                <w:numId w:val="5"/>
              </w:numPr>
              <w:spacing w:before="0"/>
              <w:ind w:left="284" w:hanging="284"/>
              <w:rPr>
                <w:color w:val="000000" w:themeColor="text1"/>
                <w:szCs w:val="20"/>
              </w:rPr>
            </w:pPr>
            <w:proofErr w:type="gramStart"/>
            <w:r>
              <w:rPr>
                <w:color w:val="000000" w:themeColor="text1"/>
                <w:szCs w:val="20"/>
              </w:rPr>
              <w:t>Similar to</w:t>
            </w:r>
            <w:proofErr w:type="gramEnd"/>
            <w:r>
              <w:rPr>
                <w:color w:val="000000" w:themeColor="text1"/>
                <w:szCs w:val="20"/>
              </w:rPr>
              <w:t xml:space="preserve"> baseline 2, </w:t>
            </w:r>
            <w:r w:rsidRPr="008C3E84">
              <w:rPr>
                <w:i/>
                <w:color w:val="000000" w:themeColor="text1"/>
                <w:szCs w:val="20"/>
              </w:rPr>
              <w:t>plus</w:t>
            </w:r>
          </w:p>
          <w:p w14:paraId="6213F1CB" w14:textId="6D6E7283" w:rsidR="008C3E84" w:rsidRDefault="008C3E84" w:rsidP="008F3BFF">
            <w:pPr>
              <w:pStyle w:val="ListParagraph"/>
              <w:numPr>
                <w:ilvl w:val="0"/>
                <w:numId w:val="5"/>
              </w:numPr>
              <w:spacing w:before="0"/>
              <w:ind w:left="284" w:hanging="284"/>
              <w:rPr>
                <w:color w:val="000000" w:themeColor="text1"/>
                <w:szCs w:val="20"/>
              </w:rPr>
            </w:pPr>
            <w:r>
              <w:rPr>
                <w:color w:val="000000" w:themeColor="text1"/>
                <w:szCs w:val="20"/>
              </w:rPr>
              <w:t xml:space="preserve">It resolves issues with small </w:t>
            </w:r>
            <w:r w:rsidR="00DF2921">
              <w:rPr>
                <w:color w:val="000000" w:themeColor="text1"/>
                <w:szCs w:val="20"/>
              </w:rPr>
              <w:t xml:space="preserve">sample </w:t>
            </w:r>
            <w:proofErr w:type="gramStart"/>
            <w:r w:rsidR="00DF2921">
              <w:rPr>
                <w:color w:val="000000" w:themeColor="text1"/>
                <w:szCs w:val="20"/>
              </w:rPr>
              <w:t>size</w:t>
            </w:r>
            <w:proofErr w:type="gramEnd"/>
          </w:p>
          <w:p w14:paraId="3E12A83C" w14:textId="0517305B" w:rsidR="00B370E7" w:rsidRPr="00DF2921" w:rsidRDefault="00DF2921" w:rsidP="008F3BFF">
            <w:pPr>
              <w:pStyle w:val="ListParagraph"/>
              <w:numPr>
                <w:ilvl w:val="0"/>
                <w:numId w:val="5"/>
              </w:numPr>
              <w:spacing w:before="0"/>
              <w:ind w:left="284" w:hanging="284"/>
              <w:rPr>
                <w:color w:val="000000" w:themeColor="text1"/>
                <w:szCs w:val="20"/>
              </w:rPr>
            </w:pPr>
            <w:r>
              <w:rPr>
                <w:color w:val="000000" w:themeColor="text1"/>
                <w:szCs w:val="20"/>
              </w:rPr>
              <w:t xml:space="preserve">It is possible to compare </w:t>
            </w:r>
            <w:r w:rsidR="006202DF">
              <w:rPr>
                <w:color w:val="000000" w:themeColor="text1"/>
                <w:szCs w:val="20"/>
              </w:rPr>
              <w:t>D</w:t>
            </w:r>
            <w:r w:rsidR="0042754E">
              <w:rPr>
                <w:color w:val="000000" w:themeColor="text1"/>
                <w:szCs w:val="20"/>
              </w:rPr>
              <w:t>istrict</w:t>
            </w:r>
            <w:r w:rsidR="00566418">
              <w:rPr>
                <w:color w:val="000000" w:themeColor="text1"/>
                <w:szCs w:val="20"/>
              </w:rPr>
              <w:t xml:space="preserve"> standardised readmission</w:t>
            </w:r>
            <w:r>
              <w:rPr>
                <w:color w:val="000000" w:themeColor="text1"/>
                <w:szCs w:val="20"/>
              </w:rPr>
              <w:t xml:space="preserve"> ratio of one</w:t>
            </w:r>
            <w:r w:rsidR="00566418">
              <w:rPr>
                <w:color w:val="000000" w:themeColor="text1"/>
                <w:szCs w:val="20"/>
              </w:rPr>
              <w:t xml:space="preserve"> reporting </w:t>
            </w:r>
            <w:r>
              <w:rPr>
                <w:color w:val="000000" w:themeColor="text1"/>
                <w:szCs w:val="20"/>
              </w:rPr>
              <w:t>year with the year directly prior to the reporting year due to the overlapping of baseline data for both periods</w:t>
            </w:r>
            <w:r w:rsidR="000C1840">
              <w:rPr>
                <w:color w:val="000000" w:themeColor="text1"/>
                <w:szCs w:val="20"/>
              </w:rPr>
              <w:t xml:space="preserve"> (</w:t>
            </w:r>
            <w:proofErr w:type="gramStart"/>
            <w:r w:rsidR="000C1840">
              <w:rPr>
                <w:color w:val="000000" w:themeColor="text1"/>
                <w:szCs w:val="20"/>
              </w:rPr>
              <w:t>e.g.</w:t>
            </w:r>
            <w:proofErr w:type="gramEnd"/>
            <w:r w:rsidR="000C1840">
              <w:rPr>
                <w:color w:val="000000" w:themeColor="text1"/>
                <w:szCs w:val="20"/>
              </w:rPr>
              <w:t xml:space="preserve"> comparing 2015 with 2014)</w:t>
            </w:r>
          </w:p>
        </w:tc>
        <w:tc>
          <w:tcPr>
            <w:tcW w:w="3685" w:type="dxa"/>
          </w:tcPr>
          <w:p w14:paraId="6CCCE1F5" w14:textId="65A6B766" w:rsidR="008C3E84" w:rsidRPr="00F916CC" w:rsidRDefault="00DF2921" w:rsidP="008F3BFF">
            <w:pPr>
              <w:pStyle w:val="ListParagraph"/>
              <w:numPr>
                <w:ilvl w:val="0"/>
                <w:numId w:val="5"/>
              </w:numPr>
              <w:spacing w:before="0"/>
              <w:ind w:left="284" w:hanging="284"/>
              <w:rPr>
                <w:color w:val="000000" w:themeColor="text1"/>
                <w:szCs w:val="20"/>
              </w:rPr>
            </w:pPr>
            <w:r>
              <w:rPr>
                <w:color w:val="000000" w:themeColor="text1"/>
                <w:szCs w:val="20"/>
              </w:rPr>
              <w:t xml:space="preserve">Not adequate to compare multiple years’ </w:t>
            </w:r>
            <w:r w:rsidR="006202DF">
              <w:rPr>
                <w:color w:val="000000" w:themeColor="text1"/>
                <w:szCs w:val="20"/>
              </w:rPr>
              <w:t>D</w:t>
            </w:r>
            <w:r w:rsidR="0042754E">
              <w:rPr>
                <w:color w:val="000000" w:themeColor="text1"/>
                <w:szCs w:val="20"/>
              </w:rPr>
              <w:t>istrict</w:t>
            </w:r>
            <w:r>
              <w:rPr>
                <w:color w:val="000000" w:themeColor="text1"/>
                <w:szCs w:val="20"/>
              </w:rPr>
              <w:t xml:space="preserve"> standardised readmission ratios</w:t>
            </w:r>
            <w:r w:rsidR="000C1840">
              <w:rPr>
                <w:color w:val="000000" w:themeColor="text1"/>
                <w:szCs w:val="20"/>
              </w:rPr>
              <w:t xml:space="preserve"> (</w:t>
            </w:r>
            <w:proofErr w:type="gramStart"/>
            <w:r w:rsidR="000C1840">
              <w:rPr>
                <w:color w:val="000000" w:themeColor="text1"/>
                <w:szCs w:val="20"/>
              </w:rPr>
              <w:t>e.g.</w:t>
            </w:r>
            <w:proofErr w:type="gramEnd"/>
            <w:r w:rsidR="000C1840">
              <w:rPr>
                <w:color w:val="000000" w:themeColor="text1"/>
                <w:szCs w:val="20"/>
              </w:rPr>
              <w:t xml:space="preserve"> not adequate to compare 2015 with 2013 or 2012)</w:t>
            </w:r>
          </w:p>
        </w:tc>
      </w:tr>
    </w:tbl>
    <w:p w14:paraId="776B0AA2" w14:textId="585A366E" w:rsidR="0042397F" w:rsidRDefault="0042397F" w:rsidP="00883A4D">
      <w:pPr>
        <w:jc w:val="both"/>
      </w:pPr>
    </w:p>
    <w:p w14:paraId="5E684596" w14:textId="754F8A27" w:rsidR="00883A4D" w:rsidRDefault="006F3A12" w:rsidP="00883A4D">
      <w:pPr>
        <w:jc w:val="both"/>
      </w:pPr>
      <w:r w:rsidRPr="006F3A12">
        <w:t>The results are expressed as standardised readmission ratio</w:t>
      </w:r>
      <w:r>
        <w:t>s</w:t>
      </w:r>
      <w:r w:rsidRPr="006F3A12">
        <w:t xml:space="preserve"> after adjusting for the risk factors.  They can be interpreted as the following:</w:t>
      </w:r>
    </w:p>
    <w:p w14:paraId="2EEA310C" w14:textId="47D6A191" w:rsidR="00883A4D" w:rsidRDefault="003566D7" w:rsidP="003566D7">
      <w:pPr>
        <w:pStyle w:val="ListParagraph"/>
        <w:numPr>
          <w:ilvl w:val="0"/>
          <w:numId w:val="3"/>
        </w:numPr>
        <w:jc w:val="both"/>
      </w:pPr>
      <w:r>
        <w:t xml:space="preserve">If a </w:t>
      </w:r>
      <w:r w:rsidR="006202DF">
        <w:t>D</w:t>
      </w:r>
      <w:r w:rsidR="0042754E">
        <w:t>istrict</w:t>
      </w:r>
      <w:r w:rsidR="00883A4D">
        <w:t xml:space="preserve"> standardised readmission ratio is equal to 1.0, </w:t>
      </w:r>
      <w:r>
        <w:t xml:space="preserve">it </w:t>
      </w:r>
      <w:r w:rsidR="00883A4D">
        <w:t xml:space="preserve">means </w:t>
      </w:r>
      <w:r>
        <w:t xml:space="preserve">that </w:t>
      </w:r>
      <w:r w:rsidR="00883A4D">
        <w:t xml:space="preserve">the </w:t>
      </w:r>
      <w:r>
        <w:t xml:space="preserve">observed number of </w:t>
      </w:r>
      <w:r w:rsidR="00883A4D">
        <w:t xml:space="preserve">readmissions is </w:t>
      </w:r>
      <w:r>
        <w:t xml:space="preserve">equivalent to the </w:t>
      </w:r>
      <w:r w:rsidR="009924AB">
        <w:t xml:space="preserve">predicted </w:t>
      </w:r>
      <w:r>
        <w:t xml:space="preserve">number of </w:t>
      </w:r>
      <w:proofErr w:type="gramStart"/>
      <w:r>
        <w:t>readmissions</w:t>
      </w:r>
      <w:proofErr w:type="gramEnd"/>
      <w:r>
        <w:t xml:space="preserve"> </w:t>
      </w:r>
    </w:p>
    <w:p w14:paraId="57F00181" w14:textId="10010588" w:rsidR="003566D7" w:rsidRDefault="003566D7" w:rsidP="003566D7">
      <w:pPr>
        <w:pStyle w:val="ListParagraph"/>
        <w:numPr>
          <w:ilvl w:val="0"/>
          <w:numId w:val="3"/>
        </w:numPr>
        <w:jc w:val="both"/>
      </w:pPr>
      <w:r>
        <w:t xml:space="preserve">If a </w:t>
      </w:r>
      <w:r w:rsidR="006202DF">
        <w:t>D</w:t>
      </w:r>
      <w:r w:rsidR="0042754E">
        <w:t>istrict</w:t>
      </w:r>
      <w:r>
        <w:t xml:space="preserve"> standardised readmission ratio is less than 1.0, it means that the observed number of readmissions is lower than the predicted number of </w:t>
      </w:r>
      <w:proofErr w:type="gramStart"/>
      <w:r>
        <w:t>readmissions</w:t>
      </w:r>
      <w:proofErr w:type="gramEnd"/>
      <w:r>
        <w:t xml:space="preserve"> </w:t>
      </w:r>
    </w:p>
    <w:p w14:paraId="12773C54" w14:textId="123DDB52" w:rsidR="00883A4D" w:rsidRDefault="003566D7" w:rsidP="003566D7">
      <w:pPr>
        <w:pStyle w:val="ListParagraph"/>
        <w:numPr>
          <w:ilvl w:val="0"/>
          <w:numId w:val="3"/>
        </w:numPr>
        <w:jc w:val="both"/>
      </w:pPr>
      <w:r>
        <w:t xml:space="preserve">If a </w:t>
      </w:r>
      <w:r w:rsidR="006202DF">
        <w:t>D</w:t>
      </w:r>
      <w:r w:rsidR="0042754E">
        <w:t>istrict</w:t>
      </w:r>
      <w:r>
        <w:t xml:space="preserve"> standardised readmission ratio is greater than 1.0, it means that the observed number of readmissions is higher than the predicted number of readmissions.</w:t>
      </w:r>
    </w:p>
    <w:p w14:paraId="566807CE" w14:textId="4D391C6C" w:rsidR="00891832" w:rsidRDefault="00891832" w:rsidP="00891832">
      <w:pPr>
        <w:jc w:val="both"/>
      </w:pPr>
      <w:r>
        <w:t xml:space="preserve">The measure is modelled on standardisation with </w:t>
      </w:r>
      <w:proofErr w:type="gramStart"/>
      <w:r>
        <w:t>three year</w:t>
      </w:r>
      <w:proofErr w:type="gramEnd"/>
      <w:r>
        <w:t xml:space="preserve"> baseline data. </w:t>
      </w:r>
      <w:r w:rsidR="006202DF">
        <w:t>D</w:t>
      </w:r>
      <w:r w:rsidR="0042754E">
        <w:t>istrict</w:t>
      </w:r>
      <w:r w:rsidRPr="000F6A90">
        <w:t xml:space="preserve"> standardised readmission ratios can be compared with the National standardised readmission ratio as it </w:t>
      </w:r>
      <w:proofErr w:type="gramStart"/>
      <w:r w:rsidRPr="000F6A90">
        <w:t>takes into account</w:t>
      </w:r>
      <w:proofErr w:type="gramEnd"/>
      <w:r w:rsidRPr="000F6A90">
        <w:t xml:space="preserve"> the risk factors of the admitted patients in a </w:t>
      </w:r>
      <w:r w:rsidR="006202DF">
        <w:t>D</w:t>
      </w:r>
      <w:r w:rsidR="0042754E">
        <w:t>istrict</w:t>
      </w:r>
      <w:r w:rsidRPr="000F6A90">
        <w:t xml:space="preserve"> learning from the risk factors of all other patients nationally. However, it is not adequate to compare one </w:t>
      </w:r>
      <w:r w:rsidR="006202DF">
        <w:t>D</w:t>
      </w:r>
      <w:r w:rsidR="0042754E">
        <w:t>istrict</w:t>
      </w:r>
      <w:r w:rsidRPr="000F6A90">
        <w:t xml:space="preserve"> standardised readmission ratio with another. </w:t>
      </w:r>
    </w:p>
    <w:p w14:paraId="2B74C014" w14:textId="7B1FBE7B" w:rsidR="00891832" w:rsidRDefault="00891832" w:rsidP="00B702C7">
      <w:pPr>
        <w:jc w:val="both"/>
      </w:pPr>
      <w:r w:rsidRPr="00891832">
        <w:lastRenderedPageBreak/>
        <w:t xml:space="preserve">There has been considerable </w:t>
      </w:r>
      <w:proofErr w:type="gramStart"/>
      <w:r w:rsidRPr="00891832">
        <w:t>amount</w:t>
      </w:r>
      <w:proofErr w:type="gramEnd"/>
      <w:r w:rsidRPr="00891832">
        <w:t xml:space="preserve"> of discussions around whether to adjust for deprivation in the readmission measure.  </w:t>
      </w:r>
      <w:proofErr w:type="gramStart"/>
      <w:r w:rsidRPr="00891832">
        <w:t>With the exception of</w:t>
      </w:r>
      <w:proofErr w:type="gramEnd"/>
      <w:r w:rsidRPr="00891832">
        <w:t xml:space="preserve"> deprivation, </w:t>
      </w:r>
      <w:r>
        <w:t xml:space="preserve">other indications for </w:t>
      </w:r>
      <w:r w:rsidRPr="00891832">
        <w:t xml:space="preserve">socioeconomic status are not recorded in the National Minimum Dataset.  This model does not adjust or standardise readmissions for deprivation. Such adjustments can lead to over-standardisation, and potentially mask the disparities between populations and minimise incentives to improve the health outcomes of disadvantaged groups.  </w:t>
      </w:r>
    </w:p>
    <w:p w14:paraId="6E5F699C" w14:textId="70408043" w:rsidR="006C2C8F" w:rsidRDefault="006C2C8F" w:rsidP="006C2C8F">
      <w:pPr>
        <w:jc w:val="both"/>
      </w:pPr>
      <w:r w:rsidRPr="00891832">
        <w:t xml:space="preserve">Stratification allows users to drill down to specific patient </w:t>
      </w:r>
      <w:r>
        <w:t>group</w:t>
      </w:r>
      <w:r w:rsidRPr="00891832">
        <w:t>s including ethnicity and deprivation groups, and for caus</w:t>
      </w:r>
      <w:r>
        <w:t>al r</w:t>
      </w:r>
      <w:r w:rsidRPr="00891832">
        <w:t>e</w:t>
      </w:r>
      <w:r>
        <w:t>lationship</w:t>
      </w:r>
      <w:r w:rsidRPr="00891832">
        <w:t xml:space="preserve"> analysis.  </w:t>
      </w:r>
    </w:p>
    <w:p w14:paraId="11C78857" w14:textId="77777777" w:rsidR="000A13C3" w:rsidRDefault="000A13C3" w:rsidP="000A13C3">
      <w:pPr>
        <w:jc w:val="both"/>
      </w:pPr>
    </w:p>
    <w:p w14:paraId="0943E6A2" w14:textId="5FE59F3B" w:rsidR="00262E7F" w:rsidRDefault="00262E7F" w:rsidP="004B6974">
      <w:pPr>
        <w:pStyle w:val="Heading3"/>
      </w:pPr>
      <w:bookmarkStart w:id="65" w:name="_Toc173318904"/>
      <w:r>
        <w:t>Patient Risk Factors</w:t>
      </w:r>
      <w:bookmarkEnd w:id="65"/>
    </w:p>
    <w:p w14:paraId="6B5FCF8F" w14:textId="48053E54" w:rsidR="00811292" w:rsidRDefault="00EA692F" w:rsidP="00811292">
      <w:r>
        <w:rPr>
          <w:rFonts w:eastAsia="Times New Roman" w:cs="Times New Roman"/>
          <w:color w:val="000000"/>
          <w:lang w:eastAsia="en-NZ"/>
        </w:rPr>
        <w:t>A list of variables in table 7</w:t>
      </w:r>
      <w:r w:rsidR="00811292">
        <w:rPr>
          <w:rFonts w:eastAsia="Times New Roman" w:cs="Times New Roman"/>
          <w:color w:val="000000"/>
          <w:lang w:eastAsia="en-NZ"/>
        </w:rPr>
        <w:t xml:space="preserve"> below described patient risk factors and their statistical significance (Chi Square) in the logistic regression model for the 8-28 days readmission interval. </w:t>
      </w:r>
      <w:r w:rsidR="00DB68DE" w:rsidRPr="00DB68DE">
        <w:t xml:space="preserve">(Tested as </w:t>
      </w:r>
      <w:proofErr w:type="gramStart"/>
      <w:r w:rsidR="00DB68DE" w:rsidRPr="00DB68DE">
        <w:t>at</w:t>
      </w:r>
      <w:proofErr w:type="gramEnd"/>
      <w:r w:rsidR="00DB68DE" w:rsidRPr="00DB68DE">
        <w:t xml:space="preserve"> 30 November 2016)</w:t>
      </w:r>
    </w:p>
    <w:p w14:paraId="3D296313" w14:textId="77777777" w:rsidR="00DB68DE" w:rsidRPr="00262E7F" w:rsidRDefault="00DB68DE" w:rsidP="00811292">
      <w:pPr>
        <w:rPr>
          <w:rFonts w:eastAsia="Times New Roman" w:cs="Times New Roman"/>
          <w:color w:val="000000"/>
          <w:lang w:eastAsia="en-NZ"/>
        </w:rPr>
      </w:pPr>
    </w:p>
    <w:p w14:paraId="55AA9397" w14:textId="747C202F" w:rsidR="00811292" w:rsidRPr="00262E7F" w:rsidRDefault="00811292" w:rsidP="00811292">
      <w:pPr>
        <w:rPr>
          <w:rFonts w:eastAsia="Times New Roman" w:cs="Times New Roman"/>
          <w:b/>
          <w:color w:val="000000"/>
          <w:lang w:eastAsia="en-NZ"/>
        </w:rPr>
      </w:pPr>
      <w:r w:rsidRPr="00262E7F">
        <w:rPr>
          <w:rFonts w:eastAsia="Times New Roman" w:cs="Times New Roman"/>
          <w:b/>
          <w:color w:val="000000"/>
          <w:lang w:eastAsia="en-NZ"/>
        </w:rPr>
        <w:t xml:space="preserve">Table </w:t>
      </w:r>
      <w:r w:rsidR="00EA692F">
        <w:rPr>
          <w:rFonts w:eastAsia="Times New Roman" w:cs="Times New Roman"/>
          <w:b/>
          <w:color w:val="000000"/>
          <w:lang w:eastAsia="en-NZ"/>
        </w:rPr>
        <w:t>7</w:t>
      </w:r>
      <w:r w:rsidRPr="00262E7F">
        <w:rPr>
          <w:rFonts w:eastAsia="Times New Roman" w:cs="Times New Roman"/>
          <w:b/>
          <w:color w:val="000000"/>
          <w:lang w:eastAsia="en-NZ"/>
        </w:rPr>
        <w:t>. Variables included</w:t>
      </w:r>
      <w:r>
        <w:rPr>
          <w:rFonts w:eastAsia="Times New Roman" w:cs="Times New Roman"/>
          <w:b/>
          <w:color w:val="000000"/>
          <w:lang w:eastAsia="en-NZ"/>
        </w:rPr>
        <w:t xml:space="preserve"> in the standardisation</w:t>
      </w:r>
      <w:r w:rsidR="00AF55CE">
        <w:rPr>
          <w:rStyle w:val="FootnoteReference"/>
          <w:rFonts w:eastAsia="Times New Roman" w:cs="Times New Roman"/>
          <w:b/>
          <w:color w:val="000000"/>
          <w:lang w:eastAsia="en-NZ"/>
        </w:rPr>
        <w:footnoteReference w:id="3"/>
      </w:r>
    </w:p>
    <w:tbl>
      <w:tblPr>
        <w:tblW w:w="9641" w:type="dxa"/>
        <w:tblInd w:w="-8" w:type="dxa"/>
        <w:tblLayout w:type="fixed"/>
        <w:tblLook w:val="00A0" w:firstRow="1" w:lastRow="0" w:firstColumn="1" w:lastColumn="0" w:noHBand="0" w:noVBand="0"/>
      </w:tblPr>
      <w:tblGrid>
        <w:gridCol w:w="1696"/>
        <w:gridCol w:w="5245"/>
        <w:gridCol w:w="1423"/>
        <w:gridCol w:w="1277"/>
      </w:tblGrid>
      <w:tr w:rsidR="00DB68DE" w:rsidRPr="00DB68DE" w14:paraId="7B835647" w14:textId="77777777" w:rsidTr="00DB68DE">
        <w:trPr>
          <w:trHeight w:val="315"/>
        </w:trPr>
        <w:tc>
          <w:tcPr>
            <w:tcW w:w="1696" w:type="dxa"/>
            <w:tcBorders>
              <w:top w:val="single" w:sz="6" w:space="0" w:color="000000"/>
              <w:left w:val="single" w:sz="6" w:space="0" w:color="000000"/>
              <w:bottom w:val="single" w:sz="6" w:space="0" w:color="000000"/>
              <w:right w:val="single" w:sz="6" w:space="0" w:color="000000"/>
            </w:tcBorders>
            <w:shd w:val="clear" w:color="auto" w:fill="9CC2E5" w:themeFill="accent1" w:themeFillTint="99"/>
            <w:vAlign w:val="center"/>
          </w:tcPr>
          <w:p w14:paraId="595160B8" w14:textId="77777777" w:rsidR="00DB68DE" w:rsidRPr="00DB68DE" w:rsidRDefault="00DB68DE" w:rsidP="00DB68DE">
            <w:pPr>
              <w:rPr>
                <w:rFonts w:eastAsia="Times New Roman" w:cs="Times New Roman"/>
                <w:b/>
                <w:bCs/>
                <w:color w:val="000000"/>
                <w:lang w:eastAsia="en-NZ"/>
              </w:rPr>
            </w:pPr>
            <w:r w:rsidRPr="00DB68DE">
              <w:rPr>
                <w:rFonts w:eastAsia="Times New Roman" w:cs="Times New Roman"/>
                <w:b/>
                <w:bCs/>
                <w:color w:val="000000"/>
                <w:lang w:eastAsia="en-NZ"/>
              </w:rPr>
              <w:t>Variable</w:t>
            </w:r>
          </w:p>
        </w:tc>
        <w:tc>
          <w:tcPr>
            <w:tcW w:w="5245" w:type="dxa"/>
            <w:tcBorders>
              <w:top w:val="single" w:sz="6" w:space="0" w:color="000000"/>
              <w:left w:val="single" w:sz="6" w:space="0" w:color="000000"/>
              <w:bottom w:val="single" w:sz="6" w:space="0" w:color="000000"/>
              <w:right w:val="single" w:sz="6" w:space="0" w:color="000000"/>
            </w:tcBorders>
            <w:shd w:val="clear" w:color="auto" w:fill="9CC2E5" w:themeFill="accent1" w:themeFillTint="99"/>
            <w:vAlign w:val="center"/>
          </w:tcPr>
          <w:p w14:paraId="21F8621E" w14:textId="77777777" w:rsidR="00DB68DE" w:rsidRPr="00DB68DE" w:rsidRDefault="00DB68DE" w:rsidP="00DB68DE">
            <w:pPr>
              <w:rPr>
                <w:rFonts w:eastAsia="Times New Roman" w:cs="Times New Roman"/>
                <w:b/>
                <w:bCs/>
                <w:color w:val="000000"/>
                <w:lang w:eastAsia="en-NZ"/>
              </w:rPr>
            </w:pPr>
            <w:r w:rsidRPr="00DB68DE">
              <w:rPr>
                <w:rFonts w:eastAsia="Times New Roman" w:cs="Times New Roman"/>
                <w:b/>
                <w:bCs/>
                <w:color w:val="000000"/>
                <w:lang w:eastAsia="en-NZ"/>
              </w:rPr>
              <w:t>Description</w:t>
            </w:r>
          </w:p>
        </w:tc>
        <w:tc>
          <w:tcPr>
            <w:tcW w:w="1423" w:type="dxa"/>
            <w:tcBorders>
              <w:top w:val="single" w:sz="6" w:space="0" w:color="000000"/>
              <w:left w:val="single" w:sz="6" w:space="0" w:color="000000"/>
              <w:bottom w:val="single" w:sz="6" w:space="0" w:color="000000"/>
              <w:right w:val="single" w:sz="6" w:space="0" w:color="000000"/>
            </w:tcBorders>
            <w:shd w:val="clear" w:color="auto" w:fill="9CC2E5" w:themeFill="accent1" w:themeFillTint="99"/>
            <w:vAlign w:val="center"/>
          </w:tcPr>
          <w:p w14:paraId="50D8CDB9" w14:textId="77777777" w:rsidR="00DB68DE" w:rsidRPr="00DB68DE" w:rsidRDefault="00DB68DE" w:rsidP="00DB68DE">
            <w:pPr>
              <w:rPr>
                <w:rFonts w:eastAsia="Times New Roman" w:cs="Times New Roman"/>
                <w:b/>
                <w:bCs/>
                <w:color w:val="000000"/>
                <w:lang w:eastAsia="en-NZ"/>
              </w:rPr>
            </w:pPr>
            <w:r w:rsidRPr="00DB68DE">
              <w:rPr>
                <w:rFonts w:eastAsia="Times New Roman" w:cs="Times New Roman"/>
                <w:b/>
                <w:bCs/>
                <w:color w:val="000000"/>
                <w:lang w:eastAsia="en-NZ"/>
              </w:rPr>
              <w:t>Chi Square</w:t>
            </w:r>
          </w:p>
        </w:tc>
        <w:tc>
          <w:tcPr>
            <w:tcW w:w="1277" w:type="dxa"/>
            <w:tcBorders>
              <w:top w:val="single" w:sz="6" w:space="0" w:color="000000"/>
              <w:left w:val="single" w:sz="6" w:space="0" w:color="000000"/>
              <w:bottom w:val="single" w:sz="6" w:space="0" w:color="000000"/>
              <w:right w:val="single" w:sz="6" w:space="0" w:color="000000"/>
            </w:tcBorders>
            <w:shd w:val="clear" w:color="auto" w:fill="9CC2E5" w:themeFill="accent1" w:themeFillTint="99"/>
            <w:vAlign w:val="center"/>
          </w:tcPr>
          <w:p w14:paraId="28590E39" w14:textId="77777777" w:rsidR="00DB68DE" w:rsidRPr="00DB68DE" w:rsidRDefault="00DB68DE" w:rsidP="00DB68DE">
            <w:pPr>
              <w:rPr>
                <w:rFonts w:eastAsia="Times New Roman" w:cs="Times New Roman"/>
                <w:b/>
                <w:bCs/>
                <w:color w:val="000000"/>
                <w:lang w:eastAsia="en-NZ"/>
              </w:rPr>
            </w:pPr>
            <w:r w:rsidRPr="00DB68DE">
              <w:rPr>
                <w:rFonts w:eastAsia="Times New Roman" w:cs="Times New Roman"/>
                <w:b/>
                <w:bCs/>
                <w:color w:val="000000"/>
                <w:lang w:eastAsia="en-NZ"/>
              </w:rPr>
              <w:t>P value</w:t>
            </w:r>
          </w:p>
        </w:tc>
      </w:tr>
      <w:tr w:rsidR="00DB68DE" w:rsidRPr="00DB68DE" w14:paraId="2EC3C432"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7891DD1F"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Prior Stays</w:t>
            </w:r>
          </w:p>
        </w:tc>
        <w:tc>
          <w:tcPr>
            <w:tcW w:w="5245" w:type="dxa"/>
            <w:tcBorders>
              <w:top w:val="single" w:sz="6" w:space="0" w:color="000000"/>
              <w:left w:val="single" w:sz="6" w:space="0" w:color="000000"/>
              <w:bottom w:val="single" w:sz="6" w:space="0" w:color="000000"/>
              <w:right w:val="single" w:sz="6" w:space="0" w:color="000000"/>
            </w:tcBorders>
          </w:tcPr>
          <w:p w14:paraId="0EDCEDDE"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The number of prior stays in the last 12 months</w:t>
            </w:r>
          </w:p>
        </w:tc>
        <w:tc>
          <w:tcPr>
            <w:tcW w:w="1423" w:type="dxa"/>
            <w:tcBorders>
              <w:top w:val="single" w:sz="6" w:space="0" w:color="000000"/>
              <w:left w:val="single" w:sz="6" w:space="0" w:color="000000"/>
              <w:bottom w:val="single" w:sz="6" w:space="0" w:color="000000"/>
              <w:right w:val="single" w:sz="6" w:space="0" w:color="000000"/>
            </w:tcBorders>
          </w:tcPr>
          <w:p w14:paraId="4C9E1E03"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32,110</w:t>
            </w:r>
          </w:p>
        </w:tc>
        <w:tc>
          <w:tcPr>
            <w:tcW w:w="1277" w:type="dxa"/>
            <w:tcBorders>
              <w:top w:val="single" w:sz="6" w:space="0" w:color="000000"/>
              <w:left w:val="single" w:sz="6" w:space="0" w:color="000000"/>
              <w:bottom w:val="single" w:sz="6" w:space="0" w:color="000000"/>
              <w:right w:val="single" w:sz="6" w:space="0" w:color="000000"/>
            </w:tcBorders>
          </w:tcPr>
          <w:p w14:paraId="68F2340D"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&lt;.0001</w:t>
            </w:r>
          </w:p>
        </w:tc>
      </w:tr>
      <w:tr w:rsidR="00DB68DE" w:rsidRPr="00DB68DE" w14:paraId="08BE638D"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274A741A"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Admission Type</w:t>
            </w:r>
          </w:p>
        </w:tc>
        <w:tc>
          <w:tcPr>
            <w:tcW w:w="5245" w:type="dxa"/>
            <w:tcBorders>
              <w:top w:val="single" w:sz="6" w:space="0" w:color="000000"/>
              <w:left w:val="single" w:sz="6" w:space="0" w:color="000000"/>
              <w:bottom w:val="single" w:sz="6" w:space="0" w:color="000000"/>
              <w:right w:val="single" w:sz="6" w:space="0" w:color="000000"/>
            </w:tcBorders>
          </w:tcPr>
          <w:p w14:paraId="6E54DD4A"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The admission type of the first event of index admission</w:t>
            </w:r>
          </w:p>
        </w:tc>
        <w:tc>
          <w:tcPr>
            <w:tcW w:w="1423" w:type="dxa"/>
            <w:tcBorders>
              <w:top w:val="single" w:sz="6" w:space="0" w:color="000000"/>
              <w:left w:val="single" w:sz="6" w:space="0" w:color="000000"/>
              <w:bottom w:val="single" w:sz="6" w:space="0" w:color="000000"/>
              <w:right w:val="single" w:sz="6" w:space="0" w:color="000000"/>
            </w:tcBorders>
          </w:tcPr>
          <w:p w14:paraId="48BA438A"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7,365</w:t>
            </w:r>
          </w:p>
        </w:tc>
        <w:tc>
          <w:tcPr>
            <w:tcW w:w="1277" w:type="dxa"/>
            <w:tcBorders>
              <w:top w:val="single" w:sz="6" w:space="0" w:color="000000"/>
              <w:left w:val="single" w:sz="6" w:space="0" w:color="000000"/>
              <w:bottom w:val="single" w:sz="6" w:space="0" w:color="000000"/>
              <w:right w:val="single" w:sz="6" w:space="0" w:color="000000"/>
            </w:tcBorders>
          </w:tcPr>
          <w:p w14:paraId="2CBDCF17"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&lt;.0001</w:t>
            </w:r>
          </w:p>
        </w:tc>
      </w:tr>
      <w:tr w:rsidR="00DB68DE" w:rsidRPr="00DB68DE" w14:paraId="25B5FDD2"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0AFDC290"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Length of Stay</w:t>
            </w:r>
          </w:p>
        </w:tc>
        <w:tc>
          <w:tcPr>
            <w:tcW w:w="5245" w:type="dxa"/>
            <w:tcBorders>
              <w:top w:val="single" w:sz="6" w:space="0" w:color="000000"/>
              <w:left w:val="single" w:sz="6" w:space="0" w:color="000000"/>
              <w:bottom w:val="single" w:sz="6" w:space="0" w:color="000000"/>
              <w:right w:val="single" w:sz="6" w:space="0" w:color="000000"/>
            </w:tcBorders>
          </w:tcPr>
          <w:p w14:paraId="441DB37A"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The length of stay of the index admission</w:t>
            </w:r>
          </w:p>
        </w:tc>
        <w:tc>
          <w:tcPr>
            <w:tcW w:w="1423" w:type="dxa"/>
            <w:tcBorders>
              <w:top w:val="single" w:sz="6" w:space="0" w:color="000000"/>
              <w:left w:val="single" w:sz="6" w:space="0" w:color="000000"/>
              <w:bottom w:val="single" w:sz="6" w:space="0" w:color="000000"/>
              <w:right w:val="single" w:sz="6" w:space="0" w:color="000000"/>
            </w:tcBorders>
          </w:tcPr>
          <w:p w14:paraId="427B2CC2"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 xml:space="preserve"> 3,310 </w:t>
            </w:r>
          </w:p>
        </w:tc>
        <w:tc>
          <w:tcPr>
            <w:tcW w:w="1277" w:type="dxa"/>
            <w:tcBorders>
              <w:top w:val="single" w:sz="6" w:space="0" w:color="000000"/>
              <w:left w:val="single" w:sz="6" w:space="0" w:color="000000"/>
              <w:bottom w:val="single" w:sz="6" w:space="0" w:color="000000"/>
              <w:right w:val="single" w:sz="6" w:space="0" w:color="000000"/>
            </w:tcBorders>
          </w:tcPr>
          <w:p w14:paraId="0A70D55D"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 xml:space="preserve"> &lt;.0001</w:t>
            </w:r>
          </w:p>
        </w:tc>
      </w:tr>
      <w:tr w:rsidR="00DB68DE" w:rsidRPr="00DB68DE" w14:paraId="082EA115"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51D71B22"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Age</w:t>
            </w:r>
          </w:p>
        </w:tc>
        <w:tc>
          <w:tcPr>
            <w:tcW w:w="5245" w:type="dxa"/>
            <w:tcBorders>
              <w:top w:val="single" w:sz="6" w:space="0" w:color="000000"/>
              <w:left w:val="single" w:sz="6" w:space="0" w:color="000000"/>
              <w:bottom w:val="single" w:sz="6" w:space="0" w:color="000000"/>
              <w:right w:val="single" w:sz="6" w:space="0" w:color="000000"/>
            </w:tcBorders>
          </w:tcPr>
          <w:p w14:paraId="4438C9E2"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The patient's age at admission</w:t>
            </w:r>
          </w:p>
        </w:tc>
        <w:tc>
          <w:tcPr>
            <w:tcW w:w="1423" w:type="dxa"/>
            <w:tcBorders>
              <w:top w:val="single" w:sz="6" w:space="0" w:color="000000"/>
              <w:left w:val="single" w:sz="6" w:space="0" w:color="000000"/>
              <w:bottom w:val="single" w:sz="6" w:space="0" w:color="000000"/>
              <w:right w:val="single" w:sz="6" w:space="0" w:color="000000"/>
            </w:tcBorders>
          </w:tcPr>
          <w:p w14:paraId="51A5B778"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 xml:space="preserve"> 2,156 </w:t>
            </w:r>
          </w:p>
        </w:tc>
        <w:tc>
          <w:tcPr>
            <w:tcW w:w="1277" w:type="dxa"/>
            <w:tcBorders>
              <w:top w:val="single" w:sz="6" w:space="0" w:color="000000"/>
              <w:left w:val="single" w:sz="6" w:space="0" w:color="000000"/>
              <w:bottom w:val="single" w:sz="6" w:space="0" w:color="000000"/>
              <w:right w:val="single" w:sz="6" w:space="0" w:color="000000"/>
            </w:tcBorders>
          </w:tcPr>
          <w:p w14:paraId="5D7C64A9"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 xml:space="preserve"> &lt;.0001</w:t>
            </w:r>
          </w:p>
        </w:tc>
      </w:tr>
      <w:tr w:rsidR="00DB68DE" w:rsidRPr="00DB68DE" w14:paraId="386B9092"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7FE65580"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Primary Diagnosis Group</w:t>
            </w:r>
          </w:p>
        </w:tc>
        <w:tc>
          <w:tcPr>
            <w:tcW w:w="5245" w:type="dxa"/>
            <w:tcBorders>
              <w:top w:val="single" w:sz="6" w:space="0" w:color="000000"/>
              <w:left w:val="single" w:sz="6" w:space="0" w:color="000000"/>
              <w:bottom w:val="single" w:sz="6" w:space="0" w:color="000000"/>
              <w:right w:val="single" w:sz="6" w:space="0" w:color="000000"/>
            </w:tcBorders>
          </w:tcPr>
          <w:p w14:paraId="426B1C84"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Primary diagnosis grouped by cluster analysis using readmission rates from the model</w:t>
            </w:r>
          </w:p>
        </w:tc>
        <w:tc>
          <w:tcPr>
            <w:tcW w:w="1423" w:type="dxa"/>
            <w:tcBorders>
              <w:top w:val="single" w:sz="6" w:space="0" w:color="000000"/>
              <w:left w:val="single" w:sz="6" w:space="0" w:color="000000"/>
              <w:bottom w:val="single" w:sz="6" w:space="0" w:color="000000"/>
              <w:right w:val="single" w:sz="6" w:space="0" w:color="000000"/>
            </w:tcBorders>
          </w:tcPr>
          <w:p w14:paraId="2231C81A"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2,067</w:t>
            </w:r>
          </w:p>
        </w:tc>
        <w:tc>
          <w:tcPr>
            <w:tcW w:w="1277" w:type="dxa"/>
            <w:tcBorders>
              <w:top w:val="single" w:sz="6" w:space="0" w:color="000000"/>
              <w:left w:val="single" w:sz="6" w:space="0" w:color="000000"/>
              <w:bottom w:val="single" w:sz="6" w:space="0" w:color="000000"/>
              <w:right w:val="single" w:sz="6" w:space="0" w:color="000000"/>
            </w:tcBorders>
          </w:tcPr>
          <w:p w14:paraId="6AD6403F"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&lt;.0001</w:t>
            </w:r>
          </w:p>
        </w:tc>
      </w:tr>
      <w:tr w:rsidR="00DB68DE" w:rsidRPr="00DB68DE" w14:paraId="2D01356C"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1196093C" w14:textId="23044B2E" w:rsidR="00DB68DE" w:rsidRPr="00DB68DE" w:rsidRDefault="00DB68DE" w:rsidP="00DB68DE">
            <w:pPr>
              <w:rPr>
                <w:rFonts w:eastAsia="Times New Roman" w:cs="Times New Roman"/>
                <w:color w:val="000000"/>
                <w:lang w:eastAsia="en-NZ"/>
              </w:rPr>
            </w:pPr>
          </w:p>
        </w:tc>
        <w:tc>
          <w:tcPr>
            <w:tcW w:w="5245" w:type="dxa"/>
            <w:tcBorders>
              <w:top w:val="single" w:sz="6" w:space="0" w:color="000000"/>
              <w:left w:val="single" w:sz="6" w:space="0" w:color="000000"/>
              <w:bottom w:val="single" w:sz="6" w:space="0" w:color="000000"/>
              <w:right w:val="single" w:sz="6" w:space="0" w:color="000000"/>
            </w:tcBorders>
          </w:tcPr>
          <w:p w14:paraId="43ECEE41" w14:textId="7AA24589" w:rsidR="00DB68DE" w:rsidRPr="00DB68DE" w:rsidRDefault="00DB68DE" w:rsidP="00DB68DE">
            <w:pPr>
              <w:rPr>
                <w:rFonts w:eastAsia="Times New Roman" w:cs="Times New Roman"/>
                <w:color w:val="000000"/>
                <w:lang w:eastAsia="en-NZ"/>
              </w:rPr>
            </w:pPr>
          </w:p>
        </w:tc>
        <w:tc>
          <w:tcPr>
            <w:tcW w:w="1423" w:type="dxa"/>
            <w:tcBorders>
              <w:top w:val="single" w:sz="6" w:space="0" w:color="000000"/>
              <w:left w:val="single" w:sz="6" w:space="0" w:color="000000"/>
              <w:bottom w:val="single" w:sz="6" w:space="0" w:color="000000"/>
              <w:right w:val="single" w:sz="6" w:space="0" w:color="000000"/>
            </w:tcBorders>
          </w:tcPr>
          <w:p w14:paraId="737D1AF0" w14:textId="3E5288CA" w:rsidR="00DB68DE" w:rsidRPr="00DB68DE" w:rsidRDefault="00DB68DE" w:rsidP="00DB68DE">
            <w:pPr>
              <w:rPr>
                <w:rFonts w:eastAsia="Times New Roman" w:cs="Times New Roman"/>
                <w:color w:val="000000"/>
                <w:lang w:eastAsia="en-NZ"/>
              </w:rPr>
            </w:pPr>
          </w:p>
        </w:tc>
        <w:tc>
          <w:tcPr>
            <w:tcW w:w="1277" w:type="dxa"/>
            <w:tcBorders>
              <w:top w:val="single" w:sz="6" w:space="0" w:color="000000"/>
              <w:left w:val="single" w:sz="6" w:space="0" w:color="000000"/>
              <w:bottom w:val="single" w:sz="6" w:space="0" w:color="000000"/>
              <w:right w:val="single" w:sz="6" w:space="0" w:color="000000"/>
            </w:tcBorders>
          </w:tcPr>
          <w:p w14:paraId="217F5589" w14:textId="7F567622" w:rsidR="00DB68DE" w:rsidRPr="00DB68DE" w:rsidRDefault="00DB68DE" w:rsidP="00DB68DE">
            <w:pPr>
              <w:rPr>
                <w:rFonts w:eastAsia="Times New Roman" w:cs="Times New Roman"/>
                <w:color w:val="000000"/>
                <w:lang w:eastAsia="en-NZ"/>
              </w:rPr>
            </w:pPr>
          </w:p>
        </w:tc>
      </w:tr>
      <w:tr w:rsidR="00DB68DE" w:rsidRPr="00DB68DE" w14:paraId="102B2FE5"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226B431B"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Prior Morbidities</w:t>
            </w:r>
          </w:p>
        </w:tc>
        <w:tc>
          <w:tcPr>
            <w:tcW w:w="5245" w:type="dxa"/>
            <w:tcBorders>
              <w:top w:val="single" w:sz="6" w:space="0" w:color="000000"/>
              <w:left w:val="single" w:sz="6" w:space="0" w:color="000000"/>
              <w:bottom w:val="single" w:sz="6" w:space="0" w:color="000000"/>
              <w:right w:val="single" w:sz="6" w:space="0" w:color="000000"/>
            </w:tcBorders>
          </w:tcPr>
          <w:p w14:paraId="07FA389B"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 xml:space="preserve">The total </w:t>
            </w:r>
            <w:proofErr w:type="spellStart"/>
            <w:r w:rsidRPr="00DB68DE">
              <w:rPr>
                <w:rFonts w:eastAsia="Times New Roman" w:cs="Times New Roman"/>
                <w:color w:val="000000"/>
                <w:lang w:eastAsia="en-NZ"/>
              </w:rPr>
              <w:t>Charlson</w:t>
            </w:r>
            <w:proofErr w:type="spellEnd"/>
            <w:r w:rsidRPr="00DB68DE">
              <w:rPr>
                <w:rFonts w:eastAsia="Times New Roman" w:cs="Times New Roman"/>
                <w:color w:val="000000"/>
                <w:lang w:eastAsia="en-NZ"/>
              </w:rPr>
              <w:t xml:space="preserve"> Comorbidity Index for all prior stays in the last 12 months</w:t>
            </w:r>
          </w:p>
        </w:tc>
        <w:tc>
          <w:tcPr>
            <w:tcW w:w="1423" w:type="dxa"/>
            <w:tcBorders>
              <w:top w:val="single" w:sz="6" w:space="0" w:color="000000"/>
              <w:left w:val="single" w:sz="6" w:space="0" w:color="000000"/>
              <w:bottom w:val="single" w:sz="6" w:space="0" w:color="000000"/>
              <w:right w:val="single" w:sz="6" w:space="0" w:color="000000"/>
            </w:tcBorders>
          </w:tcPr>
          <w:p w14:paraId="255A44F6"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 xml:space="preserve"> 344 </w:t>
            </w:r>
          </w:p>
        </w:tc>
        <w:tc>
          <w:tcPr>
            <w:tcW w:w="1277" w:type="dxa"/>
            <w:tcBorders>
              <w:top w:val="single" w:sz="6" w:space="0" w:color="000000"/>
              <w:left w:val="single" w:sz="6" w:space="0" w:color="000000"/>
              <w:bottom w:val="single" w:sz="6" w:space="0" w:color="000000"/>
              <w:right w:val="single" w:sz="6" w:space="0" w:color="000000"/>
            </w:tcBorders>
          </w:tcPr>
          <w:p w14:paraId="1314631E"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&lt;.0001</w:t>
            </w:r>
          </w:p>
        </w:tc>
      </w:tr>
      <w:tr w:rsidR="00DB68DE" w:rsidRPr="00DB68DE" w14:paraId="21B47FBE"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63D92E4B"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Current Morbidities</w:t>
            </w:r>
          </w:p>
        </w:tc>
        <w:tc>
          <w:tcPr>
            <w:tcW w:w="5245" w:type="dxa"/>
            <w:tcBorders>
              <w:top w:val="single" w:sz="6" w:space="0" w:color="000000"/>
              <w:left w:val="single" w:sz="6" w:space="0" w:color="000000"/>
              <w:bottom w:val="single" w:sz="6" w:space="0" w:color="000000"/>
              <w:right w:val="single" w:sz="6" w:space="0" w:color="000000"/>
            </w:tcBorders>
          </w:tcPr>
          <w:p w14:paraId="1DD1E5BD"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 xml:space="preserve">The </w:t>
            </w:r>
            <w:proofErr w:type="spellStart"/>
            <w:r w:rsidRPr="00DB68DE">
              <w:rPr>
                <w:rFonts w:eastAsia="Times New Roman" w:cs="Times New Roman"/>
                <w:color w:val="000000"/>
                <w:lang w:eastAsia="en-NZ"/>
              </w:rPr>
              <w:t>Charlson</w:t>
            </w:r>
            <w:proofErr w:type="spellEnd"/>
            <w:r w:rsidRPr="00DB68DE">
              <w:rPr>
                <w:rFonts w:eastAsia="Times New Roman" w:cs="Times New Roman"/>
                <w:color w:val="000000"/>
                <w:lang w:eastAsia="en-NZ"/>
              </w:rPr>
              <w:t xml:space="preserve"> Comorbidity Index of the index admission</w:t>
            </w:r>
          </w:p>
        </w:tc>
        <w:tc>
          <w:tcPr>
            <w:tcW w:w="1423" w:type="dxa"/>
            <w:tcBorders>
              <w:top w:val="single" w:sz="6" w:space="0" w:color="000000"/>
              <w:left w:val="single" w:sz="6" w:space="0" w:color="000000"/>
              <w:bottom w:val="single" w:sz="6" w:space="0" w:color="000000"/>
              <w:right w:val="single" w:sz="6" w:space="0" w:color="000000"/>
            </w:tcBorders>
          </w:tcPr>
          <w:p w14:paraId="18674C1E"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 xml:space="preserve"> 399</w:t>
            </w:r>
          </w:p>
        </w:tc>
        <w:tc>
          <w:tcPr>
            <w:tcW w:w="1277" w:type="dxa"/>
            <w:tcBorders>
              <w:top w:val="single" w:sz="6" w:space="0" w:color="000000"/>
              <w:left w:val="single" w:sz="6" w:space="0" w:color="000000"/>
              <w:bottom w:val="single" w:sz="6" w:space="0" w:color="000000"/>
              <w:right w:val="single" w:sz="6" w:space="0" w:color="000000"/>
            </w:tcBorders>
          </w:tcPr>
          <w:p w14:paraId="4DDFE72D" w14:textId="77777777" w:rsidR="00DB68DE" w:rsidRPr="00DB68DE" w:rsidRDefault="00DB68DE" w:rsidP="00DB68DE">
            <w:pPr>
              <w:rPr>
                <w:rFonts w:eastAsia="Times New Roman" w:cs="Times New Roman"/>
                <w:color w:val="000000"/>
                <w:lang w:eastAsia="en-NZ"/>
              </w:rPr>
            </w:pPr>
            <w:r w:rsidRPr="00DB68DE">
              <w:rPr>
                <w:rFonts w:eastAsia="Times New Roman" w:cs="Times New Roman"/>
                <w:color w:val="000000"/>
                <w:lang w:eastAsia="en-NZ"/>
              </w:rPr>
              <w:t>&lt;.0001</w:t>
            </w:r>
          </w:p>
        </w:tc>
      </w:tr>
    </w:tbl>
    <w:p w14:paraId="5C567098" w14:textId="77777777" w:rsidR="0083132E" w:rsidRDefault="0083132E" w:rsidP="00262E7F">
      <w:pPr>
        <w:rPr>
          <w:rFonts w:eastAsia="Times New Roman" w:cs="Times New Roman"/>
          <w:color w:val="000000"/>
          <w:lang w:eastAsia="en-NZ"/>
        </w:rPr>
      </w:pPr>
    </w:p>
    <w:p w14:paraId="4550DF15" w14:textId="2E18B08C" w:rsidR="002F60A3" w:rsidRDefault="00FA4D01" w:rsidP="00DB68DE">
      <w:pPr>
        <w:jc w:val="both"/>
        <w:rPr>
          <w:rFonts w:eastAsia="Times New Roman" w:cs="Times New Roman"/>
          <w:color w:val="000000"/>
          <w:lang w:eastAsia="en-NZ"/>
        </w:rPr>
      </w:pPr>
      <w:r>
        <w:rPr>
          <w:rFonts w:eastAsia="Times New Roman" w:cs="Times New Roman"/>
          <w:color w:val="000000"/>
          <w:lang w:eastAsia="en-NZ"/>
        </w:rPr>
        <w:t>D</w:t>
      </w:r>
      <w:r w:rsidR="006C2C8F">
        <w:rPr>
          <w:rFonts w:eastAsia="Times New Roman" w:cs="Times New Roman"/>
          <w:color w:val="000000"/>
          <w:lang w:eastAsia="en-NZ"/>
        </w:rPr>
        <w:t xml:space="preserve">eprivation, </w:t>
      </w:r>
      <w:proofErr w:type="gramStart"/>
      <w:r w:rsidR="006C2C8F">
        <w:rPr>
          <w:rFonts w:eastAsia="Times New Roman" w:cs="Times New Roman"/>
          <w:color w:val="000000"/>
          <w:lang w:eastAsia="en-NZ"/>
        </w:rPr>
        <w:t>ethnicity</w:t>
      </w:r>
      <w:proofErr w:type="gramEnd"/>
      <w:r w:rsidR="006C2C8F">
        <w:rPr>
          <w:rFonts w:eastAsia="Times New Roman" w:cs="Times New Roman"/>
          <w:color w:val="000000"/>
          <w:lang w:eastAsia="en-NZ"/>
        </w:rPr>
        <w:t xml:space="preserve"> and gender </w:t>
      </w:r>
      <w:r w:rsidR="006C2C8F" w:rsidRPr="00262E7F">
        <w:rPr>
          <w:rFonts w:eastAsia="Times New Roman" w:cs="Times New Roman"/>
          <w:color w:val="000000"/>
          <w:lang w:eastAsia="en-NZ"/>
        </w:rPr>
        <w:t xml:space="preserve">have been tested </w:t>
      </w:r>
      <w:r w:rsidR="006C2C8F">
        <w:rPr>
          <w:rFonts w:eastAsia="Times New Roman" w:cs="Times New Roman"/>
          <w:color w:val="000000"/>
          <w:lang w:eastAsia="en-NZ"/>
        </w:rPr>
        <w:t xml:space="preserve">but not included in the model. Deprivation has </w:t>
      </w:r>
      <w:r>
        <w:rPr>
          <w:rFonts w:eastAsia="Times New Roman" w:cs="Times New Roman"/>
          <w:color w:val="000000"/>
          <w:lang w:eastAsia="en-NZ"/>
        </w:rPr>
        <w:t xml:space="preserve">been removed as it </w:t>
      </w:r>
      <w:proofErr w:type="gramStart"/>
      <w:r w:rsidR="004A30D8">
        <w:rPr>
          <w:rFonts w:eastAsia="Times New Roman" w:cs="Times New Roman"/>
          <w:color w:val="000000"/>
          <w:lang w:eastAsia="en-NZ"/>
        </w:rPr>
        <w:t xml:space="preserve">is </w:t>
      </w:r>
      <w:r w:rsidR="00747823" w:rsidRPr="007A4834">
        <w:rPr>
          <w:rFonts w:eastAsia="Times New Roman" w:cs="Times New Roman"/>
          <w:color w:val="000000"/>
          <w:lang w:eastAsia="en-NZ"/>
        </w:rPr>
        <w:t xml:space="preserve">considered </w:t>
      </w:r>
      <w:r w:rsidR="004A30D8" w:rsidRPr="007A4834">
        <w:rPr>
          <w:rFonts w:eastAsia="Times New Roman" w:cs="Times New Roman"/>
          <w:color w:val="000000"/>
          <w:lang w:eastAsia="en-NZ"/>
        </w:rPr>
        <w:t>to be</w:t>
      </w:r>
      <w:proofErr w:type="gramEnd"/>
      <w:r w:rsidR="004A30D8" w:rsidRPr="007A4834">
        <w:rPr>
          <w:rFonts w:eastAsia="Times New Roman" w:cs="Times New Roman"/>
          <w:color w:val="000000"/>
          <w:lang w:eastAsia="en-NZ"/>
        </w:rPr>
        <w:t xml:space="preserve"> </w:t>
      </w:r>
      <w:r w:rsidR="00AA0CEE" w:rsidRPr="007A4834">
        <w:rPr>
          <w:rFonts w:eastAsia="Times New Roman" w:cs="Times New Roman"/>
          <w:color w:val="000000"/>
          <w:lang w:eastAsia="en-NZ"/>
        </w:rPr>
        <w:t>amen</w:t>
      </w:r>
      <w:r w:rsidR="006C2C8F" w:rsidRPr="007A4834">
        <w:rPr>
          <w:rFonts w:eastAsia="Times New Roman" w:cs="Times New Roman"/>
          <w:color w:val="000000"/>
          <w:lang w:eastAsia="en-NZ"/>
        </w:rPr>
        <w:t>able</w:t>
      </w:r>
      <w:r w:rsidR="006C2C8F">
        <w:rPr>
          <w:rFonts w:eastAsia="Times New Roman" w:cs="Times New Roman"/>
          <w:color w:val="000000"/>
          <w:lang w:eastAsia="en-NZ"/>
        </w:rPr>
        <w:t xml:space="preserve"> to </w:t>
      </w:r>
      <w:r w:rsidR="00AA0CEE">
        <w:rPr>
          <w:rFonts w:eastAsia="Times New Roman" w:cs="Times New Roman"/>
          <w:color w:val="000000"/>
          <w:lang w:eastAsia="en-NZ"/>
        </w:rPr>
        <w:t>intervention</w:t>
      </w:r>
      <w:r w:rsidR="006C2C8F">
        <w:rPr>
          <w:rFonts w:eastAsia="Times New Roman" w:cs="Times New Roman"/>
          <w:color w:val="000000"/>
          <w:lang w:eastAsia="en-NZ"/>
        </w:rPr>
        <w:t xml:space="preserve">. Including deprivation in the model will remove transparency over the need to address disparity. Ethnicity and gender have been </w:t>
      </w:r>
      <w:r w:rsidR="006C2C8F" w:rsidRPr="00262E7F">
        <w:rPr>
          <w:rFonts w:eastAsia="Times New Roman" w:cs="Times New Roman"/>
          <w:color w:val="000000"/>
          <w:lang w:eastAsia="en-NZ"/>
        </w:rPr>
        <w:t xml:space="preserve">removed due </w:t>
      </w:r>
      <w:r w:rsidR="006C2C8F">
        <w:rPr>
          <w:rFonts w:eastAsia="Times New Roman" w:cs="Times New Roman"/>
          <w:color w:val="000000"/>
          <w:lang w:eastAsia="en-NZ"/>
        </w:rPr>
        <w:t>to its low statistic</w:t>
      </w:r>
      <w:r w:rsidR="00A4568D">
        <w:rPr>
          <w:rFonts w:eastAsia="Times New Roman" w:cs="Times New Roman"/>
          <w:color w:val="000000"/>
          <w:lang w:eastAsia="en-NZ"/>
        </w:rPr>
        <w:t>al significance in the model.</w:t>
      </w:r>
    </w:p>
    <w:p w14:paraId="2615F076" w14:textId="77777777" w:rsidR="00A4568D" w:rsidRDefault="00A4568D" w:rsidP="00262E7F">
      <w:pPr>
        <w:rPr>
          <w:b/>
        </w:rPr>
      </w:pPr>
    </w:p>
    <w:p w14:paraId="53DE9789" w14:textId="2E378C43" w:rsidR="00E75D09" w:rsidRPr="00E75D09" w:rsidRDefault="00E75D09" w:rsidP="004B6974">
      <w:pPr>
        <w:pStyle w:val="Heading3"/>
      </w:pPr>
      <w:bookmarkStart w:id="66" w:name="_Ref457223091"/>
      <w:bookmarkStart w:id="67" w:name="_Toc173318905"/>
      <w:r w:rsidRPr="004B6974">
        <w:rPr>
          <w:rFonts w:asciiTheme="minorHAnsi" w:hAnsiTheme="minorHAnsi" w:cs="Arial"/>
        </w:rPr>
        <w:t xml:space="preserve">Primary Diagnosis Group for </w:t>
      </w:r>
      <w:r w:rsidR="006A0981" w:rsidRPr="004B6974">
        <w:rPr>
          <w:rFonts w:asciiTheme="minorHAnsi" w:hAnsiTheme="minorHAnsi" w:cs="Arial"/>
        </w:rPr>
        <w:t>S</w:t>
      </w:r>
      <w:r w:rsidRPr="004B6974">
        <w:rPr>
          <w:rFonts w:asciiTheme="minorHAnsi" w:hAnsiTheme="minorHAnsi" w:cs="Arial"/>
        </w:rPr>
        <w:t>tandardisation</w:t>
      </w:r>
      <w:bookmarkEnd w:id="66"/>
      <w:bookmarkEnd w:id="67"/>
    </w:p>
    <w:p w14:paraId="1BBF9523" w14:textId="1FC91A03" w:rsidR="0003328F" w:rsidRPr="009B3899" w:rsidRDefault="0003328F" w:rsidP="003D1355">
      <w:pPr>
        <w:jc w:val="both"/>
        <w:rPr>
          <w:rFonts w:cs="Arial"/>
          <w:b/>
        </w:rPr>
      </w:pPr>
      <w:r w:rsidRPr="009B3899">
        <w:rPr>
          <w:rFonts w:cs="Arial"/>
          <w:b/>
        </w:rPr>
        <w:t>Cluster Analysis</w:t>
      </w:r>
    </w:p>
    <w:p w14:paraId="1DA8163B" w14:textId="77777777" w:rsidR="00DB68DE" w:rsidRPr="00DB68DE" w:rsidRDefault="00DB68DE" w:rsidP="00DB68DE">
      <w:pPr>
        <w:jc w:val="both"/>
        <w:rPr>
          <w:rFonts w:cs="Arial"/>
        </w:rPr>
      </w:pPr>
      <w:r w:rsidRPr="00DB68DE">
        <w:rPr>
          <w:rFonts w:cs="Arial"/>
        </w:rPr>
        <w:lastRenderedPageBreak/>
        <w:t>The primary diagnoses were grouped into diagnostic clusters in the model (Table 8). The diagnostic clusters are based on a cluster analysis that grouped ICD codes into different clusters according to their statistical distribution of crude readmission rates.</w:t>
      </w:r>
    </w:p>
    <w:p w14:paraId="54699C3D" w14:textId="77777777" w:rsidR="00DB68DE" w:rsidRPr="00DB68DE" w:rsidRDefault="00DB68DE" w:rsidP="00DB68DE">
      <w:pPr>
        <w:jc w:val="both"/>
        <w:rPr>
          <w:rFonts w:cs="Arial"/>
          <w:b/>
          <w:bCs/>
        </w:rPr>
      </w:pPr>
      <w:r w:rsidRPr="00DB68DE">
        <w:rPr>
          <w:rFonts w:cs="Arial"/>
          <w:b/>
          <w:bCs/>
        </w:rPr>
        <w:t>Table 8. Diagnostic cluster and ICD code</w:t>
      </w:r>
    </w:p>
    <w:tbl>
      <w:tblPr>
        <w:tblW w:w="9639" w:type="dxa"/>
        <w:tblInd w:w="-8" w:type="dxa"/>
        <w:tblLayout w:type="fixed"/>
        <w:tblLook w:val="00A0" w:firstRow="1" w:lastRow="0" w:firstColumn="1" w:lastColumn="0" w:noHBand="0" w:noVBand="0"/>
      </w:tblPr>
      <w:tblGrid>
        <w:gridCol w:w="1696"/>
        <w:gridCol w:w="7943"/>
      </w:tblGrid>
      <w:tr w:rsidR="00DB68DE" w:rsidRPr="00DB68DE" w14:paraId="0626C48B" w14:textId="77777777" w:rsidTr="00DB68DE">
        <w:trPr>
          <w:trHeight w:val="315"/>
        </w:trPr>
        <w:tc>
          <w:tcPr>
            <w:tcW w:w="1696" w:type="dxa"/>
            <w:tcBorders>
              <w:top w:val="single" w:sz="6" w:space="0" w:color="000000"/>
              <w:left w:val="single" w:sz="6" w:space="0" w:color="000000"/>
              <w:bottom w:val="single" w:sz="6" w:space="0" w:color="000000"/>
              <w:right w:val="single" w:sz="6" w:space="0" w:color="000000"/>
            </w:tcBorders>
            <w:shd w:val="clear" w:color="auto" w:fill="9CC2E5" w:themeFill="accent1" w:themeFillTint="99"/>
            <w:vAlign w:val="center"/>
          </w:tcPr>
          <w:p w14:paraId="729BC2F3" w14:textId="77777777" w:rsidR="00DB68DE" w:rsidRPr="00DB68DE" w:rsidRDefault="00DB68DE" w:rsidP="00DB68DE">
            <w:pPr>
              <w:jc w:val="both"/>
              <w:rPr>
                <w:rFonts w:cs="Arial"/>
                <w:b/>
                <w:bCs/>
              </w:rPr>
            </w:pPr>
            <w:r w:rsidRPr="00DB68DE">
              <w:rPr>
                <w:rFonts w:cs="Arial"/>
                <w:b/>
                <w:bCs/>
              </w:rPr>
              <w:t>Diagnostic cluster</w:t>
            </w:r>
          </w:p>
        </w:tc>
        <w:tc>
          <w:tcPr>
            <w:tcW w:w="7943" w:type="dxa"/>
            <w:tcBorders>
              <w:top w:val="single" w:sz="6" w:space="0" w:color="000000"/>
              <w:left w:val="single" w:sz="6" w:space="0" w:color="000000"/>
              <w:bottom w:val="single" w:sz="6" w:space="0" w:color="000000"/>
              <w:right w:val="single" w:sz="6" w:space="0" w:color="000000"/>
            </w:tcBorders>
            <w:shd w:val="clear" w:color="auto" w:fill="9CC2E5" w:themeFill="accent1" w:themeFillTint="99"/>
            <w:vAlign w:val="center"/>
          </w:tcPr>
          <w:p w14:paraId="5C92C89B" w14:textId="77777777" w:rsidR="00DB68DE" w:rsidRPr="00DB68DE" w:rsidRDefault="00DB68DE" w:rsidP="00DB68DE">
            <w:pPr>
              <w:jc w:val="both"/>
              <w:rPr>
                <w:rFonts w:cs="Arial"/>
                <w:b/>
                <w:bCs/>
              </w:rPr>
            </w:pPr>
            <w:r w:rsidRPr="00DB68DE">
              <w:rPr>
                <w:rFonts w:cs="Arial"/>
                <w:b/>
                <w:bCs/>
              </w:rPr>
              <w:t>ICD codes included</w:t>
            </w:r>
          </w:p>
        </w:tc>
      </w:tr>
      <w:tr w:rsidR="00DB68DE" w:rsidRPr="00DB68DE" w14:paraId="04A1AF0E"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184EC0FF" w14:textId="77777777" w:rsidR="00DB68DE" w:rsidRPr="00DB68DE" w:rsidRDefault="00DB68DE" w:rsidP="00DB68DE">
            <w:pPr>
              <w:jc w:val="both"/>
              <w:rPr>
                <w:rFonts w:cs="Arial"/>
              </w:rPr>
            </w:pPr>
            <w:r w:rsidRPr="00DB68DE">
              <w:rPr>
                <w:rFonts w:cs="Arial"/>
              </w:rPr>
              <w:t>I</w:t>
            </w:r>
          </w:p>
        </w:tc>
        <w:tc>
          <w:tcPr>
            <w:tcW w:w="7943" w:type="dxa"/>
            <w:tcBorders>
              <w:top w:val="single" w:sz="6" w:space="0" w:color="000000"/>
              <w:left w:val="single" w:sz="6" w:space="0" w:color="000000"/>
              <w:bottom w:val="single" w:sz="6" w:space="0" w:color="000000"/>
              <w:right w:val="single" w:sz="6" w:space="0" w:color="000000"/>
            </w:tcBorders>
          </w:tcPr>
          <w:p w14:paraId="204EA877" w14:textId="77777777" w:rsidR="00DB68DE" w:rsidRPr="00DB68DE" w:rsidRDefault="00DB68DE" w:rsidP="00DB68DE">
            <w:pPr>
              <w:jc w:val="both"/>
              <w:rPr>
                <w:rFonts w:cs="Arial"/>
              </w:rPr>
            </w:pPr>
            <w:r w:rsidRPr="00DB68DE">
              <w:rPr>
                <w:rFonts w:cs="Arial"/>
              </w:rPr>
              <w:t>"J6", "J7", "J8"</w:t>
            </w:r>
          </w:p>
        </w:tc>
      </w:tr>
      <w:tr w:rsidR="00DB68DE" w:rsidRPr="00DB68DE" w14:paraId="1F4C5942"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49C56D0C" w14:textId="77777777" w:rsidR="00DB68DE" w:rsidRPr="00DB68DE" w:rsidRDefault="00DB68DE" w:rsidP="00DB68DE">
            <w:pPr>
              <w:jc w:val="both"/>
              <w:rPr>
                <w:rFonts w:cs="Arial"/>
              </w:rPr>
            </w:pPr>
            <w:r w:rsidRPr="00DB68DE">
              <w:rPr>
                <w:rFonts w:cs="Arial"/>
              </w:rPr>
              <w:t>II</w:t>
            </w:r>
          </w:p>
        </w:tc>
        <w:tc>
          <w:tcPr>
            <w:tcW w:w="7943" w:type="dxa"/>
            <w:tcBorders>
              <w:top w:val="single" w:sz="6" w:space="0" w:color="000000"/>
              <w:left w:val="single" w:sz="6" w:space="0" w:color="000000"/>
              <w:bottom w:val="single" w:sz="6" w:space="0" w:color="000000"/>
              <w:right w:val="single" w:sz="6" w:space="0" w:color="000000"/>
            </w:tcBorders>
          </w:tcPr>
          <w:p w14:paraId="35F551B5" w14:textId="77777777" w:rsidR="00DB68DE" w:rsidRPr="00DB68DE" w:rsidRDefault="00DB68DE" w:rsidP="00DB68DE">
            <w:pPr>
              <w:jc w:val="both"/>
              <w:rPr>
                <w:rFonts w:cs="Arial"/>
              </w:rPr>
            </w:pPr>
            <w:r w:rsidRPr="00DB68DE">
              <w:rPr>
                <w:rFonts w:cs="Arial"/>
              </w:rPr>
              <w:t>"C7", "C3", "K7", "C2", "J9", "C1", "D6", "L1", "B4"</w:t>
            </w:r>
          </w:p>
        </w:tc>
      </w:tr>
      <w:tr w:rsidR="00DB68DE" w:rsidRPr="00DB68DE" w14:paraId="070A387B"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4F08FDE9" w14:textId="77777777" w:rsidR="00DB68DE" w:rsidRPr="00DB68DE" w:rsidRDefault="00DB68DE" w:rsidP="00DB68DE">
            <w:pPr>
              <w:jc w:val="both"/>
              <w:rPr>
                <w:rFonts w:cs="Arial"/>
              </w:rPr>
            </w:pPr>
            <w:r w:rsidRPr="00DB68DE">
              <w:rPr>
                <w:rFonts w:cs="Arial"/>
              </w:rPr>
              <w:t>III</w:t>
            </w:r>
          </w:p>
        </w:tc>
        <w:tc>
          <w:tcPr>
            <w:tcW w:w="7943" w:type="dxa"/>
            <w:tcBorders>
              <w:top w:val="single" w:sz="6" w:space="0" w:color="000000"/>
              <w:left w:val="single" w:sz="6" w:space="0" w:color="000000"/>
              <w:bottom w:val="single" w:sz="6" w:space="0" w:color="000000"/>
              <w:right w:val="single" w:sz="6" w:space="0" w:color="000000"/>
            </w:tcBorders>
          </w:tcPr>
          <w:p w14:paraId="2701B1AE" w14:textId="77777777" w:rsidR="00DB68DE" w:rsidRPr="00DB68DE" w:rsidRDefault="00DB68DE" w:rsidP="00DB68DE">
            <w:pPr>
              <w:jc w:val="both"/>
              <w:rPr>
                <w:rFonts w:cs="Arial"/>
              </w:rPr>
            </w:pPr>
            <w:r w:rsidRPr="00DB68DE">
              <w:rPr>
                <w:rFonts w:cs="Arial"/>
              </w:rPr>
              <w:t>"I5", "J4"</w:t>
            </w:r>
          </w:p>
        </w:tc>
      </w:tr>
      <w:tr w:rsidR="00DB68DE" w:rsidRPr="00DB68DE" w14:paraId="262EF199"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2E25791D" w14:textId="77777777" w:rsidR="00DB68DE" w:rsidRPr="00DB68DE" w:rsidRDefault="00DB68DE" w:rsidP="00DB68DE">
            <w:pPr>
              <w:jc w:val="both"/>
              <w:rPr>
                <w:rFonts w:cs="Arial"/>
              </w:rPr>
            </w:pPr>
            <w:r w:rsidRPr="00DB68DE">
              <w:rPr>
                <w:rFonts w:cs="Arial"/>
              </w:rPr>
              <w:t>IV</w:t>
            </w:r>
          </w:p>
        </w:tc>
        <w:tc>
          <w:tcPr>
            <w:tcW w:w="7943" w:type="dxa"/>
            <w:tcBorders>
              <w:top w:val="single" w:sz="6" w:space="0" w:color="000000"/>
              <w:left w:val="single" w:sz="6" w:space="0" w:color="000000"/>
              <w:bottom w:val="single" w:sz="6" w:space="0" w:color="000000"/>
              <w:right w:val="single" w:sz="6" w:space="0" w:color="000000"/>
            </w:tcBorders>
          </w:tcPr>
          <w:p w14:paraId="6EA40A60" w14:textId="77777777" w:rsidR="00DB68DE" w:rsidRPr="00DB68DE" w:rsidRDefault="00DB68DE" w:rsidP="00DB68DE">
            <w:pPr>
              <w:jc w:val="both"/>
              <w:rPr>
                <w:rFonts w:cs="Arial"/>
              </w:rPr>
            </w:pPr>
            <w:r w:rsidRPr="00DB68DE">
              <w:rPr>
                <w:rFonts w:cs="Arial"/>
              </w:rPr>
              <w:t>"B5", "C8", "D7", "D4", "I0", "C9", "O2", "Q4", "G9", "G0", "K8", "N2"</w:t>
            </w:r>
          </w:p>
        </w:tc>
      </w:tr>
      <w:tr w:rsidR="00DB68DE" w:rsidRPr="00DB68DE" w14:paraId="0550EA51"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71F743A2" w14:textId="77777777" w:rsidR="00DB68DE" w:rsidRPr="00DB68DE" w:rsidRDefault="00DB68DE" w:rsidP="00DB68DE">
            <w:pPr>
              <w:jc w:val="both"/>
              <w:rPr>
                <w:rFonts w:cs="Arial"/>
              </w:rPr>
            </w:pPr>
            <w:r w:rsidRPr="00DB68DE">
              <w:rPr>
                <w:rFonts w:cs="Arial"/>
              </w:rPr>
              <w:t>V</w:t>
            </w:r>
          </w:p>
        </w:tc>
        <w:tc>
          <w:tcPr>
            <w:tcW w:w="7943" w:type="dxa"/>
            <w:tcBorders>
              <w:top w:val="single" w:sz="6" w:space="0" w:color="000000"/>
              <w:left w:val="single" w:sz="6" w:space="0" w:color="000000"/>
              <w:bottom w:val="single" w:sz="6" w:space="0" w:color="000000"/>
              <w:right w:val="single" w:sz="6" w:space="0" w:color="000000"/>
            </w:tcBorders>
          </w:tcPr>
          <w:p w14:paraId="35EAA1E0" w14:textId="77777777" w:rsidR="00DB68DE" w:rsidRPr="00DB68DE" w:rsidRDefault="00DB68DE" w:rsidP="00DB68DE">
            <w:pPr>
              <w:jc w:val="both"/>
              <w:rPr>
                <w:rFonts w:cs="Arial"/>
              </w:rPr>
            </w:pPr>
            <w:r w:rsidRPr="00DB68DE">
              <w:rPr>
                <w:rFonts w:cs="Arial"/>
              </w:rPr>
              <w:t>"Z8", "O1", "O4", "D8", "Z2", "E3", "G6", "D2", "L6", "O3", "J3", "S6", "A9", "O6", "Q5", "O8", "O7", "Q1", "H6", "K0", "H7", "Z9"</w:t>
            </w:r>
          </w:p>
        </w:tc>
      </w:tr>
      <w:tr w:rsidR="00DB68DE" w:rsidRPr="00DB68DE" w14:paraId="7BDA8259"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0C39D409" w14:textId="77777777" w:rsidR="00DB68DE" w:rsidRPr="00DB68DE" w:rsidRDefault="00DB68DE" w:rsidP="00DB68DE">
            <w:pPr>
              <w:jc w:val="both"/>
              <w:rPr>
                <w:rFonts w:cs="Arial"/>
              </w:rPr>
            </w:pPr>
            <w:r w:rsidRPr="00DB68DE">
              <w:rPr>
                <w:rFonts w:cs="Arial"/>
              </w:rPr>
              <w:t>VI</w:t>
            </w:r>
          </w:p>
        </w:tc>
        <w:tc>
          <w:tcPr>
            <w:tcW w:w="7943" w:type="dxa"/>
            <w:tcBorders>
              <w:top w:val="single" w:sz="6" w:space="0" w:color="000000"/>
              <w:left w:val="single" w:sz="6" w:space="0" w:color="000000"/>
              <w:bottom w:val="single" w:sz="6" w:space="0" w:color="000000"/>
              <w:right w:val="single" w:sz="6" w:space="0" w:color="000000"/>
            </w:tcBorders>
          </w:tcPr>
          <w:p w14:paraId="21881000" w14:textId="77777777" w:rsidR="00DB68DE" w:rsidRPr="00DB68DE" w:rsidRDefault="00DB68DE" w:rsidP="00DB68DE">
            <w:pPr>
              <w:jc w:val="both"/>
              <w:rPr>
                <w:rFonts w:cs="Arial"/>
              </w:rPr>
            </w:pPr>
            <w:r w:rsidRPr="00DB68DE">
              <w:rPr>
                <w:rFonts w:cs="Arial"/>
              </w:rPr>
              <w:t>"L3", "L8", "I9", "B9", "I2", "J2", "F5", "E1", "F0", "I4", "N3", "G2", "F4", "J1", "Z7", "R4", "E5", "F1", "I6"</w:t>
            </w:r>
          </w:p>
        </w:tc>
      </w:tr>
      <w:tr w:rsidR="00DB68DE" w:rsidRPr="00DB68DE" w14:paraId="4FB986CE"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08C792F0" w14:textId="77777777" w:rsidR="00DB68DE" w:rsidRPr="00DB68DE" w:rsidRDefault="00DB68DE" w:rsidP="00DB68DE">
            <w:pPr>
              <w:jc w:val="both"/>
              <w:rPr>
                <w:rFonts w:cs="Arial"/>
              </w:rPr>
            </w:pPr>
            <w:r w:rsidRPr="00DB68DE">
              <w:rPr>
                <w:rFonts w:cs="Arial"/>
              </w:rPr>
              <w:t>VII</w:t>
            </w:r>
          </w:p>
        </w:tc>
        <w:tc>
          <w:tcPr>
            <w:tcW w:w="7943" w:type="dxa"/>
            <w:tcBorders>
              <w:top w:val="single" w:sz="6" w:space="0" w:color="000000"/>
              <w:left w:val="single" w:sz="6" w:space="0" w:color="000000"/>
              <w:bottom w:val="single" w:sz="6" w:space="0" w:color="000000"/>
              <w:right w:val="single" w:sz="6" w:space="0" w:color="000000"/>
            </w:tcBorders>
          </w:tcPr>
          <w:p w14:paraId="6B5CA560" w14:textId="77777777" w:rsidR="00DB68DE" w:rsidRPr="00DB68DE" w:rsidRDefault="00DB68DE" w:rsidP="00DB68DE">
            <w:pPr>
              <w:jc w:val="both"/>
              <w:rPr>
                <w:rFonts w:cs="Arial"/>
              </w:rPr>
            </w:pPr>
            <w:r w:rsidRPr="00DB68DE">
              <w:rPr>
                <w:rFonts w:cs="Arial"/>
              </w:rPr>
              <w:t>"T8", "I3", "K9", "I7", "K5", "B6", "R1", "E2", "M8", "N0", "C0", "I1", "N1", "L9", "R6", "R2", "M5", "S7", "L2,", "K2", "D5", "B8</w:t>
            </w:r>
            <w:proofErr w:type="gramStart"/>
            <w:r w:rsidRPr="00DB68DE">
              <w:rPr>
                <w:rFonts w:cs="Arial"/>
              </w:rPr>
              <w:t>" ,</w:t>
            </w:r>
            <w:proofErr w:type="gramEnd"/>
            <w:r w:rsidRPr="00DB68DE">
              <w:rPr>
                <w:rFonts w:cs="Arial"/>
              </w:rPr>
              <w:t xml:space="preserve">"F3", </w:t>
            </w:r>
          </w:p>
          <w:p w14:paraId="5C4149D0" w14:textId="77777777" w:rsidR="00DB68DE" w:rsidRPr="00DB68DE" w:rsidRDefault="00DB68DE" w:rsidP="00DB68DE">
            <w:pPr>
              <w:jc w:val="both"/>
              <w:rPr>
                <w:rFonts w:cs="Arial"/>
              </w:rPr>
            </w:pPr>
            <w:r w:rsidRPr="00DB68DE">
              <w:rPr>
                <w:rFonts w:cs="Arial"/>
              </w:rPr>
              <w:t>"L0", "R5", "G1", "T4", "R0", "T3", "T5", "G4", "A0", "Z6", "Q9", "T0"</w:t>
            </w:r>
          </w:p>
        </w:tc>
      </w:tr>
      <w:tr w:rsidR="00DB68DE" w:rsidRPr="00DB68DE" w14:paraId="139A45DB"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1B75694D" w14:textId="77777777" w:rsidR="00DB68DE" w:rsidRPr="00DB68DE" w:rsidRDefault="00DB68DE" w:rsidP="00DB68DE">
            <w:pPr>
              <w:jc w:val="both"/>
              <w:rPr>
                <w:rFonts w:cs="Arial"/>
              </w:rPr>
            </w:pPr>
            <w:r w:rsidRPr="00DB68DE">
              <w:rPr>
                <w:rFonts w:cs="Arial"/>
              </w:rPr>
              <w:t>VIII</w:t>
            </w:r>
          </w:p>
        </w:tc>
        <w:tc>
          <w:tcPr>
            <w:tcW w:w="7943" w:type="dxa"/>
            <w:tcBorders>
              <w:top w:val="single" w:sz="6" w:space="0" w:color="000000"/>
              <w:left w:val="single" w:sz="6" w:space="0" w:color="000000"/>
              <w:bottom w:val="single" w:sz="6" w:space="0" w:color="000000"/>
              <w:right w:val="single" w:sz="6" w:space="0" w:color="000000"/>
            </w:tcBorders>
          </w:tcPr>
          <w:p w14:paraId="025567FF" w14:textId="77777777" w:rsidR="00DB68DE" w:rsidRPr="00DB68DE" w:rsidRDefault="00DB68DE" w:rsidP="00DB68DE">
            <w:pPr>
              <w:jc w:val="both"/>
              <w:rPr>
                <w:rFonts w:cs="Arial"/>
              </w:rPr>
            </w:pPr>
            <w:r w:rsidRPr="00DB68DE">
              <w:rPr>
                <w:rFonts w:cs="Arial"/>
              </w:rPr>
              <w:t>"D3", "K3", "M0", "N8", "R8", "P6", "K4", "K1", "E0", "Q3", "S4", "L4", "S5", "G7", "S8", "Q7", "N5", "S9", "C4", "D0", "N4", "A8", "O0", "N9", "E7",</w:t>
            </w:r>
          </w:p>
          <w:p w14:paraId="21835DE2" w14:textId="77777777" w:rsidR="00DB68DE" w:rsidRPr="00DB68DE" w:rsidRDefault="00DB68DE" w:rsidP="00DB68DE">
            <w:pPr>
              <w:jc w:val="both"/>
              <w:rPr>
                <w:rFonts w:cs="Arial"/>
              </w:rPr>
            </w:pPr>
            <w:r w:rsidRPr="00DB68DE">
              <w:rPr>
                <w:rFonts w:cs="Arial"/>
              </w:rPr>
              <w:t>"T1", "P8", "L7", "T2", "Q6", "Q8", "Z0", "G3", "M6", "D1", "H3", "Z1", "B2", "L5", "T6", "Z5", "Z3", "P1", "H9", "H5", "G5", "F8", "H2", "H1", "H0",</w:t>
            </w:r>
          </w:p>
          <w:p w14:paraId="47B55C14" w14:textId="77777777" w:rsidR="00DB68DE" w:rsidRPr="00DB68DE" w:rsidRDefault="00DB68DE" w:rsidP="00DB68DE">
            <w:pPr>
              <w:jc w:val="both"/>
              <w:rPr>
                <w:rFonts w:cs="Arial"/>
              </w:rPr>
            </w:pPr>
            <w:r w:rsidRPr="00DB68DE">
              <w:rPr>
                <w:rFonts w:cs="Arial"/>
              </w:rPr>
              <w:t>"A2", "B7"</w:t>
            </w:r>
          </w:p>
        </w:tc>
      </w:tr>
      <w:tr w:rsidR="00DB68DE" w:rsidRPr="00DB68DE" w14:paraId="1869CF28"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2076AD30" w14:textId="77777777" w:rsidR="00DB68DE" w:rsidRPr="00DB68DE" w:rsidRDefault="00DB68DE" w:rsidP="00DB68DE">
            <w:pPr>
              <w:jc w:val="both"/>
              <w:rPr>
                <w:rFonts w:cs="Arial"/>
              </w:rPr>
            </w:pPr>
            <w:r w:rsidRPr="00DB68DE">
              <w:rPr>
                <w:rFonts w:cs="Arial"/>
              </w:rPr>
              <w:t>IX</w:t>
            </w:r>
          </w:p>
        </w:tc>
        <w:tc>
          <w:tcPr>
            <w:tcW w:w="7943" w:type="dxa"/>
            <w:tcBorders>
              <w:top w:val="single" w:sz="6" w:space="0" w:color="000000"/>
              <w:left w:val="single" w:sz="6" w:space="0" w:color="000000"/>
              <w:bottom w:val="single" w:sz="6" w:space="0" w:color="000000"/>
              <w:right w:val="single" w:sz="6" w:space="0" w:color="000000"/>
            </w:tcBorders>
          </w:tcPr>
          <w:p w14:paraId="03DEE0FC" w14:textId="77777777" w:rsidR="00DB68DE" w:rsidRPr="00DB68DE" w:rsidRDefault="00DB68DE" w:rsidP="00DB68DE">
            <w:pPr>
              <w:jc w:val="both"/>
              <w:rPr>
                <w:rFonts w:cs="Arial"/>
              </w:rPr>
            </w:pPr>
            <w:r w:rsidRPr="00DB68DE">
              <w:rPr>
                <w:rFonts w:cs="Arial"/>
              </w:rPr>
              <w:t>"E4", "F6", "E8", "A4", "R3"</w:t>
            </w:r>
          </w:p>
        </w:tc>
      </w:tr>
      <w:tr w:rsidR="00DB68DE" w:rsidRPr="00DB68DE" w14:paraId="6007EEED" w14:textId="77777777" w:rsidTr="00C000D1">
        <w:trPr>
          <w:trHeight w:val="315"/>
        </w:trPr>
        <w:tc>
          <w:tcPr>
            <w:tcW w:w="1696" w:type="dxa"/>
            <w:tcBorders>
              <w:top w:val="single" w:sz="6" w:space="0" w:color="000000"/>
              <w:left w:val="single" w:sz="6" w:space="0" w:color="000000"/>
              <w:bottom w:val="single" w:sz="6" w:space="0" w:color="000000"/>
              <w:right w:val="single" w:sz="6" w:space="0" w:color="000000"/>
            </w:tcBorders>
          </w:tcPr>
          <w:p w14:paraId="2E3D006F" w14:textId="77777777" w:rsidR="00DB68DE" w:rsidRPr="00DB68DE" w:rsidRDefault="00DB68DE" w:rsidP="00DB68DE">
            <w:pPr>
              <w:jc w:val="both"/>
              <w:rPr>
                <w:rFonts w:cs="Arial"/>
              </w:rPr>
            </w:pPr>
            <w:r w:rsidRPr="00DB68DE">
              <w:rPr>
                <w:rFonts w:cs="Arial"/>
              </w:rPr>
              <w:t>X</w:t>
            </w:r>
          </w:p>
        </w:tc>
        <w:tc>
          <w:tcPr>
            <w:tcW w:w="7943" w:type="dxa"/>
            <w:tcBorders>
              <w:top w:val="single" w:sz="6" w:space="0" w:color="000000"/>
              <w:left w:val="single" w:sz="6" w:space="0" w:color="000000"/>
              <w:bottom w:val="single" w:sz="6" w:space="0" w:color="000000"/>
              <w:right w:val="single" w:sz="6" w:space="0" w:color="000000"/>
            </w:tcBorders>
          </w:tcPr>
          <w:p w14:paraId="75466010" w14:textId="77777777" w:rsidR="00DB68DE" w:rsidRPr="00DB68DE" w:rsidRDefault="00DB68DE" w:rsidP="00DB68DE">
            <w:pPr>
              <w:jc w:val="both"/>
              <w:rPr>
                <w:rFonts w:cs="Arial"/>
              </w:rPr>
            </w:pPr>
            <w:r w:rsidRPr="00DB68DE">
              <w:rPr>
                <w:rFonts w:cs="Arial"/>
              </w:rPr>
              <w:t>"A1", "M3", "C6", "O9", "C5", "Z4", "M4", "Q2", "A3", "Q0", "F9", "K6", "P0", "B1", "F2", "P3", "S3", "R9", "P9", "I8", "M1", "B0", "S2", "E6","M2",</w:t>
            </w:r>
          </w:p>
          <w:p w14:paraId="27E0396E" w14:textId="77777777" w:rsidR="00DB68DE" w:rsidRPr="00DB68DE" w:rsidRDefault="00DB68DE" w:rsidP="00DB68DE">
            <w:pPr>
              <w:jc w:val="both"/>
              <w:rPr>
                <w:rFonts w:cs="Arial"/>
              </w:rPr>
            </w:pPr>
            <w:r w:rsidRPr="00DB68DE">
              <w:rPr>
                <w:rFonts w:cs="Arial"/>
              </w:rPr>
              <w:t>"N6", "N7", "M7", "R7</w:t>
            </w:r>
            <w:proofErr w:type="gramStart"/>
            <w:r w:rsidRPr="00DB68DE">
              <w:rPr>
                <w:rFonts w:cs="Arial"/>
              </w:rPr>
              <w:t>" ,</w:t>
            </w:r>
            <w:proofErr w:type="gramEnd"/>
            <w:r w:rsidRPr="00DB68DE">
              <w:rPr>
                <w:rFonts w:cs="Arial"/>
              </w:rPr>
              <w:t>"A6", "P5" ,"M9", "P2", "G8", "S1", "H4", "J0", "T7", "A5", "B3", "P7", "S0", "H8", "F7", "A7"</w:t>
            </w:r>
          </w:p>
        </w:tc>
      </w:tr>
    </w:tbl>
    <w:p w14:paraId="70BE60BB" w14:textId="77777777" w:rsidR="00DB68DE" w:rsidRDefault="00DB68DE" w:rsidP="0003328F">
      <w:pPr>
        <w:jc w:val="both"/>
        <w:rPr>
          <w:rFonts w:cs="Arial"/>
        </w:rPr>
      </w:pPr>
    </w:p>
    <w:p w14:paraId="5291C82A" w14:textId="77777777" w:rsidR="00DB68DE" w:rsidRDefault="00DB68DE" w:rsidP="0003328F">
      <w:pPr>
        <w:jc w:val="both"/>
        <w:rPr>
          <w:rFonts w:cs="Arial"/>
        </w:rPr>
      </w:pPr>
    </w:p>
    <w:p w14:paraId="6281475E" w14:textId="77777777" w:rsidR="007D5E6B" w:rsidRPr="009B3899" w:rsidRDefault="007D5E6B" w:rsidP="007D5E6B">
      <w:pPr>
        <w:jc w:val="both"/>
        <w:rPr>
          <w:rFonts w:cs="Arial"/>
          <w:b/>
        </w:rPr>
      </w:pPr>
      <w:r w:rsidRPr="009B3899">
        <w:rPr>
          <w:rFonts w:cs="Arial"/>
          <w:b/>
        </w:rPr>
        <w:t>Clinical Grouping – Scottish HSMR Model</w:t>
      </w:r>
    </w:p>
    <w:p w14:paraId="2B4B2E53" w14:textId="09C13D31" w:rsidR="005D2827" w:rsidRPr="00E421E5" w:rsidRDefault="00324AFE" w:rsidP="0003328F">
      <w:pPr>
        <w:jc w:val="both"/>
        <w:rPr>
          <w:rFonts w:cs="Arial"/>
        </w:rPr>
      </w:pPr>
      <w:r>
        <w:rPr>
          <w:rFonts w:cs="Arial"/>
        </w:rPr>
        <w:t>Another approach for defining the primary diagnosis group would be to use the</w:t>
      </w:r>
      <w:r w:rsidR="00E75D09" w:rsidRPr="00E421E5">
        <w:rPr>
          <w:rFonts w:cs="Arial"/>
        </w:rPr>
        <w:t xml:space="preserve"> 26 clinical groupings defined by the Scottish NHS based on medical intelligence and crude mortality rates. </w:t>
      </w:r>
      <w:r w:rsidR="00567C21" w:rsidRPr="00E421E5">
        <w:rPr>
          <w:rFonts w:cs="Arial"/>
        </w:rPr>
        <w:t xml:space="preserve"> These groups are </w:t>
      </w:r>
      <w:r w:rsidR="003D1355" w:rsidRPr="00E421E5">
        <w:rPr>
          <w:rFonts w:cs="Arial"/>
        </w:rPr>
        <w:t>made up of a series of system categories (</w:t>
      </w:r>
      <w:proofErr w:type="gramStart"/>
      <w:r w:rsidR="003D1355" w:rsidRPr="00E421E5">
        <w:rPr>
          <w:rFonts w:cs="Arial"/>
        </w:rPr>
        <w:t>e.g.</w:t>
      </w:r>
      <w:proofErr w:type="gramEnd"/>
      <w:r w:rsidR="003D1355" w:rsidRPr="00E421E5">
        <w:rPr>
          <w:rFonts w:cs="Arial"/>
        </w:rPr>
        <w:t xml:space="preserve"> CVS, Malignancy, Neurological) subdivided according to the level of crude mortality (e.g. Malignancy 1 is the lowest mortality rate in the malignancy groupings and Malignancy 3 is the highest).</w:t>
      </w:r>
      <w:sdt>
        <w:sdtPr>
          <w:rPr>
            <w:rFonts w:cs="Arial"/>
          </w:rPr>
          <w:id w:val="-1842921358"/>
          <w:citation/>
        </w:sdtPr>
        <w:sdtEndPr/>
        <w:sdtContent>
          <w:r w:rsidR="006C2C8F" w:rsidRPr="00E421E5">
            <w:rPr>
              <w:rFonts w:cs="Arial"/>
            </w:rPr>
            <w:fldChar w:fldCharType="begin"/>
          </w:r>
          <w:r w:rsidR="006C2C8F" w:rsidRPr="00E421E5">
            <w:rPr>
              <w:rFonts w:cs="Arial"/>
            </w:rPr>
            <w:instrText xml:space="preserve"> CITATION ISD10 \l 5129 </w:instrText>
          </w:r>
          <w:r w:rsidR="006C2C8F" w:rsidRPr="00E421E5">
            <w:rPr>
              <w:rFonts w:cs="Arial"/>
            </w:rPr>
            <w:fldChar w:fldCharType="separate"/>
          </w:r>
          <w:r w:rsidR="00730C38">
            <w:rPr>
              <w:rFonts w:cs="Arial"/>
              <w:noProof/>
            </w:rPr>
            <w:t xml:space="preserve"> </w:t>
          </w:r>
          <w:r w:rsidR="00730C38" w:rsidRPr="00730C38">
            <w:rPr>
              <w:rFonts w:cs="Arial"/>
              <w:noProof/>
            </w:rPr>
            <w:t>[4]</w:t>
          </w:r>
          <w:r w:rsidR="006C2C8F" w:rsidRPr="00E421E5">
            <w:rPr>
              <w:rFonts w:cs="Arial"/>
            </w:rPr>
            <w:fldChar w:fldCharType="end"/>
          </w:r>
        </w:sdtContent>
      </w:sdt>
      <w:r w:rsidR="003D1355" w:rsidRPr="00E421E5">
        <w:rPr>
          <w:rFonts w:cs="Arial"/>
        </w:rPr>
        <w:t xml:space="preserve">  </w:t>
      </w:r>
    </w:p>
    <w:p w14:paraId="6FE1697E" w14:textId="439AA77F" w:rsidR="000D303E" w:rsidRDefault="00E14049" w:rsidP="00CC02CF">
      <w:pPr>
        <w:jc w:val="both"/>
        <w:rPr>
          <w:rFonts w:cs="Arial"/>
        </w:rPr>
      </w:pPr>
      <w:r w:rsidRPr="00E421E5">
        <w:rPr>
          <w:rFonts w:cs="Arial"/>
        </w:rPr>
        <w:t xml:space="preserve">However, the grouping is </w:t>
      </w:r>
      <w:r w:rsidR="00481A3E" w:rsidRPr="00E421E5">
        <w:rPr>
          <w:rFonts w:cs="Arial"/>
        </w:rPr>
        <w:t xml:space="preserve">partially </w:t>
      </w:r>
      <w:r w:rsidRPr="00E421E5">
        <w:rPr>
          <w:rFonts w:cs="Arial"/>
        </w:rPr>
        <w:t xml:space="preserve">based on mortality rates for those conditions in Scotland, which may not be </w:t>
      </w:r>
      <w:r w:rsidR="00CC79EB" w:rsidRPr="00E421E5">
        <w:rPr>
          <w:rFonts w:cs="Arial"/>
        </w:rPr>
        <w:t>easi</w:t>
      </w:r>
      <w:r w:rsidRPr="00E421E5">
        <w:rPr>
          <w:rFonts w:cs="Arial"/>
        </w:rPr>
        <w:t xml:space="preserve">ly </w:t>
      </w:r>
      <w:r w:rsidR="00CC79EB" w:rsidRPr="00E421E5">
        <w:rPr>
          <w:rFonts w:cs="Arial"/>
        </w:rPr>
        <w:t>applied</w:t>
      </w:r>
      <w:r w:rsidRPr="00E421E5">
        <w:rPr>
          <w:rFonts w:cs="Arial"/>
        </w:rPr>
        <w:t xml:space="preserve"> to the </w:t>
      </w:r>
      <w:r w:rsidR="00481A3E" w:rsidRPr="00E421E5">
        <w:rPr>
          <w:rFonts w:cs="Arial"/>
        </w:rPr>
        <w:t xml:space="preserve">readmissions measure.  </w:t>
      </w:r>
      <w:r w:rsidR="0003328F">
        <w:rPr>
          <w:rFonts w:cs="Arial"/>
        </w:rPr>
        <w:t>Hence this approach was not considered suitable for our purpose.</w:t>
      </w:r>
    </w:p>
    <w:p w14:paraId="59594F65" w14:textId="77777777" w:rsidR="009B3899" w:rsidRDefault="009B3899" w:rsidP="00CC02CF">
      <w:pPr>
        <w:jc w:val="both"/>
        <w:rPr>
          <w:rFonts w:cs="Arial"/>
          <w:b/>
        </w:rPr>
      </w:pPr>
    </w:p>
    <w:p w14:paraId="40C3B35A" w14:textId="70F871F8" w:rsidR="0003328F" w:rsidRPr="009B3899" w:rsidRDefault="0003328F" w:rsidP="00CC02CF">
      <w:pPr>
        <w:jc w:val="both"/>
        <w:rPr>
          <w:rFonts w:cs="Arial"/>
          <w:b/>
        </w:rPr>
      </w:pPr>
      <w:r w:rsidRPr="009B3899">
        <w:rPr>
          <w:rFonts w:cs="Arial"/>
          <w:b/>
        </w:rPr>
        <w:t>ICD Chapters</w:t>
      </w:r>
    </w:p>
    <w:p w14:paraId="44F60D2D" w14:textId="77280E05" w:rsidR="0040606B" w:rsidRDefault="003B4F95" w:rsidP="00CC02CF">
      <w:pPr>
        <w:jc w:val="both"/>
        <w:rPr>
          <w:rFonts w:cs="Arial"/>
        </w:rPr>
      </w:pPr>
      <w:r>
        <w:rPr>
          <w:rFonts w:cs="Arial"/>
        </w:rPr>
        <w:lastRenderedPageBreak/>
        <w:t>Another</w:t>
      </w:r>
      <w:r w:rsidR="00C97ECD">
        <w:rPr>
          <w:rFonts w:cs="Arial"/>
        </w:rPr>
        <w:t xml:space="preserve"> </w:t>
      </w:r>
      <w:r w:rsidR="00E14049" w:rsidRPr="00E421E5">
        <w:rPr>
          <w:rFonts w:cs="Arial"/>
        </w:rPr>
        <w:t xml:space="preserve">approach </w:t>
      </w:r>
      <w:r w:rsidR="0003328F">
        <w:rPr>
          <w:rFonts w:cs="Arial"/>
        </w:rPr>
        <w:t xml:space="preserve">which </w:t>
      </w:r>
      <w:r>
        <w:rPr>
          <w:rFonts w:cs="Arial"/>
        </w:rPr>
        <w:t xml:space="preserve">has been considered </w:t>
      </w:r>
      <w:r w:rsidR="00E14049" w:rsidRPr="00E421E5">
        <w:rPr>
          <w:rFonts w:cs="Arial"/>
        </w:rPr>
        <w:t xml:space="preserve">is to group </w:t>
      </w:r>
      <w:r w:rsidR="00864FD6" w:rsidRPr="00E421E5">
        <w:rPr>
          <w:rFonts w:cs="Arial"/>
        </w:rPr>
        <w:t>primary diagnos</w:t>
      </w:r>
      <w:r w:rsidR="00E14049" w:rsidRPr="00E421E5">
        <w:rPr>
          <w:rFonts w:cs="Arial"/>
        </w:rPr>
        <w:t>es</w:t>
      </w:r>
      <w:r w:rsidR="00864FD6" w:rsidRPr="00E421E5">
        <w:rPr>
          <w:rFonts w:cs="Arial"/>
        </w:rPr>
        <w:t xml:space="preserve"> by ICD chapters based on the ICD codes.  </w:t>
      </w:r>
      <w:r w:rsidR="00E14049" w:rsidRPr="00E421E5">
        <w:rPr>
          <w:rFonts w:cs="Arial"/>
        </w:rPr>
        <w:t xml:space="preserve">This classification is considered suitable for general epidemiological purposes and the evaluation of health care.  </w:t>
      </w:r>
      <w:r w:rsidR="00864FD6" w:rsidRPr="00E421E5">
        <w:rPr>
          <w:rFonts w:cs="Arial"/>
        </w:rPr>
        <w:t>There are 22 groupings based on the chapters as follows:</w:t>
      </w:r>
    </w:p>
    <w:tbl>
      <w:tblPr>
        <w:tblStyle w:val="TableGrid"/>
        <w:tblW w:w="0" w:type="auto"/>
        <w:tblLook w:val="04A0" w:firstRow="1" w:lastRow="0" w:firstColumn="1" w:lastColumn="0" w:noHBand="0" w:noVBand="1"/>
      </w:tblPr>
      <w:tblGrid>
        <w:gridCol w:w="988"/>
        <w:gridCol w:w="8028"/>
      </w:tblGrid>
      <w:tr w:rsidR="005C53B3" w:rsidRPr="005C53B3" w14:paraId="5EE22E44" w14:textId="77777777" w:rsidTr="0058368A">
        <w:tc>
          <w:tcPr>
            <w:tcW w:w="988" w:type="dxa"/>
          </w:tcPr>
          <w:p w14:paraId="24C4617E" w14:textId="4474840E" w:rsidR="005C53B3" w:rsidRPr="005C53B3" w:rsidRDefault="005C53B3" w:rsidP="00EC7542">
            <w:pPr>
              <w:spacing w:before="0"/>
              <w:jc w:val="both"/>
              <w:rPr>
                <w:rFonts w:cs="Arial"/>
                <w:b/>
              </w:rPr>
            </w:pPr>
          </w:p>
        </w:tc>
        <w:tc>
          <w:tcPr>
            <w:tcW w:w="8028" w:type="dxa"/>
          </w:tcPr>
          <w:p w14:paraId="1CDCD4F3" w14:textId="478E5F7B" w:rsidR="005C53B3" w:rsidRPr="005C53B3" w:rsidRDefault="0058368A" w:rsidP="00EC7542">
            <w:pPr>
              <w:spacing w:before="0"/>
              <w:jc w:val="both"/>
              <w:rPr>
                <w:rFonts w:cs="Arial"/>
                <w:b/>
              </w:rPr>
            </w:pPr>
            <w:r>
              <w:rPr>
                <w:b/>
              </w:rPr>
              <w:t>ICD-10</w:t>
            </w:r>
            <w:r w:rsidR="005B6F7F">
              <w:rPr>
                <w:b/>
              </w:rPr>
              <w:t>-AM</w:t>
            </w:r>
            <w:r>
              <w:rPr>
                <w:b/>
              </w:rPr>
              <w:t xml:space="preserve"> C</w:t>
            </w:r>
            <w:r w:rsidR="00EC7542">
              <w:rPr>
                <w:b/>
              </w:rPr>
              <w:t>hapter</w:t>
            </w:r>
          </w:p>
        </w:tc>
      </w:tr>
      <w:tr w:rsidR="00EC7542" w14:paraId="5FD1FE3B" w14:textId="77777777" w:rsidTr="0058368A">
        <w:tc>
          <w:tcPr>
            <w:tcW w:w="988" w:type="dxa"/>
          </w:tcPr>
          <w:p w14:paraId="2615C531" w14:textId="04E0A93A" w:rsidR="00EC7542" w:rsidRPr="00EC7542" w:rsidRDefault="00EC7542" w:rsidP="00EC7542">
            <w:pPr>
              <w:spacing w:before="0"/>
              <w:jc w:val="both"/>
              <w:rPr>
                <w:rFonts w:cs="Arial"/>
              </w:rPr>
            </w:pPr>
            <w:r w:rsidRPr="000B74CB">
              <w:t>1</w:t>
            </w:r>
          </w:p>
        </w:tc>
        <w:tc>
          <w:tcPr>
            <w:tcW w:w="8028" w:type="dxa"/>
          </w:tcPr>
          <w:p w14:paraId="2C3A9E27" w14:textId="0F929797" w:rsidR="00EC7542" w:rsidRDefault="00EC7542" w:rsidP="00EC7542">
            <w:pPr>
              <w:spacing w:before="0"/>
              <w:jc w:val="both"/>
              <w:rPr>
                <w:rFonts w:cs="Arial"/>
              </w:rPr>
            </w:pPr>
            <w:r w:rsidRPr="003B714C">
              <w:t xml:space="preserve">Certain infectious and parasitic diseases    </w:t>
            </w:r>
          </w:p>
        </w:tc>
      </w:tr>
      <w:tr w:rsidR="005C53B3" w14:paraId="4B237DE3" w14:textId="77777777" w:rsidTr="0058368A">
        <w:tc>
          <w:tcPr>
            <w:tcW w:w="988" w:type="dxa"/>
          </w:tcPr>
          <w:p w14:paraId="161302E4" w14:textId="39C8BD1C" w:rsidR="005C53B3" w:rsidRDefault="005C53B3" w:rsidP="005C53B3">
            <w:pPr>
              <w:spacing w:before="0"/>
              <w:jc w:val="both"/>
              <w:rPr>
                <w:rFonts w:cs="Arial"/>
              </w:rPr>
            </w:pPr>
            <w:r w:rsidRPr="000B74CB">
              <w:t>2</w:t>
            </w:r>
          </w:p>
        </w:tc>
        <w:tc>
          <w:tcPr>
            <w:tcW w:w="8028" w:type="dxa"/>
          </w:tcPr>
          <w:p w14:paraId="7262960E" w14:textId="55362054" w:rsidR="005C53B3" w:rsidRDefault="005C53B3" w:rsidP="005C53B3">
            <w:pPr>
              <w:spacing w:before="0"/>
              <w:jc w:val="both"/>
              <w:rPr>
                <w:rFonts w:cs="Arial"/>
              </w:rPr>
            </w:pPr>
            <w:r w:rsidRPr="003B714C">
              <w:t xml:space="preserve">Neoplasms    </w:t>
            </w:r>
          </w:p>
        </w:tc>
      </w:tr>
      <w:tr w:rsidR="005C53B3" w14:paraId="6800CB4E" w14:textId="77777777" w:rsidTr="0058368A">
        <w:tc>
          <w:tcPr>
            <w:tcW w:w="988" w:type="dxa"/>
          </w:tcPr>
          <w:p w14:paraId="2BA14F66" w14:textId="650BA6FF" w:rsidR="005C53B3" w:rsidRDefault="005C53B3" w:rsidP="005C53B3">
            <w:pPr>
              <w:spacing w:before="0"/>
              <w:jc w:val="both"/>
              <w:rPr>
                <w:rFonts w:cs="Arial"/>
              </w:rPr>
            </w:pPr>
            <w:r w:rsidRPr="000B74CB">
              <w:t>3</w:t>
            </w:r>
          </w:p>
        </w:tc>
        <w:tc>
          <w:tcPr>
            <w:tcW w:w="8028" w:type="dxa"/>
          </w:tcPr>
          <w:p w14:paraId="666FBF0A" w14:textId="7A770DD4" w:rsidR="005C53B3" w:rsidRDefault="005C53B3" w:rsidP="005C53B3">
            <w:pPr>
              <w:spacing w:before="0"/>
              <w:jc w:val="both"/>
              <w:rPr>
                <w:rFonts w:cs="Arial"/>
              </w:rPr>
            </w:pPr>
            <w:r w:rsidRPr="003B714C">
              <w:t>Diseases of the blood and blood-forming organs and certain disorders involving the immune mechanism</w:t>
            </w:r>
          </w:p>
        </w:tc>
      </w:tr>
      <w:tr w:rsidR="005C53B3" w14:paraId="02307A1E" w14:textId="77777777" w:rsidTr="0058368A">
        <w:tc>
          <w:tcPr>
            <w:tcW w:w="988" w:type="dxa"/>
          </w:tcPr>
          <w:p w14:paraId="01846607" w14:textId="0B127DF3" w:rsidR="005C53B3" w:rsidRDefault="005C53B3" w:rsidP="005C53B3">
            <w:pPr>
              <w:spacing w:before="0"/>
              <w:jc w:val="both"/>
              <w:rPr>
                <w:rFonts w:cs="Arial"/>
              </w:rPr>
            </w:pPr>
            <w:r w:rsidRPr="000B74CB">
              <w:t>4</w:t>
            </w:r>
          </w:p>
        </w:tc>
        <w:tc>
          <w:tcPr>
            <w:tcW w:w="8028" w:type="dxa"/>
          </w:tcPr>
          <w:p w14:paraId="4F4AC33A" w14:textId="5C759570" w:rsidR="005C53B3" w:rsidRDefault="005C53B3" w:rsidP="005C53B3">
            <w:pPr>
              <w:spacing w:before="0"/>
              <w:jc w:val="both"/>
              <w:rPr>
                <w:rFonts w:cs="Arial"/>
              </w:rPr>
            </w:pPr>
            <w:r w:rsidRPr="003B714C">
              <w:t xml:space="preserve">Endocrine, </w:t>
            </w:r>
            <w:proofErr w:type="gramStart"/>
            <w:r w:rsidRPr="003B714C">
              <w:t>nutritional</w:t>
            </w:r>
            <w:proofErr w:type="gramEnd"/>
            <w:r w:rsidRPr="003B714C">
              <w:t xml:space="preserve"> and metabolic diseases    </w:t>
            </w:r>
          </w:p>
        </w:tc>
      </w:tr>
      <w:tr w:rsidR="005C53B3" w14:paraId="5E06BEEB" w14:textId="77777777" w:rsidTr="0058368A">
        <w:tc>
          <w:tcPr>
            <w:tcW w:w="988" w:type="dxa"/>
          </w:tcPr>
          <w:p w14:paraId="18C97B03" w14:textId="5F7689AC" w:rsidR="005C53B3" w:rsidRDefault="005C53B3" w:rsidP="005C53B3">
            <w:pPr>
              <w:spacing w:before="0"/>
              <w:jc w:val="both"/>
              <w:rPr>
                <w:rFonts w:cs="Arial"/>
              </w:rPr>
            </w:pPr>
            <w:r w:rsidRPr="000B74CB">
              <w:t>5</w:t>
            </w:r>
          </w:p>
        </w:tc>
        <w:tc>
          <w:tcPr>
            <w:tcW w:w="8028" w:type="dxa"/>
          </w:tcPr>
          <w:p w14:paraId="0480D8B8" w14:textId="6E8E74D7" w:rsidR="005C53B3" w:rsidRDefault="005C53B3" w:rsidP="005C53B3">
            <w:pPr>
              <w:spacing w:before="0"/>
              <w:jc w:val="both"/>
              <w:rPr>
                <w:rFonts w:cs="Arial"/>
              </w:rPr>
            </w:pPr>
            <w:r w:rsidRPr="003B714C">
              <w:t xml:space="preserve">Mental and behavioural disorders    </w:t>
            </w:r>
          </w:p>
        </w:tc>
      </w:tr>
      <w:tr w:rsidR="005C53B3" w14:paraId="40F784D3" w14:textId="77777777" w:rsidTr="0058368A">
        <w:tc>
          <w:tcPr>
            <w:tcW w:w="988" w:type="dxa"/>
          </w:tcPr>
          <w:p w14:paraId="43D7206D" w14:textId="618C86BD" w:rsidR="005C53B3" w:rsidRDefault="005C53B3" w:rsidP="005C53B3">
            <w:pPr>
              <w:spacing w:before="0"/>
              <w:jc w:val="both"/>
              <w:rPr>
                <w:rFonts w:cs="Arial"/>
              </w:rPr>
            </w:pPr>
            <w:r w:rsidRPr="000B74CB">
              <w:t>6</w:t>
            </w:r>
          </w:p>
        </w:tc>
        <w:tc>
          <w:tcPr>
            <w:tcW w:w="8028" w:type="dxa"/>
          </w:tcPr>
          <w:p w14:paraId="2F03D462" w14:textId="34398C8E" w:rsidR="005C53B3" w:rsidRDefault="005C53B3" w:rsidP="005C53B3">
            <w:pPr>
              <w:spacing w:before="0"/>
              <w:jc w:val="both"/>
              <w:rPr>
                <w:rFonts w:cs="Arial"/>
              </w:rPr>
            </w:pPr>
            <w:r w:rsidRPr="003B714C">
              <w:t xml:space="preserve">Diseases of the nervous system    </w:t>
            </w:r>
          </w:p>
        </w:tc>
      </w:tr>
      <w:tr w:rsidR="005C53B3" w14:paraId="665E3FA3" w14:textId="77777777" w:rsidTr="0058368A">
        <w:tc>
          <w:tcPr>
            <w:tcW w:w="988" w:type="dxa"/>
          </w:tcPr>
          <w:p w14:paraId="72AF6898" w14:textId="6719F925" w:rsidR="005C53B3" w:rsidRDefault="005C53B3" w:rsidP="005C53B3">
            <w:pPr>
              <w:spacing w:before="0"/>
              <w:jc w:val="both"/>
              <w:rPr>
                <w:rFonts w:cs="Arial"/>
              </w:rPr>
            </w:pPr>
            <w:r w:rsidRPr="000B74CB">
              <w:t>7</w:t>
            </w:r>
          </w:p>
        </w:tc>
        <w:tc>
          <w:tcPr>
            <w:tcW w:w="8028" w:type="dxa"/>
          </w:tcPr>
          <w:p w14:paraId="4E4C762B" w14:textId="79642B39" w:rsidR="005C53B3" w:rsidRDefault="005C53B3" w:rsidP="005C53B3">
            <w:pPr>
              <w:spacing w:before="0"/>
              <w:jc w:val="both"/>
              <w:rPr>
                <w:rFonts w:cs="Arial"/>
              </w:rPr>
            </w:pPr>
            <w:r w:rsidRPr="003B714C">
              <w:t xml:space="preserve">Diseases of the eye and adnexa    </w:t>
            </w:r>
          </w:p>
        </w:tc>
      </w:tr>
      <w:tr w:rsidR="005C53B3" w14:paraId="6AE6F6EC" w14:textId="77777777" w:rsidTr="0058368A">
        <w:tc>
          <w:tcPr>
            <w:tcW w:w="988" w:type="dxa"/>
          </w:tcPr>
          <w:p w14:paraId="48BC3F42" w14:textId="6A77DD46" w:rsidR="005C53B3" w:rsidRDefault="005C53B3" w:rsidP="005C53B3">
            <w:pPr>
              <w:spacing w:before="0"/>
              <w:jc w:val="both"/>
              <w:rPr>
                <w:rFonts w:cs="Arial"/>
              </w:rPr>
            </w:pPr>
            <w:r w:rsidRPr="000B74CB">
              <w:t>8</w:t>
            </w:r>
          </w:p>
        </w:tc>
        <w:tc>
          <w:tcPr>
            <w:tcW w:w="8028" w:type="dxa"/>
          </w:tcPr>
          <w:p w14:paraId="78D3A828" w14:textId="7BBB8EA2" w:rsidR="005C53B3" w:rsidRDefault="005C53B3" w:rsidP="005C53B3">
            <w:pPr>
              <w:spacing w:before="0"/>
              <w:jc w:val="both"/>
              <w:rPr>
                <w:rFonts w:cs="Arial"/>
              </w:rPr>
            </w:pPr>
            <w:r w:rsidRPr="003B714C">
              <w:t xml:space="preserve">Diseases of the ear and mastoid process    </w:t>
            </w:r>
          </w:p>
        </w:tc>
      </w:tr>
      <w:tr w:rsidR="005C53B3" w14:paraId="0F04025D" w14:textId="77777777" w:rsidTr="0058368A">
        <w:tc>
          <w:tcPr>
            <w:tcW w:w="988" w:type="dxa"/>
          </w:tcPr>
          <w:p w14:paraId="399BA742" w14:textId="1370C8A8" w:rsidR="005C53B3" w:rsidRDefault="005C53B3" w:rsidP="005C53B3">
            <w:pPr>
              <w:spacing w:before="0"/>
              <w:jc w:val="both"/>
              <w:rPr>
                <w:rFonts w:cs="Arial"/>
              </w:rPr>
            </w:pPr>
            <w:r w:rsidRPr="000B74CB">
              <w:t>9</w:t>
            </w:r>
          </w:p>
        </w:tc>
        <w:tc>
          <w:tcPr>
            <w:tcW w:w="8028" w:type="dxa"/>
          </w:tcPr>
          <w:p w14:paraId="236C5BA1" w14:textId="1089D06B" w:rsidR="005C53B3" w:rsidRDefault="005C53B3" w:rsidP="005C53B3">
            <w:pPr>
              <w:spacing w:before="0"/>
              <w:jc w:val="both"/>
              <w:rPr>
                <w:rFonts w:cs="Arial"/>
              </w:rPr>
            </w:pPr>
            <w:r w:rsidRPr="003B714C">
              <w:t xml:space="preserve">Diseases of the circulatory system    </w:t>
            </w:r>
          </w:p>
        </w:tc>
      </w:tr>
      <w:tr w:rsidR="005C53B3" w14:paraId="360DE762" w14:textId="77777777" w:rsidTr="0058368A">
        <w:tc>
          <w:tcPr>
            <w:tcW w:w="988" w:type="dxa"/>
          </w:tcPr>
          <w:p w14:paraId="27DB5937" w14:textId="77777777" w:rsidR="005C53B3" w:rsidRDefault="005C53B3" w:rsidP="005C53B3">
            <w:pPr>
              <w:spacing w:before="0"/>
              <w:jc w:val="both"/>
              <w:rPr>
                <w:rFonts w:cs="Arial"/>
              </w:rPr>
            </w:pPr>
            <w:r w:rsidRPr="000B74CB">
              <w:t>10</w:t>
            </w:r>
          </w:p>
        </w:tc>
        <w:tc>
          <w:tcPr>
            <w:tcW w:w="8028" w:type="dxa"/>
          </w:tcPr>
          <w:p w14:paraId="24FA6BFF" w14:textId="25CEC622" w:rsidR="005C53B3" w:rsidRDefault="005C53B3" w:rsidP="005C53B3">
            <w:pPr>
              <w:spacing w:before="0"/>
              <w:jc w:val="both"/>
              <w:rPr>
                <w:rFonts w:cs="Arial"/>
              </w:rPr>
            </w:pPr>
            <w:r w:rsidRPr="003B714C">
              <w:t xml:space="preserve">Diseases of the respiratory system    </w:t>
            </w:r>
          </w:p>
        </w:tc>
      </w:tr>
      <w:tr w:rsidR="005C53B3" w14:paraId="7CE66315" w14:textId="77777777" w:rsidTr="0058368A">
        <w:tc>
          <w:tcPr>
            <w:tcW w:w="988" w:type="dxa"/>
          </w:tcPr>
          <w:p w14:paraId="4E727AF5" w14:textId="77777777" w:rsidR="005C53B3" w:rsidRDefault="005C53B3" w:rsidP="005C53B3">
            <w:pPr>
              <w:spacing w:before="0"/>
              <w:jc w:val="both"/>
              <w:rPr>
                <w:rFonts w:cs="Arial"/>
              </w:rPr>
            </w:pPr>
            <w:r w:rsidRPr="000B74CB">
              <w:t>11</w:t>
            </w:r>
          </w:p>
        </w:tc>
        <w:tc>
          <w:tcPr>
            <w:tcW w:w="8028" w:type="dxa"/>
          </w:tcPr>
          <w:p w14:paraId="18E3F979" w14:textId="274CA02E" w:rsidR="005C53B3" w:rsidRDefault="005C53B3" w:rsidP="005C53B3">
            <w:pPr>
              <w:spacing w:before="0"/>
              <w:jc w:val="both"/>
              <w:rPr>
                <w:rFonts w:cs="Arial"/>
              </w:rPr>
            </w:pPr>
            <w:r w:rsidRPr="003B714C">
              <w:t xml:space="preserve">Diseases of the digestive system    </w:t>
            </w:r>
          </w:p>
        </w:tc>
      </w:tr>
      <w:tr w:rsidR="005C53B3" w14:paraId="7B665A58" w14:textId="77777777" w:rsidTr="0058368A">
        <w:tc>
          <w:tcPr>
            <w:tcW w:w="988" w:type="dxa"/>
          </w:tcPr>
          <w:p w14:paraId="2D740B73" w14:textId="77777777" w:rsidR="005C53B3" w:rsidRDefault="005C53B3" w:rsidP="005C53B3">
            <w:pPr>
              <w:spacing w:before="0"/>
              <w:jc w:val="both"/>
              <w:rPr>
                <w:rFonts w:cs="Arial"/>
              </w:rPr>
            </w:pPr>
            <w:r w:rsidRPr="000B74CB">
              <w:t>12</w:t>
            </w:r>
          </w:p>
        </w:tc>
        <w:tc>
          <w:tcPr>
            <w:tcW w:w="8028" w:type="dxa"/>
          </w:tcPr>
          <w:p w14:paraId="57E80721" w14:textId="29815ECA" w:rsidR="005C53B3" w:rsidRDefault="005C53B3" w:rsidP="005C53B3">
            <w:pPr>
              <w:spacing w:before="0"/>
              <w:jc w:val="both"/>
              <w:rPr>
                <w:rFonts w:cs="Arial"/>
              </w:rPr>
            </w:pPr>
            <w:r w:rsidRPr="003B714C">
              <w:t xml:space="preserve">Diseases of the skin and subcutaneous tissue    </w:t>
            </w:r>
          </w:p>
        </w:tc>
      </w:tr>
      <w:tr w:rsidR="005C53B3" w14:paraId="4EC42724" w14:textId="77777777" w:rsidTr="0058368A">
        <w:tc>
          <w:tcPr>
            <w:tcW w:w="988" w:type="dxa"/>
          </w:tcPr>
          <w:p w14:paraId="20A4EE9D" w14:textId="77777777" w:rsidR="005C53B3" w:rsidRDefault="005C53B3" w:rsidP="005C53B3">
            <w:pPr>
              <w:spacing w:before="0"/>
              <w:jc w:val="both"/>
              <w:rPr>
                <w:rFonts w:cs="Arial"/>
              </w:rPr>
            </w:pPr>
            <w:r w:rsidRPr="000B74CB">
              <w:t>13</w:t>
            </w:r>
          </w:p>
        </w:tc>
        <w:tc>
          <w:tcPr>
            <w:tcW w:w="8028" w:type="dxa"/>
          </w:tcPr>
          <w:p w14:paraId="7262AE43" w14:textId="183BF0F2" w:rsidR="005C53B3" w:rsidRDefault="005C53B3" w:rsidP="005C53B3">
            <w:pPr>
              <w:spacing w:before="0"/>
              <w:jc w:val="both"/>
              <w:rPr>
                <w:rFonts w:cs="Arial"/>
              </w:rPr>
            </w:pPr>
            <w:r w:rsidRPr="003B714C">
              <w:t xml:space="preserve">Diseases of the musculoskeletal system and connective tissue    </w:t>
            </w:r>
          </w:p>
        </w:tc>
      </w:tr>
      <w:tr w:rsidR="005C53B3" w14:paraId="0AF1E195" w14:textId="77777777" w:rsidTr="0058368A">
        <w:tc>
          <w:tcPr>
            <w:tcW w:w="988" w:type="dxa"/>
          </w:tcPr>
          <w:p w14:paraId="561E7202" w14:textId="77777777" w:rsidR="005C53B3" w:rsidRDefault="005C53B3" w:rsidP="005C53B3">
            <w:pPr>
              <w:spacing w:before="0"/>
              <w:jc w:val="both"/>
              <w:rPr>
                <w:rFonts w:cs="Arial"/>
              </w:rPr>
            </w:pPr>
            <w:r w:rsidRPr="000B74CB">
              <w:t>14</w:t>
            </w:r>
          </w:p>
        </w:tc>
        <w:tc>
          <w:tcPr>
            <w:tcW w:w="8028" w:type="dxa"/>
          </w:tcPr>
          <w:p w14:paraId="6908A013" w14:textId="1AD9F5F5" w:rsidR="005C53B3" w:rsidRDefault="005C53B3" w:rsidP="005C53B3">
            <w:pPr>
              <w:spacing w:before="0"/>
              <w:jc w:val="both"/>
              <w:rPr>
                <w:rFonts w:cs="Arial"/>
              </w:rPr>
            </w:pPr>
            <w:r w:rsidRPr="003B714C">
              <w:t xml:space="preserve">Diseases of the genitourinary system    </w:t>
            </w:r>
          </w:p>
        </w:tc>
      </w:tr>
      <w:tr w:rsidR="005C53B3" w14:paraId="212AD189" w14:textId="77777777" w:rsidTr="0058368A">
        <w:tc>
          <w:tcPr>
            <w:tcW w:w="988" w:type="dxa"/>
          </w:tcPr>
          <w:p w14:paraId="7C67BB16" w14:textId="77777777" w:rsidR="005C53B3" w:rsidRDefault="005C53B3" w:rsidP="005C53B3">
            <w:pPr>
              <w:spacing w:before="0"/>
              <w:jc w:val="both"/>
              <w:rPr>
                <w:rFonts w:cs="Arial"/>
              </w:rPr>
            </w:pPr>
            <w:r w:rsidRPr="000B74CB">
              <w:t>15</w:t>
            </w:r>
          </w:p>
        </w:tc>
        <w:tc>
          <w:tcPr>
            <w:tcW w:w="8028" w:type="dxa"/>
          </w:tcPr>
          <w:p w14:paraId="32813068" w14:textId="1B1C0781" w:rsidR="005C53B3" w:rsidRDefault="005C53B3" w:rsidP="005C53B3">
            <w:pPr>
              <w:spacing w:before="0"/>
              <w:jc w:val="both"/>
              <w:rPr>
                <w:rFonts w:cs="Arial"/>
              </w:rPr>
            </w:pPr>
            <w:r w:rsidRPr="003B714C">
              <w:t xml:space="preserve">Pregnancy, </w:t>
            </w:r>
            <w:proofErr w:type="gramStart"/>
            <w:r w:rsidRPr="003B714C">
              <w:t>childbirth</w:t>
            </w:r>
            <w:proofErr w:type="gramEnd"/>
            <w:r w:rsidRPr="003B714C">
              <w:t xml:space="preserve"> and the puerperium    </w:t>
            </w:r>
          </w:p>
        </w:tc>
      </w:tr>
      <w:tr w:rsidR="005C53B3" w14:paraId="52B9EB96" w14:textId="77777777" w:rsidTr="0058368A">
        <w:tc>
          <w:tcPr>
            <w:tcW w:w="988" w:type="dxa"/>
          </w:tcPr>
          <w:p w14:paraId="02B540C0" w14:textId="77777777" w:rsidR="005C53B3" w:rsidRDefault="005C53B3" w:rsidP="005C53B3">
            <w:pPr>
              <w:spacing w:before="0"/>
              <w:jc w:val="both"/>
              <w:rPr>
                <w:rFonts w:cs="Arial"/>
              </w:rPr>
            </w:pPr>
            <w:r w:rsidRPr="000B74CB">
              <w:t>16</w:t>
            </w:r>
          </w:p>
        </w:tc>
        <w:tc>
          <w:tcPr>
            <w:tcW w:w="8028" w:type="dxa"/>
          </w:tcPr>
          <w:p w14:paraId="7E81C044" w14:textId="6E71B03A" w:rsidR="005C53B3" w:rsidRDefault="005C53B3" w:rsidP="005C53B3">
            <w:pPr>
              <w:spacing w:before="0"/>
              <w:jc w:val="both"/>
              <w:rPr>
                <w:rFonts w:cs="Arial"/>
              </w:rPr>
            </w:pPr>
            <w:r w:rsidRPr="003B714C">
              <w:t xml:space="preserve">Certain conditions originating in the perinatal period    </w:t>
            </w:r>
          </w:p>
        </w:tc>
      </w:tr>
      <w:tr w:rsidR="005C53B3" w14:paraId="69C9580F" w14:textId="77777777" w:rsidTr="0058368A">
        <w:tc>
          <w:tcPr>
            <w:tcW w:w="988" w:type="dxa"/>
          </w:tcPr>
          <w:p w14:paraId="418FC637" w14:textId="77777777" w:rsidR="005C53B3" w:rsidRDefault="005C53B3" w:rsidP="005C53B3">
            <w:pPr>
              <w:spacing w:before="0"/>
              <w:jc w:val="both"/>
              <w:rPr>
                <w:rFonts w:cs="Arial"/>
              </w:rPr>
            </w:pPr>
            <w:r w:rsidRPr="000B74CB">
              <w:t>17</w:t>
            </w:r>
          </w:p>
        </w:tc>
        <w:tc>
          <w:tcPr>
            <w:tcW w:w="8028" w:type="dxa"/>
          </w:tcPr>
          <w:p w14:paraId="43B3F4F6" w14:textId="1D1652C6" w:rsidR="005C53B3" w:rsidRDefault="005C53B3" w:rsidP="005C53B3">
            <w:pPr>
              <w:spacing w:before="0"/>
              <w:jc w:val="both"/>
              <w:rPr>
                <w:rFonts w:cs="Arial"/>
              </w:rPr>
            </w:pPr>
            <w:r w:rsidRPr="003B714C">
              <w:t xml:space="preserve">Congenital malformations, </w:t>
            </w:r>
            <w:proofErr w:type="gramStart"/>
            <w:r w:rsidRPr="003B714C">
              <w:t>deformations</w:t>
            </w:r>
            <w:proofErr w:type="gramEnd"/>
            <w:r w:rsidRPr="003B714C">
              <w:t xml:space="preserve"> and chromosomal abnormalities    </w:t>
            </w:r>
          </w:p>
        </w:tc>
      </w:tr>
      <w:tr w:rsidR="005C53B3" w14:paraId="54874331" w14:textId="77777777" w:rsidTr="0058368A">
        <w:tc>
          <w:tcPr>
            <w:tcW w:w="988" w:type="dxa"/>
          </w:tcPr>
          <w:p w14:paraId="6C44175B" w14:textId="77777777" w:rsidR="005C53B3" w:rsidRDefault="005C53B3" w:rsidP="005C53B3">
            <w:pPr>
              <w:spacing w:before="0"/>
              <w:jc w:val="both"/>
              <w:rPr>
                <w:rFonts w:cs="Arial"/>
              </w:rPr>
            </w:pPr>
            <w:r w:rsidRPr="000B74CB">
              <w:t>18</w:t>
            </w:r>
          </w:p>
        </w:tc>
        <w:tc>
          <w:tcPr>
            <w:tcW w:w="8028" w:type="dxa"/>
          </w:tcPr>
          <w:p w14:paraId="0B40EB15" w14:textId="43496557" w:rsidR="005C53B3" w:rsidRDefault="005C53B3" w:rsidP="005C53B3">
            <w:pPr>
              <w:spacing w:before="0"/>
              <w:jc w:val="both"/>
              <w:rPr>
                <w:rFonts w:cs="Arial"/>
              </w:rPr>
            </w:pPr>
            <w:r w:rsidRPr="003B714C">
              <w:t xml:space="preserve">Symptoms, </w:t>
            </w:r>
            <w:proofErr w:type="gramStart"/>
            <w:r w:rsidRPr="003B714C">
              <w:t>signs</w:t>
            </w:r>
            <w:proofErr w:type="gramEnd"/>
            <w:r w:rsidRPr="003B714C">
              <w:t xml:space="preserve"> and abnormal clinical and laboratory findings, not elsewhere classified    </w:t>
            </w:r>
          </w:p>
        </w:tc>
      </w:tr>
      <w:tr w:rsidR="005C53B3" w14:paraId="0B05CA24" w14:textId="77777777" w:rsidTr="0058368A">
        <w:tc>
          <w:tcPr>
            <w:tcW w:w="988" w:type="dxa"/>
          </w:tcPr>
          <w:p w14:paraId="6429A257" w14:textId="77777777" w:rsidR="005C53B3" w:rsidRDefault="005C53B3" w:rsidP="005C53B3">
            <w:pPr>
              <w:spacing w:before="0"/>
              <w:jc w:val="both"/>
              <w:rPr>
                <w:rFonts w:cs="Arial"/>
              </w:rPr>
            </w:pPr>
            <w:r w:rsidRPr="000B74CB">
              <w:t>19</w:t>
            </w:r>
          </w:p>
        </w:tc>
        <w:tc>
          <w:tcPr>
            <w:tcW w:w="8028" w:type="dxa"/>
          </w:tcPr>
          <w:p w14:paraId="2C45C0E5" w14:textId="2AE165A8" w:rsidR="005C53B3" w:rsidRDefault="005C53B3" w:rsidP="005C53B3">
            <w:pPr>
              <w:spacing w:before="0"/>
              <w:jc w:val="both"/>
              <w:rPr>
                <w:rFonts w:cs="Arial"/>
              </w:rPr>
            </w:pPr>
            <w:r w:rsidRPr="003B714C">
              <w:t xml:space="preserve">Injury, poisoning and certain other consequences of external causes    </w:t>
            </w:r>
          </w:p>
        </w:tc>
      </w:tr>
      <w:tr w:rsidR="005C53B3" w14:paraId="1CA389E5" w14:textId="77777777" w:rsidTr="0058368A">
        <w:tc>
          <w:tcPr>
            <w:tcW w:w="988" w:type="dxa"/>
          </w:tcPr>
          <w:p w14:paraId="78287C59" w14:textId="77777777" w:rsidR="005C53B3" w:rsidRDefault="005C53B3" w:rsidP="005C53B3">
            <w:pPr>
              <w:spacing w:before="0"/>
              <w:jc w:val="both"/>
              <w:rPr>
                <w:rFonts w:cs="Arial"/>
              </w:rPr>
            </w:pPr>
            <w:r w:rsidRPr="000B74CB">
              <w:t>20</w:t>
            </w:r>
          </w:p>
        </w:tc>
        <w:tc>
          <w:tcPr>
            <w:tcW w:w="8028" w:type="dxa"/>
          </w:tcPr>
          <w:p w14:paraId="44376827" w14:textId="07695A59" w:rsidR="005C53B3" w:rsidRDefault="005C53B3" w:rsidP="005C53B3">
            <w:pPr>
              <w:spacing w:before="0"/>
              <w:jc w:val="both"/>
              <w:rPr>
                <w:rFonts w:cs="Arial"/>
              </w:rPr>
            </w:pPr>
            <w:r w:rsidRPr="003B714C">
              <w:t xml:space="preserve">External causes of morbidity and mortality    </w:t>
            </w:r>
          </w:p>
        </w:tc>
      </w:tr>
      <w:tr w:rsidR="005C53B3" w14:paraId="7F88989F" w14:textId="77777777" w:rsidTr="0058368A">
        <w:tc>
          <w:tcPr>
            <w:tcW w:w="988" w:type="dxa"/>
          </w:tcPr>
          <w:p w14:paraId="48EDD4FB" w14:textId="77777777" w:rsidR="005C53B3" w:rsidRDefault="005C53B3" w:rsidP="005C53B3">
            <w:pPr>
              <w:spacing w:before="0"/>
              <w:jc w:val="both"/>
              <w:rPr>
                <w:rFonts w:cs="Arial"/>
              </w:rPr>
            </w:pPr>
            <w:r w:rsidRPr="000B74CB">
              <w:t>21</w:t>
            </w:r>
          </w:p>
        </w:tc>
        <w:tc>
          <w:tcPr>
            <w:tcW w:w="8028" w:type="dxa"/>
          </w:tcPr>
          <w:p w14:paraId="67108343" w14:textId="0ED9149E" w:rsidR="005C53B3" w:rsidRDefault="005C53B3" w:rsidP="005C53B3">
            <w:pPr>
              <w:spacing w:before="0"/>
              <w:jc w:val="both"/>
              <w:rPr>
                <w:rFonts w:cs="Arial"/>
              </w:rPr>
            </w:pPr>
            <w:r w:rsidRPr="003B714C">
              <w:t xml:space="preserve">Factors influencing health status and contact with health services    </w:t>
            </w:r>
          </w:p>
        </w:tc>
      </w:tr>
      <w:tr w:rsidR="005C53B3" w14:paraId="3327930F" w14:textId="77777777" w:rsidTr="0058368A">
        <w:tc>
          <w:tcPr>
            <w:tcW w:w="988" w:type="dxa"/>
          </w:tcPr>
          <w:p w14:paraId="3654128F" w14:textId="77777777" w:rsidR="005C53B3" w:rsidRDefault="005C53B3" w:rsidP="005C53B3">
            <w:pPr>
              <w:spacing w:before="0"/>
              <w:jc w:val="both"/>
              <w:rPr>
                <w:rFonts w:cs="Arial"/>
              </w:rPr>
            </w:pPr>
            <w:r w:rsidRPr="000B74CB">
              <w:t>22</w:t>
            </w:r>
          </w:p>
        </w:tc>
        <w:tc>
          <w:tcPr>
            <w:tcW w:w="8028" w:type="dxa"/>
          </w:tcPr>
          <w:p w14:paraId="5258C919" w14:textId="3732E787" w:rsidR="005C53B3" w:rsidRDefault="005C53B3" w:rsidP="005C53B3">
            <w:pPr>
              <w:spacing w:before="0"/>
              <w:jc w:val="both"/>
              <w:rPr>
                <w:rFonts w:cs="Arial"/>
              </w:rPr>
            </w:pPr>
            <w:r w:rsidRPr="003B714C">
              <w:t xml:space="preserve">Codes for special purposes    </w:t>
            </w:r>
          </w:p>
        </w:tc>
      </w:tr>
    </w:tbl>
    <w:p w14:paraId="6469E430" w14:textId="4C11AED0" w:rsidR="00C97ECD" w:rsidRDefault="002F60A3" w:rsidP="004A30D8">
      <w:pPr>
        <w:jc w:val="both"/>
        <w:rPr>
          <w:rFonts w:cs="Arial"/>
        </w:rPr>
      </w:pPr>
      <w:r w:rsidRPr="009B3899">
        <w:rPr>
          <w:rFonts w:cs="Arial"/>
        </w:rPr>
        <w:t xml:space="preserve">However, testing the above approach did not indicate a strong predictive power.  </w:t>
      </w:r>
    </w:p>
    <w:p w14:paraId="65EDFFE0" w14:textId="77777777" w:rsidR="00237F42" w:rsidRDefault="00237F42" w:rsidP="004A30D8">
      <w:pPr>
        <w:jc w:val="both"/>
        <w:rPr>
          <w:rFonts w:cs="Arial"/>
        </w:rPr>
      </w:pPr>
    </w:p>
    <w:p w14:paraId="681B9815" w14:textId="05A65C90" w:rsidR="009B3899" w:rsidRPr="009B3899" w:rsidRDefault="009B3899" w:rsidP="004A30D8">
      <w:pPr>
        <w:jc w:val="both"/>
        <w:rPr>
          <w:rFonts w:cs="Arial"/>
          <w:b/>
        </w:rPr>
      </w:pPr>
      <w:r w:rsidRPr="009B3899">
        <w:rPr>
          <w:rFonts w:cs="Arial"/>
          <w:b/>
        </w:rPr>
        <w:t>Major Diagnostic Categories</w:t>
      </w:r>
    </w:p>
    <w:p w14:paraId="1FE6C0F7" w14:textId="2A7BAA1F" w:rsidR="004A30D8" w:rsidRDefault="003B4F95" w:rsidP="004A30D8">
      <w:pPr>
        <w:jc w:val="both"/>
        <w:rPr>
          <w:rFonts w:cs="Arial"/>
        </w:rPr>
      </w:pPr>
      <w:r>
        <w:rPr>
          <w:rFonts w:cs="Arial"/>
        </w:rPr>
        <w:t>G</w:t>
      </w:r>
      <w:r w:rsidR="00EC7542" w:rsidRPr="00E421E5">
        <w:rPr>
          <w:rFonts w:cs="Arial"/>
        </w:rPr>
        <w:t xml:space="preserve">roup </w:t>
      </w:r>
      <w:r w:rsidR="00EC7542">
        <w:rPr>
          <w:rFonts w:cs="Arial"/>
        </w:rPr>
        <w:t xml:space="preserve">and standardised activities </w:t>
      </w:r>
      <w:r>
        <w:rPr>
          <w:rFonts w:cs="Arial"/>
        </w:rPr>
        <w:t xml:space="preserve">by </w:t>
      </w:r>
      <w:r w:rsidR="00EC7542">
        <w:rPr>
          <w:rFonts w:cs="Arial"/>
        </w:rPr>
        <w:t xml:space="preserve">using the </w:t>
      </w:r>
      <w:r w:rsidR="004A30D8">
        <w:rPr>
          <w:rFonts w:cs="Arial"/>
        </w:rPr>
        <w:t>23</w:t>
      </w:r>
      <w:r w:rsidR="004A30D8" w:rsidRPr="00E421E5">
        <w:rPr>
          <w:rFonts w:cs="Arial"/>
        </w:rPr>
        <w:t xml:space="preserve"> </w:t>
      </w:r>
      <w:r w:rsidR="004A30D8">
        <w:rPr>
          <w:rFonts w:cs="Arial"/>
        </w:rPr>
        <w:t>major diagnostic categories</w:t>
      </w:r>
      <w:r w:rsidR="004A30D8" w:rsidRPr="00E421E5">
        <w:rPr>
          <w:rFonts w:cs="Arial"/>
        </w:rPr>
        <w:t xml:space="preserve"> based on the </w:t>
      </w:r>
      <w:r>
        <w:rPr>
          <w:rFonts w:cs="Arial"/>
        </w:rPr>
        <w:t xml:space="preserve">following </w:t>
      </w:r>
      <w:r w:rsidR="004A30D8">
        <w:rPr>
          <w:rFonts w:cs="Arial"/>
        </w:rPr>
        <w:t xml:space="preserve">DRGs </w:t>
      </w:r>
      <w:r w:rsidR="00EC7542">
        <w:rPr>
          <w:rFonts w:cs="Arial"/>
        </w:rPr>
        <w:t>(AR-DRG v</w:t>
      </w:r>
      <w:r w:rsidR="001662EC">
        <w:rPr>
          <w:rFonts w:cs="Arial"/>
        </w:rPr>
        <w:t>10</w:t>
      </w:r>
      <w:r w:rsidR="00EC7542">
        <w:rPr>
          <w:rFonts w:cs="Arial"/>
        </w:rPr>
        <w:t xml:space="preserve">.0) </w:t>
      </w:r>
      <w:r>
        <w:rPr>
          <w:rFonts w:cs="Arial"/>
        </w:rPr>
        <w:t>could also be an option.</w:t>
      </w:r>
    </w:p>
    <w:tbl>
      <w:tblPr>
        <w:tblStyle w:val="TableGrid"/>
        <w:tblW w:w="0" w:type="auto"/>
        <w:tblLook w:val="04A0" w:firstRow="1" w:lastRow="0" w:firstColumn="1" w:lastColumn="0" w:noHBand="0" w:noVBand="1"/>
      </w:tblPr>
      <w:tblGrid>
        <w:gridCol w:w="988"/>
        <w:gridCol w:w="6241"/>
        <w:gridCol w:w="1787"/>
      </w:tblGrid>
      <w:tr w:rsidR="0058368A" w:rsidRPr="0058368A" w14:paraId="7B1347CC" w14:textId="5D868A15" w:rsidTr="0058368A">
        <w:tc>
          <w:tcPr>
            <w:tcW w:w="988" w:type="dxa"/>
          </w:tcPr>
          <w:p w14:paraId="1FFC9955" w14:textId="1C277681" w:rsidR="0058368A" w:rsidRPr="0058368A" w:rsidRDefault="0058368A" w:rsidP="0058368A">
            <w:pPr>
              <w:spacing w:before="0"/>
              <w:jc w:val="both"/>
              <w:rPr>
                <w:rFonts w:cs="Arial"/>
                <w:b/>
              </w:rPr>
            </w:pPr>
            <w:r w:rsidRPr="0058368A">
              <w:rPr>
                <w:b/>
              </w:rPr>
              <w:t>MDC Code</w:t>
            </w:r>
          </w:p>
        </w:tc>
        <w:tc>
          <w:tcPr>
            <w:tcW w:w="6241" w:type="dxa"/>
          </w:tcPr>
          <w:p w14:paraId="38930428" w14:textId="710A25C9" w:rsidR="0058368A" w:rsidRPr="0058368A" w:rsidRDefault="0058368A" w:rsidP="0058368A">
            <w:pPr>
              <w:spacing w:before="0"/>
              <w:jc w:val="both"/>
              <w:rPr>
                <w:rFonts w:cs="Arial"/>
                <w:b/>
              </w:rPr>
            </w:pPr>
            <w:r w:rsidRPr="0058368A">
              <w:rPr>
                <w:b/>
              </w:rPr>
              <w:t>MDC Description</w:t>
            </w:r>
          </w:p>
        </w:tc>
        <w:tc>
          <w:tcPr>
            <w:tcW w:w="1787" w:type="dxa"/>
          </w:tcPr>
          <w:p w14:paraId="0D6C2BA9" w14:textId="1A98104F" w:rsidR="0058368A" w:rsidRPr="0058368A" w:rsidRDefault="0058368A" w:rsidP="0058368A">
            <w:pPr>
              <w:spacing w:before="0"/>
              <w:jc w:val="both"/>
              <w:rPr>
                <w:b/>
              </w:rPr>
            </w:pPr>
            <w:r w:rsidRPr="0058368A">
              <w:rPr>
                <w:b/>
              </w:rPr>
              <w:t xml:space="preserve">AR-DRG </w:t>
            </w:r>
            <w:r>
              <w:rPr>
                <w:b/>
              </w:rPr>
              <w:t>R</w:t>
            </w:r>
            <w:r w:rsidRPr="0058368A">
              <w:rPr>
                <w:b/>
              </w:rPr>
              <w:t>ange</w:t>
            </w:r>
          </w:p>
        </w:tc>
      </w:tr>
      <w:tr w:rsidR="0058368A" w14:paraId="6E58B4F4" w14:textId="09D3B8AE" w:rsidTr="0058368A">
        <w:tc>
          <w:tcPr>
            <w:tcW w:w="988" w:type="dxa"/>
          </w:tcPr>
          <w:p w14:paraId="2DB65213" w14:textId="2A96D3F0" w:rsidR="0058368A" w:rsidRDefault="0058368A" w:rsidP="0058368A">
            <w:pPr>
              <w:spacing w:before="0"/>
              <w:jc w:val="both"/>
              <w:rPr>
                <w:rFonts w:cs="Arial"/>
              </w:rPr>
            </w:pPr>
            <w:r w:rsidRPr="0058368A">
              <w:rPr>
                <w:rFonts w:cs="Arial"/>
              </w:rPr>
              <w:t>Pre-MDC</w:t>
            </w:r>
          </w:p>
        </w:tc>
        <w:tc>
          <w:tcPr>
            <w:tcW w:w="6241" w:type="dxa"/>
          </w:tcPr>
          <w:p w14:paraId="46776B35" w14:textId="4A0AF90D" w:rsidR="0058368A" w:rsidRDefault="0058368A" w:rsidP="0058368A">
            <w:pPr>
              <w:spacing w:before="0"/>
              <w:jc w:val="both"/>
              <w:rPr>
                <w:rFonts w:cs="Arial"/>
              </w:rPr>
            </w:pPr>
            <w:r w:rsidRPr="0058368A">
              <w:rPr>
                <w:rFonts w:cs="Arial"/>
              </w:rPr>
              <w:t>Major procedures where the principal diagnosis may be associated with any MDC</w:t>
            </w:r>
          </w:p>
        </w:tc>
        <w:tc>
          <w:tcPr>
            <w:tcW w:w="1787" w:type="dxa"/>
          </w:tcPr>
          <w:p w14:paraId="1A60AD3A" w14:textId="653A2959" w:rsidR="0058368A" w:rsidRPr="002638EB" w:rsidRDefault="00E922E4" w:rsidP="0058368A">
            <w:pPr>
              <w:spacing w:before="0"/>
              <w:jc w:val="both"/>
            </w:pPr>
            <w:r>
              <w:t>A13A-A40Z</w:t>
            </w:r>
          </w:p>
        </w:tc>
      </w:tr>
      <w:tr w:rsidR="0058368A" w14:paraId="412F092F" w14:textId="77777777" w:rsidTr="0058368A">
        <w:tc>
          <w:tcPr>
            <w:tcW w:w="988" w:type="dxa"/>
          </w:tcPr>
          <w:p w14:paraId="21B9BAFF" w14:textId="77777777" w:rsidR="0058368A" w:rsidRDefault="0058368A" w:rsidP="0058368A">
            <w:pPr>
              <w:spacing w:before="0"/>
              <w:jc w:val="both"/>
              <w:rPr>
                <w:rFonts w:cs="Arial"/>
              </w:rPr>
            </w:pPr>
            <w:r w:rsidRPr="000B74CB">
              <w:t>01</w:t>
            </w:r>
          </w:p>
        </w:tc>
        <w:tc>
          <w:tcPr>
            <w:tcW w:w="6241" w:type="dxa"/>
          </w:tcPr>
          <w:p w14:paraId="6D478972" w14:textId="77777777" w:rsidR="0058368A" w:rsidRDefault="0058368A" w:rsidP="0058368A">
            <w:pPr>
              <w:spacing w:before="0"/>
              <w:jc w:val="both"/>
              <w:rPr>
                <w:rFonts w:cs="Arial"/>
              </w:rPr>
            </w:pPr>
            <w:r w:rsidRPr="002638EB">
              <w:t>Diseases and disorders of the nervous system</w:t>
            </w:r>
          </w:p>
        </w:tc>
        <w:tc>
          <w:tcPr>
            <w:tcW w:w="1787" w:type="dxa"/>
          </w:tcPr>
          <w:p w14:paraId="6C70DF2F" w14:textId="03511D1E" w:rsidR="0058368A" w:rsidRPr="002638EB" w:rsidRDefault="0058368A" w:rsidP="0058368A">
            <w:pPr>
              <w:spacing w:before="0"/>
              <w:jc w:val="both"/>
            </w:pPr>
            <w:r w:rsidRPr="005C41A9">
              <w:t>B01Z-</w:t>
            </w:r>
            <w:r w:rsidR="001662EC" w:rsidRPr="005C41A9">
              <w:t>B8</w:t>
            </w:r>
            <w:r w:rsidR="001662EC">
              <w:t>3C</w:t>
            </w:r>
          </w:p>
        </w:tc>
      </w:tr>
      <w:tr w:rsidR="0058368A" w14:paraId="72CF9B57" w14:textId="09E23E86" w:rsidTr="0058368A">
        <w:tc>
          <w:tcPr>
            <w:tcW w:w="988" w:type="dxa"/>
          </w:tcPr>
          <w:p w14:paraId="5C22F9A3" w14:textId="52E87063" w:rsidR="0058368A" w:rsidRDefault="0058368A" w:rsidP="0058368A">
            <w:pPr>
              <w:spacing w:before="0"/>
              <w:jc w:val="both"/>
              <w:rPr>
                <w:rFonts w:cs="Arial"/>
              </w:rPr>
            </w:pPr>
            <w:r w:rsidRPr="000B74CB">
              <w:t>02</w:t>
            </w:r>
          </w:p>
        </w:tc>
        <w:tc>
          <w:tcPr>
            <w:tcW w:w="6241" w:type="dxa"/>
          </w:tcPr>
          <w:p w14:paraId="44CFCBF0" w14:textId="0355223C" w:rsidR="0058368A" w:rsidRDefault="0058368A" w:rsidP="0058368A">
            <w:pPr>
              <w:spacing w:before="0"/>
              <w:jc w:val="both"/>
              <w:rPr>
                <w:rFonts w:cs="Arial"/>
              </w:rPr>
            </w:pPr>
            <w:r w:rsidRPr="002638EB">
              <w:t>Diseases and disorders of the eye</w:t>
            </w:r>
          </w:p>
        </w:tc>
        <w:tc>
          <w:tcPr>
            <w:tcW w:w="1787" w:type="dxa"/>
          </w:tcPr>
          <w:p w14:paraId="478553DA" w14:textId="633302A2" w:rsidR="0058368A" w:rsidRPr="002638EB" w:rsidRDefault="0058368A" w:rsidP="0058368A">
            <w:pPr>
              <w:spacing w:before="0"/>
              <w:jc w:val="both"/>
            </w:pPr>
            <w:r w:rsidRPr="005C41A9">
              <w:t>C01Z-C63B</w:t>
            </w:r>
          </w:p>
        </w:tc>
      </w:tr>
      <w:tr w:rsidR="0058368A" w14:paraId="388BB23A" w14:textId="60EE9C5F" w:rsidTr="0058368A">
        <w:tc>
          <w:tcPr>
            <w:tcW w:w="988" w:type="dxa"/>
          </w:tcPr>
          <w:p w14:paraId="21873AB0" w14:textId="3A2C5FCE" w:rsidR="0058368A" w:rsidRDefault="0058368A" w:rsidP="0058368A">
            <w:pPr>
              <w:spacing w:before="0"/>
              <w:jc w:val="both"/>
              <w:rPr>
                <w:rFonts w:cs="Arial"/>
              </w:rPr>
            </w:pPr>
            <w:r w:rsidRPr="000B74CB">
              <w:t>03</w:t>
            </w:r>
          </w:p>
        </w:tc>
        <w:tc>
          <w:tcPr>
            <w:tcW w:w="6241" w:type="dxa"/>
          </w:tcPr>
          <w:p w14:paraId="5BE342EF" w14:textId="740F178F" w:rsidR="0058368A" w:rsidRDefault="0058368A" w:rsidP="0058368A">
            <w:pPr>
              <w:spacing w:before="0"/>
              <w:jc w:val="both"/>
              <w:rPr>
                <w:rFonts w:cs="Arial"/>
              </w:rPr>
            </w:pPr>
            <w:r w:rsidRPr="002638EB">
              <w:t xml:space="preserve">Diseases and disorders of the ear, nose, </w:t>
            </w:r>
            <w:proofErr w:type="gramStart"/>
            <w:r w:rsidRPr="002638EB">
              <w:t>mouth</w:t>
            </w:r>
            <w:proofErr w:type="gramEnd"/>
            <w:r w:rsidRPr="002638EB">
              <w:t xml:space="preserve"> and throat</w:t>
            </w:r>
          </w:p>
        </w:tc>
        <w:tc>
          <w:tcPr>
            <w:tcW w:w="1787" w:type="dxa"/>
          </w:tcPr>
          <w:p w14:paraId="3CF1E1F9" w14:textId="59D6BCF2" w:rsidR="0058368A" w:rsidRPr="002638EB" w:rsidRDefault="0058368A" w:rsidP="0058368A">
            <w:pPr>
              <w:spacing w:before="0"/>
              <w:jc w:val="both"/>
            </w:pPr>
            <w:r w:rsidRPr="005C41A9">
              <w:t>D01Z-D67</w:t>
            </w:r>
            <w:r w:rsidR="001662EC">
              <w:t>B</w:t>
            </w:r>
          </w:p>
        </w:tc>
      </w:tr>
      <w:tr w:rsidR="0058368A" w14:paraId="0E9EF7A0" w14:textId="2676D1CB" w:rsidTr="0058368A">
        <w:tc>
          <w:tcPr>
            <w:tcW w:w="988" w:type="dxa"/>
          </w:tcPr>
          <w:p w14:paraId="62412805" w14:textId="53643382" w:rsidR="0058368A" w:rsidRDefault="0058368A" w:rsidP="0058368A">
            <w:pPr>
              <w:spacing w:before="0"/>
              <w:jc w:val="both"/>
              <w:rPr>
                <w:rFonts w:cs="Arial"/>
              </w:rPr>
            </w:pPr>
            <w:r w:rsidRPr="000B74CB">
              <w:t>04</w:t>
            </w:r>
          </w:p>
        </w:tc>
        <w:tc>
          <w:tcPr>
            <w:tcW w:w="6241" w:type="dxa"/>
          </w:tcPr>
          <w:p w14:paraId="78A9368F" w14:textId="0207B8E6" w:rsidR="0058368A" w:rsidRDefault="0058368A" w:rsidP="0058368A">
            <w:pPr>
              <w:spacing w:before="0"/>
              <w:jc w:val="both"/>
              <w:rPr>
                <w:rFonts w:cs="Arial"/>
              </w:rPr>
            </w:pPr>
            <w:r w:rsidRPr="002638EB">
              <w:t>Diseases and disorders of the respiratory system</w:t>
            </w:r>
          </w:p>
        </w:tc>
        <w:tc>
          <w:tcPr>
            <w:tcW w:w="1787" w:type="dxa"/>
          </w:tcPr>
          <w:p w14:paraId="375B2566" w14:textId="1E1B80D6" w:rsidR="0058368A" w:rsidRPr="002638EB" w:rsidRDefault="0058368A" w:rsidP="0058368A">
            <w:pPr>
              <w:spacing w:before="0"/>
              <w:jc w:val="both"/>
            </w:pPr>
            <w:r w:rsidRPr="005C41A9">
              <w:t>E01A-E7</w:t>
            </w:r>
            <w:r w:rsidR="001662EC">
              <w:t>7B</w:t>
            </w:r>
          </w:p>
        </w:tc>
      </w:tr>
      <w:tr w:rsidR="0058368A" w14:paraId="1F8482B2" w14:textId="3EB68CED" w:rsidTr="0058368A">
        <w:tc>
          <w:tcPr>
            <w:tcW w:w="988" w:type="dxa"/>
          </w:tcPr>
          <w:p w14:paraId="038E695B" w14:textId="4618DB9E" w:rsidR="0058368A" w:rsidRDefault="0058368A" w:rsidP="0058368A">
            <w:pPr>
              <w:spacing w:before="0"/>
              <w:jc w:val="both"/>
              <w:rPr>
                <w:rFonts w:cs="Arial"/>
              </w:rPr>
            </w:pPr>
            <w:r w:rsidRPr="000B74CB">
              <w:t>05</w:t>
            </w:r>
          </w:p>
        </w:tc>
        <w:tc>
          <w:tcPr>
            <w:tcW w:w="6241" w:type="dxa"/>
          </w:tcPr>
          <w:p w14:paraId="096C6C54" w14:textId="7D4D01FA" w:rsidR="0058368A" w:rsidRDefault="0058368A" w:rsidP="0058368A">
            <w:pPr>
              <w:spacing w:before="0"/>
              <w:jc w:val="both"/>
              <w:rPr>
                <w:rFonts w:cs="Arial"/>
              </w:rPr>
            </w:pPr>
            <w:r w:rsidRPr="002638EB">
              <w:t>Diseases and disorders of the circulatory system</w:t>
            </w:r>
          </w:p>
        </w:tc>
        <w:tc>
          <w:tcPr>
            <w:tcW w:w="1787" w:type="dxa"/>
          </w:tcPr>
          <w:p w14:paraId="7C4935E3" w14:textId="43A98F41" w:rsidR="0058368A" w:rsidRPr="002638EB" w:rsidRDefault="0058368A" w:rsidP="0058368A">
            <w:pPr>
              <w:spacing w:before="0"/>
              <w:jc w:val="both"/>
            </w:pPr>
            <w:r w:rsidRPr="005C41A9">
              <w:t>F01</w:t>
            </w:r>
            <w:r w:rsidR="005975C8">
              <w:t>A</w:t>
            </w:r>
            <w:r w:rsidRPr="005C41A9">
              <w:t>-F7</w:t>
            </w:r>
            <w:r w:rsidR="005975C8">
              <w:t>6B</w:t>
            </w:r>
          </w:p>
        </w:tc>
      </w:tr>
      <w:tr w:rsidR="0058368A" w14:paraId="43AE80A4" w14:textId="1FA544D8" w:rsidTr="0058368A">
        <w:tc>
          <w:tcPr>
            <w:tcW w:w="988" w:type="dxa"/>
          </w:tcPr>
          <w:p w14:paraId="3996B8A3" w14:textId="42AE0AA0" w:rsidR="0058368A" w:rsidRDefault="0058368A" w:rsidP="0058368A">
            <w:pPr>
              <w:spacing w:before="0"/>
              <w:jc w:val="both"/>
              <w:rPr>
                <w:rFonts w:cs="Arial"/>
              </w:rPr>
            </w:pPr>
            <w:r w:rsidRPr="000B74CB">
              <w:t>06</w:t>
            </w:r>
          </w:p>
        </w:tc>
        <w:tc>
          <w:tcPr>
            <w:tcW w:w="6241" w:type="dxa"/>
          </w:tcPr>
          <w:p w14:paraId="6636141D" w14:textId="0E51DD65" w:rsidR="0058368A" w:rsidRDefault="0058368A" w:rsidP="0058368A">
            <w:pPr>
              <w:spacing w:before="0"/>
              <w:jc w:val="both"/>
              <w:rPr>
                <w:rFonts w:cs="Arial"/>
              </w:rPr>
            </w:pPr>
            <w:r w:rsidRPr="002638EB">
              <w:t>Diseases and disorders of the digestive system</w:t>
            </w:r>
          </w:p>
        </w:tc>
        <w:tc>
          <w:tcPr>
            <w:tcW w:w="1787" w:type="dxa"/>
          </w:tcPr>
          <w:p w14:paraId="224EE438" w14:textId="5AE9982A" w:rsidR="0058368A" w:rsidRPr="002638EB" w:rsidRDefault="0058368A" w:rsidP="0058368A">
            <w:pPr>
              <w:spacing w:before="0"/>
              <w:jc w:val="both"/>
            </w:pPr>
            <w:r w:rsidRPr="005C41A9">
              <w:t>G01A-G70</w:t>
            </w:r>
            <w:r w:rsidR="005975C8">
              <w:t>C</w:t>
            </w:r>
          </w:p>
        </w:tc>
      </w:tr>
      <w:tr w:rsidR="0058368A" w14:paraId="4A077741" w14:textId="4795F257" w:rsidTr="0058368A">
        <w:tc>
          <w:tcPr>
            <w:tcW w:w="988" w:type="dxa"/>
          </w:tcPr>
          <w:p w14:paraId="1889E0D5" w14:textId="29DA67E1" w:rsidR="0058368A" w:rsidRDefault="0058368A" w:rsidP="0058368A">
            <w:pPr>
              <w:spacing w:before="0"/>
              <w:jc w:val="both"/>
              <w:rPr>
                <w:rFonts w:cs="Arial"/>
              </w:rPr>
            </w:pPr>
            <w:r w:rsidRPr="000B74CB">
              <w:t>07</w:t>
            </w:r>
          </w:p>
        </w:tc>
        <w:tc>
          <w:tcPr>
            <w:tcW w:w="6241" w:type="dxa"/>
          </w:tcPr>
          <w:p w14:paraId="7C830944" w14:textId="75A722C3" w:rsidR="0058368A" w:rsidRDefault="0058368A" w:rsidP="0058368A">
            <w:pPr>
              <w:spacing w:before="0"/>
              <w:jc w:val="both"/>
              <w:rPr>
                <w:rFonts w:cs="Arial"/>
              </w:rPr>
            </w:pPr>
            <w:r w:rsidRPr="002638EB">
              <w:t>Diseases and disorders of the hepatobiliary system and pancreas</w:t>
            </w:r>
          </w:p>
        </w:tc>
        <w:tc>
          <w:tcPr>
            <w:tcW w:w="1787" w:type="dxa"/>
          </w:tcPr>
          <w:p w14:paraId="5E7EBDB5" w14:textId="4E7F5E25" w:rsidR="0058368A" w:rsidRPr="002638EB" w:rsidRDefault="0058368A" w:rsidP="0058368A">
            <w:pPr>
              <w:spacing w:before="0"/>
              <w:jc w:val="both"/>
            </w:pPr>
            <w:r w:rsidRPr="005C41A9">
              <w:t>H01A-H6</w:t>
            </w:r>
            <w:r w:rsidR="005975C8">
              <w:t>5C</w:t>
            </w:r>
          </w:p>
        </w:tc>
      </w:tr>
      <w:tr w:rsidR="0058368A" w14:paraId="544BD6AC" w14:textId="3F40BB3F" w:rsidTr="0058368A">
        <w:tc>
          <w:tcPr>
            <w:tcW w:w="988" w:type="dxa"/>
          </w:tcPr>
          <w:p w14:paraId="1B76D4B4" w14:textId="3ACFEEB7" w:rsidR="0058368A" w:rsidRDefault="0058368A" w:rsidP="0058368A">
            <w:pPr>
              <w:spacing w:before="0"/>
              <w:jc w:val="both"/>
              <w:rPr>
                <w:rFonts w:cs="Arial"/>
              </w:rPr>
            </w:pPr>
            <w:r w:rsidRPr="000B74CB">
              <w:t>08</w:t>
            </w:r>
          </w:p>
        </w:tc>
        <w:tc>
          <w:tcPr>
            <w:tcW w:w="6241" w:type="dxa"/>
          </w:tcPr>
          <w:p w14:paraId="38CAB9EF" w14:textId="27ED8016" w:rsidR="0058368A" w:rsidRDefault="0058368A" w:rsidP="0058368A">
            <w:pPr>
              <w:spacing w:before="0"/>
              <w:jc w:val="both"/>
              <w:rPr>
                <w:rFonts w:cs="Arial"/>
              </w:rPr>
            </w:pPr>
            <w:r w:rsidRPr="002638EB">
              <w:t>Diseases and disorders of the musculoskeletal system and connective tissue</w:t>
            </w:r>
          </w:p>
        </w:tc>
        <w:tc>
          <w:tcPr>
            <w:tcW w:w="1787" w:type="dxa"/>
          </w:tcPr>
          <w:p w14:paraId="315C2858" w14:textId="7A10E4F8" w:rsidR="0058368A" w:rsidRPr="002638EB" w:rsidRDefault="0058368A" w:rsidP="0058368A">
            <w:pPr>
              <w:spacing w:before="0"/>
              <w:jc w:val="both"/>
            </w:pPr>
            <w:r w:rsidRPr="005C41A9">
              <w:t>I01</w:t>
            </w:r>
            <w:r w:rsidR="00CE430F">
              <w:t>A</w:t>
            </w:r>
            <w:r w:rsidRPr="005C41A9">
              <w:t>-I</w:t>
            </w:r>
            <w:r w:rsidR="00CE430F">
              <w:t>80Z</w:t>
            </w:r>
          </w:p>
        </w:tc>
      </w:tr>
      <w:tr w:rsidR="0058368A" w14:paraId="07BDD1AB" w14:textId="3784843F" w:rsidTr="0058368A">
        <w:tc>
          <w:tcPr>
            <w:tcW w:w="988" w:type="dxa"/>
          </w:tcPr>
          <w:p w14:paraId="7C775DF2" w14:textId="5605C35D" w:rsidR="0058368A" w:rsidRDefault="0058368A" w:rsidP="0058368A">
            <w:pPr>
              <w:spacing w:before="0"/>
              <w:jc w:val="both"/>
              <w:rPr>
                <w:rFonts w:cs="Arial"/>
              </w:rPr>
            </w:pPr>
            <w:r w:rsidRPr="000B74CB">
              <w:t>09</w:t>
            </w:r>
          </w:p>
        </w:tc>
        <w:tc>
          <w:tcPr>
            <w:tcW w:w="6241" w:type="dxa"/>
          </w:tcPr>
          <w:p w14:paraId="0A5C0879" w14:textId="5D579F89" w:rsidR="0058368A" w:rsidRDefault="0058368A" w:rsidP="0058368A">
            <w:pPr>
              <w:spacing w:before="0"/>
              <w:jc w:val="both"/>
              <w:rPr>
                <w:rFonts w:cs="Arial"/>
              </w:rPr>
            </w:pPr>
            <w:r w:rsidRPr="002638EB">
              <w:t xml:space="preserve">Diseases and disorders of the skin, subcutaneous </w:t>
            </w:r>
            <w:proofErr w:type="gramStart"/>
            <w:r w:rsidRPr="002638EB">
              <w:t>tissue</w:t>
            </w:r>
            <w:proofErr w:type="gramEnd"/>
            <w:r w:rsidRPr="002638EB">
              <w:t xml:space="preserve"> and breast</w:t>
            </w:r>
          </w:p>
        </w:tc>
        <w:tc>
          <w:tcPr>
            <w:tcW w:w="1787" w:type="dxa"/>
          </w:tcPr>
          <w:p w14:paraId="71D23B47" w14:textId="5930266C" w:rsidR="0058368A" w:rsidRPr="002638EB" w:rsidRDefault="0058368A" w:rsidP="0058368A">
            <w:pPr>
              <w:spacing w:before="0"/>
              <w:jc w:val="both"/>
            </w:pPr>
            <w:r w:rsidRPr="005C41A9">
              <w:t>J01</w:t>
            </w:r>
            <w:r w:rsidR="00097669">
              <w:t>A</w:t>
            </w:r>
            <w:r w:rsidRPr="005C41A9">
              <w:t>-J6</w:t>
            </w:r>
            <w:r w:rsidR="00097669">
              <w:t>9</w:t>
            </w:r>
            <w:r w:rsidRPr="005C41A9">
              <w:t>B</w:t>
            </w:r>
          </w:p>
        </w:tc>
      </w:tr>
      <w:tr w:rsidR="0058368A" w14:paraId="09DA3D85" w14:textId="2938FD31" w:rsidTr="0058368A">
        <w:tc>
          <w:tcPr>
            <w:tcW w:w="988" w:type="dxa"/>
          </w:tcPr>
          <w:p w14:paraId="18213A15" w14:textId="36249B4E" w:rsidR="0058368A" w:rsidRDefault="0058368A" w:rsidP="0058368A">
            <w:pPr>
              <w:spacing w:before="0"/>
              <w:jc w:val="both"/>
              <w:rPr>
                <w:rFonts w:cs="Arial"/>
              </w:rPr>
            </w:pPr>
            <w:r w:rsidRPr="000B74CB">
              <w:t>10</w:t>
            </w:r>
          </w:p>
        </w:tc>
        <w:tc>
          <w:tcPr>
            <w:tcW w:w="6241" w:type="dxa"/>
          </w:tcPr>
          <w:p w14:paraId="4DBDEA81" w14:textId="059038EB" w:rsidR="0058368A" w:rsidRDefault="0058368A" w:rsidP="0058368A">
            <w:pPr>
              <w:spacing w:before="0"/>
              <w:jc w:val="both"/>
              <w:rPr>
                <w:rFonts w:cs="Arial"/>
              </w:rPr>
            </w:pPr>
            <w:r w:rsidRPr="002638EB">
              <w:t xml:space="preserve">Endocrine, </w:t>
            </w:r>
            <w:proofErr w:type="gramStart"/>
            <w:r w:rsidRPr="002638EB">
              <w:t>nutritional</w:t>
            </w:r>
            <w:proofErr w:type="gramEnd"/>
            <w:r w:rsidRPr="002638EB">
              <w:t xml:space="preserve"> and metabolic diseases and disorders</w:t>
            </w:r>
          </w:p>
        </w:tc>
        <w:tc>
          <w:tcPr>
            <w:tcW w:w="1787" w:type="dxa"/>
          </w:tcPr>
          <w:p w14:paraId="0A5617F2" w14:textId="273EE9A8" w:rsidR="0058368A" w:rsidRPr="002638EB" w:rsidRDefault="0058368A" w:rsidP="0058368A">
            <w:pPr>
              <w:spacing w:before="0"/>
              <w:jc w:val="both"/>
            </w:pPr>
            <w:r w:rsidRPr="005C41A9">
              <w:t>K01</w:t>
            </w:r>
            <w:r w:rsidR="00097669">
              <w:t>A</w:t>
            </w:r>
            <w:r w:rsidRPr="005C41A9">
              <w:t>-K64B</w:t>
            </w:r>
          </w:p>
        </w:tc>
      </w:tr>
      <w:tr w:rsidR="0058368A" w14:paraId="45D261CA" w14:textId="23E15BE8" w:rsidTr="0058368A">
        <w:tc>
          <w:tcPr>
            <w:tcW w:w="988" w:type="dxa"/>
          </w:tcPr>
          <w:p w14:paraId="1476C4F3" w14:textId="3566D4FB" w:rsidR="0058368A" w:rsidRDefault="0058368A" w:rsidP="0058368A">
            <w:pPr>
              <w:spacing w:before="0"/>
              <w:jc w:val="both"/>
              <w:rPr>
                <w:rFonts w:cs="Arial"/>
              </w:rPr>
            </w:pPr>
            <w:r w:rsidRPr="000B74CB">
              <w:t>11</w:t>
            </w:r>
          </w:p>
        </w:tc>
        <w:tc>
          <w:tcPr>
            <w:tcW w:w="6241" w:type="dxa"/>
          </w:tcPr>
          <w:p w14:paraId="2B6E6982" w14:textId="08E4434D" w:rsidR="0058368A" w:rsidRDefault="0058368A" w:rsidP="0058368A">
            <w:pPr>
              <w:spacing w:before="0"/>
              <w:jc w:val="both"/>
              <w:rPr>
                <w:rFonts w:cs="Arial"/>
              </w:rPr>
            </w:pPr>
            <w:r w:rsidRPr="002638EB">
              <w:t>Diseases and disorders of the kidney and urinary tract</w:t>
            </w:r>
          </w:p>
        </w:tc>
        <w:tc>
          <w:tcPr>
            <w:tcW w:w="1787" w:type="dxa"/>
          </w:tcPr>
          <w:p w14:paraId="178FA794" w14:textId="355806AD" w:rsidR="0058368A" w:rsidRPr="002638EB" w:rsidRDefault="0058368A" w:rsidP="0058368A">
            <w:pPr>
              <w:spacing w:before="0"/>
              <w:jc w:val="both"/>
            </w:pPr>
            <w:r w:rsidRPr="005C41A9">
              <w:t>L0</w:t>
            </w:r>
            <w:r w:rsidR="00097669">
              <w:t>2</w:t>
            </w:r>
            <w:r w:rsidRPr="005C41A9">
              <w:t>A-L6</w:t>
            </w:r>
            <w:r w:rsidR="00097669">
              <w:t>8Z</w:t>
            </w:r>
          </w:p>
        </w:tc>
      </w:tr>
      <w:tr w:rsidR="0058368A" w14:paraId="5E14643C" w14:textId="7D1C9980" w:rsidTr="0058368A">
        <w:tc>
          <w:tcPr>
            <w:tcW w:w="988" w:type="dxa"/>
          </w:tcPr>
          <w:p w14:paraId="32FE59C0" w14:textId="45056C43" w:rsidR="0058368A" w:rsidRDefault="0058368A" w:rsidP="0058368A">
            <w:pPr>
              <w:spacing w:before="0"/>
              <w:jc w:val="both"/>
              <w:rPr>
                <w:rFonts w:cs="Arial"/>
              </w:rPr>
            </w:pPr>
            <w:r w:rsidRPr="000B74CB">
              <w:t>12</w:t>
            </w:r>
          </w:p>
        </w:tc>
        <w:tc>
          <w:tcPr>
            <w:tcW w:w="6241" w:type="dxa"/>
          </w:tcPr>
          <w:p w14:paraId="62C5ECA5" w14:textId="37F68FBB" w:rsidR="0058368A" w:rsidRDefault="0058368A" w:rsidP="0058368A">
            <w:pPr>
              <w:spacing w:before="0"/>
              <w:jc w:val="both"/>
              <w:rPr>
                <w:rFonts w:cs="Arial"/>
              </w:rPr>
            </w:pPr>
            <w:r w:rsidRPr="002638EB">
              <w:t>Diseases and disorders of the male reproductive system</w:t>
            </w:r>
          </w:p>
        </w:tc>
        <w:tc>
          <w:tcPr>
            <w:tcW w:w="1787" w:type="dxa"/>
          </w:tcPr>
          <w:p w14:paraId="4D39C14E" w14:textId="12DB2DB9" w:rsidR="0058368A" w:rsidRPr="002638EB" w:rsidRDefault="0058368A" w:rsidP="0058368A">
            <w:pPr>
              <w:spacing w:before="0"/>
              <w:jc w:val="both"/>
            </w:pPr>
            <w:r w:rsidRPr="005C41A9">
              <w:t>M01</w:t>
            </w:r>
            <w:r w:rsidR="00097669">
              <w:t>A</w:t>
            </w:r>
            <w:r w:rsidRPr="005C41A9">
              <w:t>-M64</w:t>
            </w:r>
            <w:r w:rsidR="00097669">
              <w:t>B</w:t>
            </w:r>
          </w:p>
        </w:tc>
      </w:tr>
      <w:tr w:rsidR="0058368A" w14:paraId="312091DD" w14:textId="3BB9A647" w:rsidTr="0058368A">
        <w:tc>
          <w:tcPr>
            <w:tcW w:w="988" w:type="dxa"/>
          </w:tcPr>
          <w:p w14:paraId="4F563A06" w14:textId="7C172053" w:rsidR="0058368A" w:rsidRDefault="0058368A" w:rsidP="0058368A">
            <w:pPr>
              <w:spacing w:before="0"/>
              <w:jc w:val="both"/>
              <w:rPr>
                <w:rFonts w:cs="Arial"/>
              </w:rPr>
            </w:pPr>
            <w:r w:rsidRPr="000B74CB">
              <w:lastRenderedPageBreak/>
              <w:t>13</w:t>
            </w:r>
          </w:p>
        </w:tc>
        <w:tc>
          <w:tcPr>
            <w:tcW w:w="6241" w:type="dxa"/>
          </w:tcPr>
          <w:p w14:paraId="39FCC50F" w14:textId="08F4B99A" w:rsidR="0058368A" w:rsidRDefault="0058368A" w:rsidP="0058368A">
            <w:pPr>
              <w:spacing w:before="0"/>
              <w:jc w:val="both"/>
              <w:rPr>
                <w:rFonts w:cs="Arial"/>
              </w:rPr>
            </w:pPr>
            <w:r w:rsidRPr="002638EB">
              <w:t>Diseases and disorders of the female reproductive system</w:t>
            </w:r>
          </w:p>
        </w:tc>
        <w:tc>
          <w:tcPr>
            <w:tcW w:w="1787" w:type="dxa"/>
          </w:tcPr>
          <w:p w14:paraId="5C2CBC92" w14:textId="41FF428C" w:rsidR="0058368A" w:rsidRPr="002638EB" w:rsidRDefault="0058368A" w:rsidP="0058368A">
            <w:pPr>
              <w:spacing w:before="0"/>
              <w:jc w:val="both"/>
            </w:pPr>
            <w:r w:rsidRPr="005C41A9">
              <w:t>N01Z-N62B</w:t>
            </w:r>
          </w:p>
        </w:tc>
      </w:tr>
      <w:tr w:rsidR="0058368A" w14:paraId="70AA3CF1" w14:textId="3B4B1185" w:rsidTr="0058368A">
        <w:tc>
          <w:tcPr>
            <w:tcW w:w="988" w:type="dxa"/>
          </w:tcPr>
          <w:p w14:paraId="498894B7" w14:textId="1E401620" w:rsidR="0058368A" w:rsidRDefault="0058368A" w:rsidP="0058368A">
            <w:pPr>
              <w:spacing w:before="0"/>
              <w:jc w:val="both"/>
              <w:rPr>
                <w:rFonts w:cs="Arial"/>
              </w:rPr>
            </w:pPr>
            <w:r w:rsidRPr="000B74CB">
              <w:t>14</w:t>
            </w:r>
          </w:p>
        </w:tc>
        <w:tc>
          <w:tcPr>
            <w:tcW w:w="6241" w:type="dxa"/>
          </w:tcPr>
          <w:p w14:paraId="17BE0A9F" w14:textId="2F80F30E" w:rsidR="0058368A" w:rsidRDefault="0058368A" w:rsidP="0058368A">
            <w:pPr>
              <w:spacing w:before="0"/>
              <w:jc w:val="both"/>
              <w:rPr>
                <w:rFonts w:cs="Arial"/>
              </w:rPr>
            </w:pPr>
            <w:r w:rsidRPr="002638EB">
              <w:t xml:space="preserve">Pregnancy, </w:t>
            </w:r>
            <w:proofErr w:type="gramStart"/>
            <w:r w:rsidRPr="002638EB">
              <w:t>childbirth</w:t>
            </w:r>
            <w:proofErr w:type="gramEnd"/>
            <w:r w:rsidRPr="002638EB">
              <w:t xml:space="preserve"> and the puerperium</w:t>
            </w:r>
          </w:p>
        </w:tc>
        <w:tc>
          <w:tcPr>
            <w:tcW w:w="1787" w:type="dxa"/>
          </w:tcPr>
          <w:p w14:paraId="49EBE50C" w14:textId="7D75D663" w:rsidR="0058368A" w:rsidRPr="002638EB" w:rsidRDefault="0058368A" w:rsidP="0058368A">
            <w:pPr>
              <w:spacing w:before="0"/>
              <w:jc w:val="both"/>
            </w:pPr>
            <w:r w:rsidRPr="005C41A9">
              <w:t>O01A-O6</w:t>
            </w:r>
            <w:r w:rsidR="00097669">
              <w:t>6C</w:t>
            </w:r>
          </w:p>
        </w:tc>
      </w:tr>
      <w:tr w:rsidR="0058368A" w14:paraId="3667F6FE" w14:textId="79BECD01" w:rsidTr="0058368A">
        <w:tc>
          <w:tcPr>
            <w:tcW w:w="988" w:type="dxa"/>
          </w:tcPr>
          <w:p w14:paraId="4DF0D8D2" w14:textId="1B9D9AC6" w:rsidR="0058368A" w:rsidRDefault="0058368A" w:rsidP="0058368A">
            <w:pPr>
              <w:spacing w:before="0"/>
              <w:jc w:val="both"/>
              <w:rPr>
                <w:rFonts w:cs="Arial"/>
              </w:rPr>
            </w:pPr>
            <w:r w:rsidRPr="000B74CB">
              <w:t>15</w:t>
            </w:r>
          </w:p>
        </w:tc>
        <w:tc>
          <w:tcPr>
            <w:tcW w:w="6241" w:type="dxa"/>
          </w:tcPr>
          <w:p w14:paraId="2BBAC017" w14:textId="00F93D13" w:rsidR="0058368A" w:rsidRDefault="0058368A" w:rsidP="0058368A">
            <w:pPr>
              <w:spacing w:before="0"/>
              <w:jc w:val="both"/>
              <w:rPr>
                <w:rFonts w:cs="Arial"/>
              </w:rPr>
            </w:pPr>
            <w:proofErr w:type="spellStart"/>
            <w:r w:rsidRPr="002638EB">
              <w:t>Newborn</w:t>
            </w:r>
            <w:proofErr w:type="spellEnd"/>
            <w:r w:rsidRPr="002638EB">
              <w:t xml:space="preserve"> and other neonates</w:t>
            </w:r>
          </w:p>
        </w:tc>
        <w:tc>
          <w:tcPr>
            <w:tcW w:w="1787" w:type="dxa"/>
          </w:tcPr>
          <w:p w14:paraId="27CBA2CA" w14:textId="2CAE9F68" w:rsidR="0058368A" w:rsidRPr="002638EB" w:rsidRDefault="0058368A" w:rsidP="0058368A">
            <w:pPr>
              <w:spacing w:before="0"/>
              <w:jc w:val="both"/>
            </w:pPr>
            <w:r w:rsidRPr="005C41A9">
              <w:t>P01Z-P6</w:t>
            </w:r>
            <w:r w:rsidR="00097669">
              <w:t>8</w:t>
            </w:r>
            <w:r w:rsidRPr="005C41A9">
              <w:t>D</w:t>
            </w:r>
          </w:p>
        </w:tc>
      </w:tr>
      <w:tr w:rsidR="0058368A" w14:paraId="6F95DF31" w14:textId="4A30E9F0" w:rsidTr="0058368A">
        <w:tc>
          <w:tcPr>
            <w:tcW w:w="988" w:type="dxa"/>
          </w:tcPr>
          <w:p w14:paraId="4D7B306F" w14:textId="08476CE8" w:rsidR="0058368A" w:rsidRDefault="0058368A" w:rsidP="0058368A">
            <w:pPr>
              <w:spacing w:before="0"/>
              <w:jc w:val="both"/>
              <w:rPr>
                <w:rFonts w:cs="Arial"/>
              </w:rPr>
            </w:pPr>
            <w:r w:rsidRPr="000B74CB">
              <w:t>16</w:t>
            </w:r>
          </w:p>
        </w:tc>
        <w:tc>
          <w:tcPr>
            <w:tcW w:w="6241" w:type="dxa"/>
          </w:tcPr>
          <w:p w14:paraId="09FDFB14" w14:textId="74A8C556" w:rsidR="0058368A" w:rsidRDefault="0058368A" w:rsidP="0058368A">
            <w:pPr>
              <w:spacing w:before="0"/>
              <w:jc w:val="both"/>
              <w:rPr>
                <w:rFonts w:cs="Arial"/>
              </w:rPr>
            </w:pPr>
            <w:r w:rsidRPr="002638EB">
              <w:t xml:space="preserve">Diseases and disorders of blood, blood-forming </w:t>
            </w:r>
            <w:proofErr w:type="gramStart"/>
            <w:r w:rsidRPr="002638EB">
              <w:t>organs</w:t>
            </w:r>
            <w:proofErr w:type="gramEnd"/>
            <w:r w:rsidRPr="002638EB">
              <w:t xml:space="preserve"> and immunological disorders</w:t>
            </w:r>
          </w:p>
        </w:tc>
        <w:tc>
          <w:tcPr>
            <w:tcW w:w="1787" w:type="dxa"/>
          </w:tcPr>
          <w:p w14:paraId="518B6BC3" w14:textId="5E3BC337" w:rsidR="0058368A" w:rsidRPr="002638EB" w:rsidRDefault="0058368A" w:rsidP="0058368A">
            <w:pPr>
              <w:spacing w:before="0"/>
              <w:jc w:val="both"/>
            </w:pPr>
            <w:r w:rsidRPr="005C41A9">
              <w:t>Q01Z-Q62B</w:t>
            </w:r>
          </w:p>
        </w:tc>
      </w:tr>
      <w:tr w:rsidR="0058368A" w14:paraId="23EE6D6B" w14:textId="6CB1EDEE" w:rsidTr="0058368A">
        <w:tc>
          <w:tcPr>
            <w:tcW w:w="988" w:type="dxa"/>
          </w:tcPr>
          <w:p w14:paraId="63A04C17" w14:textId="3729C4FE" w:rsidR="0058368A" w:rsidRDefault="0058368A" w:rsidP="0058368A">
            <w:pPr>
              <w:spacing w:before="0"/>
              <w:jc w:val="both"/>
              <w:rPr>
                <w:rFonts w:cs="Arial"/>
              </w:rPr>
            </w:pPr>
            <w:r w:rsidRPr="000B74CB">
              <w:t>17</w:t>
            </w:r>
          </w:p>
        </w:tc>
        <w:tc>
          <w:tcPr>
            <w:tcW w:w="6241" w:type="dxa"/>
          </w:tcPr>
          <w:p w14:paraId="179400C6" w14:textId="09A7605E" w:rsidR="0058368A" w:rsidRDefault="0058368A" w:rsidP="0058368A">
            <w:pPr>
              <w:spacing w:before="0"/>
              <w:jc w:val="both"/>
              <w:rPr>
                <w:rFonts w:cs="Arial"/>
              </w:rPr>
            </w:pPr>
            <w:r w:rsidRPr="002638EB">
              <w:t>Neoplastic disorders (haematological and solid neoplasm's)</w:t>
            </w:r>
          </w:p>
        </w:tc>
        <w:tc>
          <w:tcPr>
            <w:tcW w:w="1787" w:type="dxa"/>
          </w:tcPr>
          <w:p w14:paraId="0101B85A" w14:textId="422633F8" w:rsidR="0058368A" w:rsidRPr="002638EB" w:rsidRDefault="0058368A" w:rsidP="0058368A">
            <w:pPr>
              <w:spacing w:before="0"/>
              <w:jc w:val="both"/>
            </w:pPr>
            <w:r w:rsidRPr="005C41A9">
              <w:t>R01A-R6</w:t>
            </w:r>
            <w:r w:rsidR="00097669">
              <w:t>3</w:t>
            </w:r>
            <w:r w:rsidRPr="005C41A9">
              <w:t>Z</w:t>
            </w:r>
          </w:p>
        </w:tc>
      </w:tr>
      <w:tr w:rsidR="0058368A" w14:paraId="2FD4EE8D" w14:textId="3A0A15F5" w:rsidTr="0058368A">
        <w:tc>
          <w:tcPr>
            <w:tcW w:w="988" w:type="dxa"/>
          </w:tcPr>
          <w:p w14:paraId="0CE87246" w14:textId="58770D67" w:rsidR="0058368A" w:rsidRDefault="0058368A" w:rsidP="0058368A">
            <w:pPr>
              <w:spacing w:before="0"/>
              <w:jc w:val="both"/>
              <w:rPr>
                <w:rFonts w:cs="Arial"/>
              </w:rPr>
            </w:pPr>
            <w:r w:rsidRPr="000B74CB">
              <w:t>18</w:t>
            </w:r>
          </w:p>
        </w:tc>
        <w:tc>
          <w:tcPr>
            <w:tcW w:w="6241" w:type="dxa"/>
          </w:tcPr>
          <w:p w14:paraId="4C749715" w14:textId="7528B95B" w:rsidR="0058368A" w:rsidRDefault="0058368A" w:rsidP="0058368A">
            <w:pPr>
              <w:spacing w:before="0"/>
              <w:jc w:val="both"/>
              <w:rPr>
                <w:rFonts w:cs="Arial"/>
              </w:rPr>
            </w:pPr>
            <w:r w:rsidRPr="002638EB">
              <w:t>Infectious and parasitic diseases (systemic or unspecified sites)</w:t>
            </w:r>
          </w:p>
        </w:tc>
        <w:tc>
          <w:tcPr>
            <w:tcW w:w="1787" w:type="dxa"/>
          </w:tcPr>
          <w:p w14:paraId="2FF939DD" w14:textId="19C620C0" w:rsidR="0058368A" w:rsidRPr="002638EB" w:rsidRDefault="00E922E4" w:rsidP="0058368A">
            <w:pPr>
              <w:spacing w:before="0"/>
              <w:jc w:val="both"/>
            </w:pPr>
            <w:r>
              <w:t>T01A</w:t>
            </w:r>
            <w:r w:rsidR="0058368A" w:rsidRPr="005C41A9">
              <w:t>-T64</w:t>
            </w:r>
            <w:r>
              <w:t>C</w:t>
            </w:r>
          </w:p>
        </w:tc>
      </w:tr>
      <w:tr w:rsidR="0058368A" w14:paraId="34CF3649" w14:textId="072D9AC5" w:rsidTr="0058368A">
        <w:tc>
          <w:tcPr>
            <w:tcW w:w="988" w:type="dxa"/>
          </w:tcPr>
          <w:p w14:paraId="16D05C9C" w14:textId="6A4A0D0B" w:rsidR="0058368A" w:rsidRDefault="0058368A" w:rsidP="0058368A">
            <w:pPr>
              <w:spacing w:before="0"/>
              <w:jc w:val="both"/>
              <w:rPr>
                <w:rFonts w:cs="Arial"/>
              </w:rPr>
            </w:pPr>
            <w:r w:rsidRPr="000B74CB">
              <w:t>19</w:t>
            </w:r>
          </w:p>
        </w:tc>
        <w:tc>
          <w:tcPr>
            <w:tcW w:w="6241" w:type="dxa"/>
          </w:tcPr>
          <w:p w14:paraId="527D87CA" w14:textId="365BD5A4" w:rsidR="0058368A" w:rsidRDefault="0058368A" w:rsidP="0058368A">
            <w:pPr>
              <w:spacing w:before="0"/>
              <w:jc w:val="both"/>
              <w:rPr>
                <w:rFonts w:cs="Arial"/>
              </w:rPr>
            </w:pPr>
            <w:r w:rsidRPr="002638EB">
              <w:t>Mental diseases and disorders</w:t>
            </w:r>
          </w:p>
        </w:tc>
        <w:tc>
          <w:tcPr>
            <w:tcW w:w="1787" w:type="dxa"/>
          </w:tcPr>
          <w:p w14:paraId="7B9735FA" w14:textId="60E3145B" w:rsidR="0058368A" w:rsidRPr="002638EB" w:rsidRDefault="0058368A" w:rsidP="0058368A">
            <w:pPr>
              <w:spacing w:before="0"/>
              <w:jc w:val="both"/>
            </w:pPr>
            <w:r w:rsidRPr="005C41A9">
              <w:t>U40Z-U68</w:t>
            </w:r>
            <w:r w:rsidR="00E922E4">
              <w:t>B</w:t>
            </w:r>
          </w:p>
        </w:tc>
      </w:tr>
      <w:tr w:rsidR="0058368A" w14:paraId="432F075C" w14:textId="72FEC3C9" w:rsidTr="0058368A">
        <w:tc>
          <w:tcPr>
            <w:tcW w:w="988" w:type="dxa"/>
          </w:tcPr>
          <w:p w14:paraId="0C626990" w14:textId="35E35D07" w:rsidR="0058368A" w:rsidRDefault="0058368A" w:rsidP="0058368A">
            <w:pPr>
              <w:spacing w:before="0"/>
              <w:jc w:val="both"/>
              <w:rPr>
                <w:rFonts w:cs="Arial"/>
              </w:rPr>
            </w:pPr>
            <w:r w:rsidRPr="000B74CB">
              <w:t>20</w:t>
            </w:r>
          </w:p>
        </w:tc>
        <w:tc>
          <w:tcPr>
            <w:tcW w:w="6241" w:type="dxa"/>
          </w:tcPr>
          <w:p w14:paraId="36786107" w14:textId="7C1FB889" w:rsidR="0058368A" w:rsidRDefault="0058368A" w:rsidP="0058368A">
            <w:pPr>
              <w:spacing w:before="0"/>
              <w:jc w:val="both"/>
              <w:rPr>
                <w:rFonts w:cs="Arial"/>
              </w:rPr>
            </w:pPr>
            <w:r w:rsidRPr="002638EB">
              <w:t>Alcohol/drug use and alcohol/drug-induced organic mental conditions</w:t>
            </w:r>
          </w:p>
        </w:tc>
        <w:tc>
          <w:tcPr>
            <w:tcW w:w="1787" w:type="dxa"/>
          </w:tcPr>
          <w:p w14:paraId="32A9DB8C" w14:textId="06284A86" w:rsidR="0058368A" w:rsidRPr="002638EB" w:rsidRDefault="0058368A" w:rsidP="0058368A">
            <w:pPr>
              <w:spacing w:before="0"/>
              <w:jc w:val="both"/>
            </w:pPr>
            <w:r w:rsidRPr="005C41A9">
              <w:t>V60</w:t>
            </w:r>
            <w:r w:rsidR="00E922E4">
              <w:t>A</w:t>
            </w:r>
            <w:r w:rsidRPr="005C41A9">
              <w:t>-V64</w:t>
            </w:r>
            <w:r w:rsidR="00E922E4">
              <w:t>B</w:t>
            </w:r>
          </w:p>
        </w:tc>
      </w:tr>
      <w:tr w:rsidR="0058368A" w14:paraId="6A0650C1" w14:textId="3958687F" w:rsidTr="0058368A">
        <w:tc>
          <w:tcPr>
            <w:tcW w:w="988" w:type="dxa"/>
          </w:tcPr>
          <w:p w14:paraId="7E3A28A3" w14:textId="6E749CF2" w:rsidR="0058368A" w:rsidRDefault="0058368A" w:rsidP="0058368A">
            <w:pPr>
              <w:spacing w:before="0"/>
              <w:jc w:val="both"/>
              <w:rPr>
                <w:rFonts w:cs="Arial"/>
              </w:rPr>
            </w:pPr>
            <w:r w:rsidRPr="000B74CB">
              <w:t>21</w:t>
            </w:r>
          </w:p>
        </w:tc>
        <w:tc>
          <w:tcPr>
            <w:tcW w:w="6241" w:type="dxa"/>
          </w:tcPr>
          <w:p w14:paraId="1835FBB7" w14:textId="67F7564E" w:rsidR="0058368A" w:rsidRDefault="0058368A" w:rsidP="0058368A">
            <w:pPr>
              <w:spacing w:before="0"/>
              <w:jc w:val="both"/>
              <w:rPr>
                <w:rFonts w:cs="Arial"/>
              </w:rPr>
            </w:pPr>
            <w:r w:rsidRPr="002638EB">
              <w:t>Injuries, poisoning and toxic effects of drugs</w:t>
            </w:r>
          </w:p>
        </w:tc>
        <w:tc>
          <w:tcPr>
            <w:tcW w:w="1787" w:type="dxa"/>
          </w:tcPr>
          <w:p w14:paraId="0FAD936D" w14:textId="1E4BA510" w:rsidR="0058368A" w:rsidRPr="002638EB" w:rsidRDefault="0058368A" w:rsidP="0058368A">
            <w:pPr>
              <w:spacing w:before="0"/>
              <w:jc w:val="both"/>
            </w:pPr>
            <w:r w:rsidRPr="005C41A9">
              <w:t>W01</w:t>
            </w:r>
            <w:r w:rsidR="00E922E4">
              <w:t>A-W61B</w:t>
            </w:r>
          </w:p>
        </w:tc>
      </w:tr>
      <w:tr w:rsidR="0058368A" w14:paraId="3512B341" w14:textId="10FD746C" w:rsidTr="0058368A">
        <w:tc>
          <w:tcPr>
            <w:tcW w:w="988" w:type="dxa"/>
          </w:tcPr>
          <w:p w14:paraId="0F54DB93" w14:textId="0AB5F417" w:rsidR="0058368A" w:rsidRDefault="0058368A" w:rsidP="0058368A">
            <w:pPr>
              <w:spacing w:before="0"/>
              <w:jc w:val="both"/>
              <w:rPr>
                <w:rFonts w:cs="Arial"/>
              </w:rPr>
            </w:pPr>
            <w:r w:rsidRPr="000B74CB">
              <w:t>22</w:t>
            </w:r>
          </w:p>
        </w:tc>
        <w:tc>
          <w:tcPr>
            <w:tcW w:w="6241" w:type="dxa"/>
          </w:tcPr>
          <w:p w14:paraId="4578599D" w14:textId="16B6D5F7" w:rsidR="0058368A" w:rsidRDefault="0058368A" w:rsidP="0058368A">
            <w:pPr>
              <w:spacing w:before="0"/>
              <w:jc w:val="both"/>
              <w:rPr>
                <w:rFonts w:cs="Arial"/>
              </w:rPr>
            </w:pPr>
            <w:r w:rsidRPr="002638EB">
              <w:t>Burns</w:t>
            </w:r>
          </w:p>
        </w:tc>
        <w:tc>
          <w:tcPr>
            <w:tcW w:w="1787" w:type="dxa"/>
          </w:tcPr>
          <w:p w14:paraId="66681312" w14:textId="4D5F509C" w:rsidR="0058368A" w:rsidRPr="002638EB" w:rsidRDefault="0058368A" w:rsidP="0058368A">
            <w:pPr>
              <w:spacing w:before="0"/>
              <w:jc w:val="both"/>
            </w:pPr>
            <w:r w:rsidRPr="005C41A9">
              <w:t>Y01Z-Y62B</w:t>
            </w:r>
          </w:p>
        </w:tc>
      </w:tr>
      <w:tr w:rsidR="0058368A" w14:paraId="71D2D1E0" w14:textId="41B09073" w:rsidTr="0058368A">
        <w:tc>
          <w:tcPr>
            <w:tcW w:w="988" w:type="dxa"/>
          </w:tcPr>
          <w:p w14:paraId="29738893" w14:textId="0161D9B8" w:rsidR="0058368A" w:rsidRDefault="0058368A" w:rsidP="0058368A">
            <w:pPr>
              <w:spacing w:before="0"/>
              <w:jc w:val="both"/>
              <w:rPr>
                <w:rFonts w:cs="Arial"/>
              </w:rPr>
            </w:pPr>
            <w:r w:rsidRPr="000B74CB">
              <w:t>23</w:t>
            </w:r>
          </w:p>
        </w:tc>
        <w:tc>
          <w:tcPr>
            <w:tcW w:w="6241" w:type="dxa"/>
          </w:tcPr>
          <w:p w14:paraId="504B3F93" w14:textId="7F3B2038" w:rsidR="0058368A" w:rsidRDefault="0058368A" w:rsidP="0058368A">
            <w:pPr>
              <w:spacing w:before="0"/>
              <w:jc w:val="both"/>
              <w:rPr>
                <w:rFonts w:cs="Arial"/>
              </w:rPr>
            </w:pPr>
            <w:r w:rsidRPr="002638EB">
              <w:t>Factors influencing health status and other contacts with health services</w:t>
            </w:r>
          </w:p>
        </w:tc>
        <w:tc>
          <w:tcPr>
            <w:tcW w:w="1787" w:type="dxa"/>
          </w:tcPr>
          <w:p w14:paraId="2DA26FBC" w14:textId="57080711" w:rsidR="0058368A" w:rsidRPr="002638EB" w:rsidRDefault="0058368A" w:rsidP="0058368A">
            <w:pPr>
              <w:spacing w:before="0"/>
              <w:jc w:val="both"/>
            </w:pPr>
            <w:r w:rsidRPr="005C41A9">
              <w:t>Z01A-Z6</w:t>
            </w:r>
            <w:r w:rsidR="00E922E4">
              <w:t>6</w:t>
            </w:r>
            <w:r w:rsidRPr="005C41A9">
              <w:t>Z</w:t>
            </w:r>
          </w:p>
        </w:tc>
      </w:tr>
      <w:tr w:rsidR="00E922E4" w14:paraId="114E1ED8" w14:textId="77777777" w:rsidTr="0058368A">
        <w:tc>
          <w:tcPr>
            <w:tcW w:w="988" w:type="dxa"/>
          </w:tcPr>
          <w:p w14:paraId="0CBCD566" w14:textId="77777777" w:rsidR="00E922E4" w:rsidRPr="000B74CB" w:rsidRDefault="00E922E4" w:rsidP="0058368A">
            <w:pPr>
              <w:spacing w:before="0"/>
              <w:jc w:val="both"/>
            </w:pPr>
          </w:p>
        </w:tc>
        <w:tc>
          <w:tcPr>
            <w:tcW w:w="6241" w:type="dxa"/>
          </w:tcPr>
          <w:p w14:paraId="43535C08" w14:textId="0B99736E" w:rsidR="00E922E4" w:rsidRPr="002638EB" w:rsidRDefault="00E922E4" w:rsidP="0058368A">
            <w:pPr>
              <w:spacing w:before="0"/>
              <w:jc w:val="both"/>
            </w:pPr>
            <w:r w:rsidRPr="00E922E4">
              <w:t>General Interventions Unrelated to Principal Diagnosis</w:t>
            </w:r>
          </w:p>
        </w:tc>
        <w:tc>
          <w:tcPr>
            <w:tcW w:w="1787" w:type="dxa"/>
          </w:tcPr>
          <w:p w14:paraId="6FFE7EA9" w14:textId="70CE42E5" w:rsidR="00E922E4" w:rsidRPr="005C41A9" w:rsidRDefault="00E922E4" w:rsidP="0058368A">
            <w:pPr>
              <w:spacing w:before="0"/>
              <w:jc w:val="both"/>
            </w:pPr>
            <w:r w:rsidRPr="00E922E4">
              <w:t>801A-801C</w:t>
            </w:r>
          </w:p>
        </w:tc>
      </w:tr>
      <w:tr w:rsidR="0058368A" w14:paraId="5E67DF19" w14:textId="77777777" w:rsidTr="0058368A">
        <w:tc>
          <w:tcPr>
            <w:tcW w:w="988" w:type="dxa"/>
          </w:tcPr>
          <w:p w14:paraId="2DD42C62" w14:textId="034CA951" w:rsidR="0058368A" w:rsidRPr="000B74CB" w:rsidRDefault="0058368A" w:rsidP="0058368A">
            <w:pPr>
              <w:spacing w:before="0"/>
              <w:jc w:val="both"/>
            </w:pPr>
            <w:r w:rsidRPr="0058368A">
              <w:t>Error-DRG</w:t>
            </w:r>
          </w:p>
        </w:tc>
        <w:tc>
          <w:tcPr>
            <w:tcW w:w="6241" w:type="dxa"/>
          </w:tcPr>
          <w:p w14:paraId="3FB76BBE" w14:textId="33C0C60B" w:rsidR="0058368A" w:rsidRPr="002638EB" w:rsidRDefault="0058368A" w:rsidP="0058368A">
            <w:pPr>
              <w:spacing w:before="0"/>
              <w:jc w:val="both"/>
            </w:pPr>
            <w:r w:rsidRPr="002D2F7C">
              <w:t>Error DRGs</w:t>
            </w:r>
          </w:p>
        </w:tc>
        <w:tc>
          <w:tcPr>
            <w:tcW w:w="1787" w:type="dxa"/>
          </w:tcPr>
          <w:p w14:paraId="7AAD1E14" w14:textId="6A03F01D" w:rsidR="0058368A" w:rsidRPr="002638EB" w:rsidRDefault="0010709F" w:rsidP="0058368A">
            <w:pPr>
              <w:spacing w:before="0"/>
              <w:jc w:val="both"/>
            </w:pPr>
            <w:r>
              <w:t xml:space="preserve"> </w:t>
            </w:r>
            <w:r w:rsidRPr="0010709F">
              <w:t>960Z, 961Z, 963Z</w:t>
            </w:r>
          </w:p>
        </w:tc>
      </w:tr>
    </w:tbl>
    <w:p w14:paraId="434C4E96" w14:textId="77777777" w:rsidR="004A30D8" w:rsidRDefault="004A30D8" w:rsidP="00CC02CF">
      <w:pPr>
        <w:jc w:val="both"/>
        <w:rPr>
          <w:rFonts w:cs="Arial"/>
        </w:rPr>
      </w:pPr>
    </w:p>
    <w:p w14:paraId="3D4E0C5F" w14:textId="315ED31B" w:rsidR="00E75D09" w:rsidRPr="00E75D09" w:rsidRDefault="00E75D09" w:rsidP="004B6974">
      <w:pPr>
        <w:pStyle w:val="Heading3"/>
      </w:pPr>
      <w:bookmarkStart w:id="68" w:name="_Ref457223109"/>
      <w:bookmarkStart w:id="69" w:name="_Toc173318906"/>
      <w:proofErr w:type="spellStart"/>
      <w:r w:rsidRPr="004B6974">
        <w:rPr>
          <w:rFonts w:asciiTheme="minorHAnsi" w:hAnsiTheme="minorHAnsi"/>
        </w:rPr>
        <w:t>Charlson</w:t>
      </w:r>
      <w:proofErr w:type="spellEnd"/>
      <w:r w:rsidRPr="004B6974">
        <w:rPr>
          <w:rFonts w:asciiTheme="minorHAnsi" w:hAnsiTheme="minorHAnsi"/>
        </w:rPr>
        <w:t xml:space="preserve"> Comorbidity Index</w:t>
      </w:r>
      <w:r w:rsidR="006A0981" w:rsidRPr="004B6974">
        <w:rPr>
          <w:rFonts w:asciiTheme="minorHAnsi" w:hAnsiTheme="minorHAnsi"/>
        </w:rPr>
        <w:t xml:space="preserve"> for S</w:t>
      </w:r>
      <w:r w:rsidRPr="004B6974">
        <w:rPr>
          <w:rFonts w:asciiTheme="minorHAnsi" w:hAnsiTheme="minorHAnsi"/>
        </w:rPr>
        <w:t>tandardisation</w:t>
      </w:r>
      <w:bookmarkEnd w:id="68"/>
      <w:bookmarkEnd w:id="69"/>
    </w:p>
    <w:p w14:paraId="763D738C" w14:textId="5C5372EA" w:rsidR="00E75D09" w:rsidRPr="00E75D09" w:rsidRDefault="006C2C8F" w:rsidP="00E75D09">
      <w:pPr>
        <w:jc w:val="both"/>
      </w:pPr>
      <w:r w:rsidRPr="00E75D09">
        <w:t xml:space="preserve">The </w:t>
      </w:r>
      <w:proofErr w:type="spellStart"/>
      <w:r w:rsidRPr="00E75D09">
        <w:t>Charlson</w:t>
      </w:r>
      <w:proofErr w:type="spellEnd"/>
      <w:r w:rsidRPr="00E75D09">
        <w:t xml:space="preserve"> Index is an indicator of disease burden and a strong indicator of mortality.  </w:t>
      </w:r>
      <w:r w:rsidR="00E75D09" w:rsidRPr="00E75D09">
        <w:t xml:space="preserve">In the context of the readmissions work, the </w:t>
      </w:r>
      <w:proofErr w:type="spellStart"/>
      <w:r w:rsidR="00E75D09" w:rsidRPr="00E75D09">
        <w:t>Charlson</w:t>
      </w:r>
      <w:proofErr w:type="spellEnd"/>
      <w:r w:rsidR="00E75D09" w:rsidRPr="00E75D09">
        <w:t xml:space="preserve"> index has been applied to both prior morbidities and the current diagnosis.  For prior morbidities, data is screened back from the index admission for one year, looking at the main diagnosis on all records for a given patient.  If the main diagnosis (ICD-10</w:t>
      </w:r>
      <w:r w:rsidR="00B746E1">
        <w:t>-AM</w:t>
      </w:r>
      <w:r w:rsidR="00E75D09" w:rsidRPr="00E75D09">
        <w:t xml:space="preserve">) maps to any of the 17 </w:t>
      </w:r>
      <w:proofErr w:type="spellStart"/>
      <w:r w:rsidR="00E75D09" w:rsidRPr="00E75D09">
        <w:t>Charlson</w:t>
      </w:r>
      <w:proofErr w:type="spellEnd"/>
      <w:r w:rsidR="00E75D09" w:rsidRPr="00E75D09">
        <w:t xml:space="preserve"> </w:t>
      </w:r>
      <w:proofErr w:type="gramStart"/>
      <w:r w:rsidR="00E75D09" w:rsidRPr="00E75D09">
        <w:t>groups</w:t>
      </w:r>
      <w:proofErr w:type="gramEnd"/>
      <w:r w:rsidR="00E75D09" w:rsidRPr="00E75D09">
        <w:t xml:space="preserve"> the appropriate weighting is attributed for that group and added to any previously attributed weighting. Once a weighting has been applied for a given group it is not further applied for the same group, even if there is multiple activity for the same grouping.</w:t>
      </w:r>
    </w:p>
    <w:p w14:paraId="090ADF0D" w14:textId="2D6B9E9B" w:rsidR="00194DA4" w:rsidRDefault="00E75D09" w:rsidP="00E75D09">
      <w:pPr>
        <w:jc w:val="both"/>
      </w:pPr>
      <w:r w:rsidRPr="00E75D09">
        <w:t>Similarly, for the current diagnosis the appropriate weighting is applied</w:t>
      </w:r>
      <w:r w:rsidR="00EA692F">
        <w:t xml:space="preserve"> and listed in table 8</w:t>
      </w:r>
      <w:r w:rsidR="00194DA4">
        <w:t xml:space="preserve"> below</w:t>
      </w:r>
      <w:r w:rsidRPr="00E75D09">
        <w:t xml:space="preserve">.  </w:t>
      </w:r>
    </w:p>
    <w:p w14:paraId="413F492D" w14:textId="35E218A5" w:rsidR="00194DA4" w:rsidRPr="00262E7F" w:rsidRDefault="00194DA4" w:rsidP="00895CEF">
      <w:pPr>
        <w:keepNext/>
        <w:rPr>
          <w:rFonts w:eastAsia="Times New Roman" w:cs="Times New Roman"/>
          <w:b/>
          <w:color w:val="000000"/>
          <w:lang w:eastAsia="en-NZ"/>
        </w:rPr>
      </w:pPr>
      <w:r w:rsidRPr="00262E7F">
        <w:rPr>
          <w:rFonts w:eastAsia="Times New Roman" w:cs="Times New Roman"/>
          <w:b/>
          <w:color w:val="000000"/>
          <w:lang w:eastAsia="en-NZ"/>
        </w:rPr>
        <w:t xml:space="preserve">Table </w:t>
      </w:r>
      <w:proofErr w:type="gramStart"/>
      <w:r w:rsidR="00EA692F">
        <w:rPr>
          <w:rFonts w:eastAsia="Times New Roman" w:cs="Times New Roman"/>
          <w:b/>
          <w:color w:val="000000"/>
          <w:lang w:eastAsia="en-NZ"/>
        </w:rPr>
        <w:t>8</w:t>
      </w:r>
      <w:r w:rsidRPr="00262E7F">
        <w:rPr>
          <w:rFonts w:eastAsia="Times New Roman" w:cs="Times New Roman"/>
          <w:b/>
          <w:color w:val="000000"/>
          <w:lang w:eastAsia="en-NZ"/>
        </w:rPr>
        <w:t>.</w:t>
      </w:r>
      <w:r>
        <w:rPr>
          <w:rFonts w:eastAsia="Times New Roman" w:cs="Times New Roman"/>
          <w:b/>
          <w:color w:val="000000"/>
          <w:lang w:eastAsia="en-NZ"/>
        </w:rPr>
        <w:t>Clinical</w:t>
      </w:r>
      <w:proofErr w:type="gramEnd"/>
      <w:r>
        <w:rPr>
          <w:rFonts w:eastAsia="Times New Roman" w:cs="Times New Roman"/>
          <w:b/>
          <w:color w:val="000000"/>
          <w:lang w:eastAsia="en-NZ"/>
        </w:rPr>
        <w:t xml:space="preserve"> groups under the </w:t>
      </w:r>
      <w:proofErr w:type="spellStart"/>
      <w:r>
        <w:rPr>
          <w:rFonts w:eastAsia="Times New Roman" w:cs="Times New Roman"/>
          <w:b/>
          <w:color w:val="000000"/>
          <w:lang w:eastAsia="en-NZ"/>
        </w:rPr>
        <w:t>Charlson</w:t>
      </w:r>
      <w:proofErr w:type="spellEnd"/>
      <w:r>
        <w:rPr>
          <w:rFonts w:eastAsia="Times New Roman" w:cs="Times New Roman"/>
          <w:b/>
          <w:color w:val="000000"/>
          <w:lang w:eastAsia="en-NZ"/>
        </w:rPr>
        <w:t xml:space="preserve"> Comorbidity Index</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658"/>
        <w:gridCol w:w="2358"/>
      </w:tblGrid>
      <w:tr w:rsidR="00E75D09" w:rsidRPr="00E75D09" w14:paraId="105B29DD" w14:textId="77777777" w:rsidTr="006A0981">
        <w:tc>
          <w:tcPr>
            <w:tcW w:w="6658" w:type="dxa"/>
            <w:tcBorders>
              <w:top w:val="single" w:sz="4" w:space="0" w:color="auto"/>
              <w:bottom w:val="single" w:sz="4" w:space="0" w:color="auto"/>
              <w:right w:val="single" w:sz="4" w:space="0" w:color="auto"/>
            </w:tcBorders>
            <w:shd w:val="clear" w:color="auto" w:fill="9CC2E5" w:themeFill="accent1" w:themeFillTint="99"/>
          </w:tcPr>
          <w:p w14:paraId="010C65F1" w14:textId="013F9A6B" w:rsidR="00E75D09" w:rsidRPr="00E75D09" w:rsidRDefault="00E75D09" w:rsidP="00895CEF">
            <w:pPr>
              <w:keepNext/>
              <w:spacing w:before="0"/>
              <w:jc w:val="both"/>
              <w:rPr>
                <w:b/>
              </w:rPr>
            </w:pPr>
            <w:r w:rsidRPr="00E75D09">
              <w:rPr>
                <w:b/>
              </w:rPr>
              <w:t>Clinical Groups</w:t>
            </w:r>
          </w:p>
        </w:tc>
        <w:tc>
          <w:tcPr>
            <w:tcW w:w="2358" w:type="dxa"/>
            <w:tcBorders>
              <w:top w:val="single" w:sz="4" w:space="0" w:color="auto"/>
              <w:left w:val="single" w:sz="4" w:space="0" w:color="auto"/>
              <w:bottom w:val="single" w:sz="4" w:space="0" w:color="auto"/>
            </w:tcBorders>
            <w:shd w:val="clear" w:color="auto" w:fill="9CC2E5" w:themeFill="accent1" w:themeFillTint="99"/>
          </w:tcPr>
          <w:p w14:paraId="53AF8A58" w14:textId="77777777" w:rsidR="00E75D09" w:rsidRPr="00E75D09" w:rsidRDefault="00E75D09" w:rsidP="00895CEF">
            <w:pPr>
              <w:keepNext/>
              <w:spacing w:before="0"/>
              <w:jc w:val="center"/>
              <w:rPr>
                <w:b/>
              </w:rPr>
            </w:pPr>
            <w:r w:rsidRPr="00E75D09">
              <w:rPr>
                <w:b/>
              </w:rPr>
              <w:t>Weighting</w:t>
            </w:r>
          </w:p>
        </w:tc>
      </w:tr>
      <w:tr w:rsidR="00E75D09" w:rsidRPr="00E75D09" w14:paraId="4420F2A5" w14:textId="77777777" w:rsidTr="00194DA4">
        <w:tc>
          <w:tcPr>
            <w:tcW w:w="6658" w:type="dxa"/>
            <w:tcBorders>
              <w:top w:val="single" w:sz="4" w:space="0" w:color="auto"/>
              <w:right w:val="single" w:sz="4" w:space="0" w:color="auto"/>
            </w:tcBorders>
          </w:tcPr>
          <w:p w14:paraId="1461C4B3" w14:textId="77777777" w:rsidR="00E75D09" w:rsidRPr="00E75D09" w:rsidRDefault="00E75D09" w:rsidP="00895CEF">
            <w:pPr>
              <w:keepNext/>
              <w:spacing w:before="0"/>
              <w:jc w:val="both"/>
            </w:pPr>
            <w:r w:rsidRPr="00E75D09">
              <w:t>Acute myocardial infarction</w:t>
            </w:r>
          </w:p>
        </w:tc>
        <w:tc>
          <w:tcPr>
            <w:tcW w:w="2358" w:type="dxa"/>
            <w:tcBorders>
              <w:top w:val="single" w:sz="4" w:space="0" w:color="auto"/>
              <w:left w:val="single" w:sz="4" w:space="0" w:color="auto"/>
            </w:tcBorders>
          </w:tcPr>
          <w:p w14:paraId="05C3D076" w14:textId="77777777" w:rsidR="00E75D09" w:rsidRPr="00E75D09" w:rsidRDefault="00E75D09" w:rsidP="00895CEF">
            <w:pPr>
              <w:keepNext/>
              <w:spacing w:before="0"/>
              <w:jc w:val="center"/>
            </w:pPr>
            <w:r w:rsidRPr="00E75D09">
              <w:t>1</w:t>
            </w:r>
          </w:p>
        </w:tc>
      </w:tr>
      <w:tr w:rsidR="00E75D09" w:rsidRPr="00E75D09" w14:paraId="53DFF821" w14:textId="77777777" w:rsidTr="00194DA4">
        <w:tc>
          <w:tcPr>
            <w:tcW w:w="6658" w:type="dxa"/>
            <w:tcBorders>
              <w:right w:val="single" w:sz="4" w:space="0" w:color="auto"/>
            </w:tcBorders>
          </w:tcPr>
          <w:p w14:paraId="3F096B20" w14:textId="77777777" w:rsidR="00E75D09" w:rsidRPr="00E75D09" w:rsidRDefault="00E75D09" w:rsidP="00895CEF">
            <w:pPr>
              <w:keepNext/>
              <w:spacing w:before="0"/>
              <w:jc w:val="both"/>
            </w:pPr>
            <w:r w:rsidRPr="00E75D09">
              <w:t>Congestive heart failure</w:t>
            </w:r>
          </w:p>
        </w:tc>
        <w:tc>
          <w:tcPr>
            <w:tcW w:w="2358" w:type="dxa"/>
            <w:tcBorders>
              <w:left w:val="single" w:sz="4" w:space="0" w:color="auto"/>
            </w:tcBorders>
          </w:tcPr>
          <w:p w14:paraId="675F7387" w14:textId="77777777" w:rsidR="00E75D09" w:rsidRPr="00E75D09" w:rsidRDefault="00E75D09" w:rsidP="00895CEF">
            <w:pPr>
              <w:keepNext/>
              <w:spacing w:before="0"/>
              <w:jc w:val="center"/>
            </w:pPr>
            <w:r w:rsidRPr="00E75D09">
              <w:t>1</w:t>
            </w:r>
          </w:p>
        </w:tc>
      </w:tr>
      <w:tr w:rsidR="00E75D09" w:rsidRPr="00E75D09" w14:paraId="0BFD3376" w14:textId="77777777" w:rsidTr="00194DA4">
        <w:tc>
          <w:tcPr>
            <w:tcW w:w="6658" w:type="dxa"/>
            <w:tcBorders>
              <w:right w:val="single" w:sz="4" w:space="0" w:color="auto"/>
            </w:tcBorders>
          </w:tcPr>
          <w:p w14:paraId="523EEE04" w14:textId="77777777" w:rsidR="00E75D09" w:rsidRPr="00E75D09" w:rsidRDefault="00E75D09" w:rsidP="00895CEF">
            <w:pPr>
              <w:keepNext/>
              <w:spacing w:before="0"/>
              <w:jc w:val="both"/>
            </w:pPr>
            <w:r w:rsidRPr="00E75D09">
              <w:t>Peripheral vascular disease</w:t>
            </w:r>
          </w:p>
        </w:tc>
        <w:tc>
          <w:tcPr>
            <w:tcW w:w="2358" w:type="dxa"/>
            <w:tcBorders>
              <w:left w:val="single" w:sz="4" w:space="0" w:color="auto"/>
            </w:tcBorders>
          </w:tcPr>
          <w:p w14:paraId="533DFC19" w14:textId="77777777" w:rsidR="00E75D09" w:rsidRPr="00E75D09" w:rsidRDefault="00E75D09" w:rsidP="00895CEF">
            <w:pPr>
              <w:keepNext/>
              <w:spacing w:before="0"/>
              <w:jc w:val="center"/>
            </w:pPr>
            <w:r w:rsidRPr="00E75D09">
              <w:t>1</w:t>
            </w:r>
          </w:p>
        </w:tc>
      </w:tr>
      <w:tr w:rsidR="00E75D09" w:rsidRPr="00E75D09" w14:paraId="55501B8C" w14:textId="77777777" w:rsidTr="00194DA4">
        <w:tc>
          <w:tcPr>
            <w:tcW w:w="6658" w:type="dxa"/>
            <w:tcBorders>
              <w:right w:val="single" w:sz="4" w:space="0" w:color="auto"/>
            </w:tcBorders>
          </w:tcPr>
          <w:p w14:paraId="0BABEA52" w14:textId="77777777" w:rsidR="00E75D09" w:rsidRPr="00E75D09" w:rsidRDefault="00E75D09" w:rsidP="00895CEF">
            <w:pPr>
              <w:keepNext/>
              <w:spacing w:before="0"/>
              <w:jc w:val="both"/>
            </w:pPr>
            <w:r w:rsidRPr="00E75D09">
              <w:t>Cerebral vascular accident</w:t>
            </w:r>
          </w:p>
        </w:tc>
        <w:tc>
          <w:tcPr>
            <w:tcW w:w="2358" w:type="dxa"/>
            <w:tcBorders>
              <w:left w:val="single" w:sz="4" w:space="0" w:color="auto"/>
            </w:tcBorders>
          </w:tcPr>
          <w:p w14:paraId="5D4904F5" w14:textId="77777777" w:rsidR="00E75D09" w:rsidRPr="00E75D09" w:rsidRDefault="00E75D09" w:rsidP="00895CEF">
            <w:pPr>
              <w:keepNext/>
              <w:spacing w:before="0"/>
              <w:jc w:val="center"/>
            </w:pPr>
            <w:r w:rsidRPr="00E75D09">
              <w:t>1</w:t>
            </w:r>
          </w:p>
        </w:tc>
      </w:tr>
      <w:tr w:rsidR="00E75D09" w:rsidRPr="00E75D09" w14:paraId="09E10143" w14:textId="77777777" w:rsidTr="00194DA4">
        <w:tc>
          <w:tcPr>
            <w:tcW w:w="6658" w:type="dxa"/>
            <w:tcBorders>
              <w:right w:val="single" w:sz="4" w:space="0" w:color="auto"/>
            </w:tcBorders>
          </w:tcPr>
          <w:p w14:paraId="7D3D9CF4" w14:textId="77777777" w:rsidR="00E75D09" w:rsidRPr="00E75D09" w:rsidRDefault="00E75D09" w:rsidP="00895CEF">
            <w:pPr>
              <w:keepNext/>
              <w:spacing w:before="0"/>
              <w:jc w:val="both"/>
            </w:pPr>
            <w:r w:rsidRPr="00E75D09">
              <w:t>Dementia</w:t>
            </w:r>
          </w:p>
        </w:tc>
        <w:tc>
          <w:tcPr>
            <w:tcW w:w="2358" w:type="dxa"/>
            <w:tcBorders>
              <w:left w:val="single" w:sz="4" w:space="0" w:color="auto"/>
            </w:tcBorders>
          </w:tcPr>
          <w:p w14:paraId="3FBB2757" w14:textId="77777777" w:rsidR="00E75D09" w:rsidRPr="00E75D09" w:rsidRDefault="00E75D09" w:rsidP="00895CEF">
            <w:pPr>
              <w:keepNext/>
              <w:spacing w:before="0"/>
              <w:jc w:val="center"/>
            </w:pPr>
            <w:r w:rsidRPr="00E75D09">
              <w:t>1</w:t>
            </w:r>
          </w:p>
        </w:tc>
      </w:tr>
      <w:tr w:rsidR="00E75D09" w:rsidRPr="00E75D09" w14:paraId="565A7024" w14:textId="77777777" w:rsidTr="00194DA4">
        <w:tc>
          <w:tcPr>
            <w:tcW w:w="6658" w:type="dxa"/>
            <w:tcBorders>
              <w:right w:val="single" w:sz="4" w:space="0" w:color="auto"/>
            </w:tcBorders>
          </w:tcPr>
          <w:p w14:paraId="17FA13DA" w14:textId="77777777" w:rsidR="00E75D09" w:rsidRPr="00E75D09" w:rsidRDefault="00E75D09" w:rsidP="00895CEF">
            <w:pPr>
              <w:keepNext/>
              <w:spacing w:before="0"/>
              <w:jc w:val="both"/>
            </w:pPr>
            <w:r w:rsidRPr="00E75D09">
              <w:t xml:space="preserve">Pulmonary disease </w:t>
            </w:r>
          </w:p>
        </w:tc>
        <w:tc>
          <w:tcPr>
            <w:tcW w:w="2358" w:type="dxa"/>
            <w:tcBorders>
              <w:left w:val="single" w:sz="4" w:space="0" w:color="auto"/>
            </w:tcBorders>
          </w:tcPr>
          <w:p w14:paraId="6FD8419F" w14:textId="77777777" w:rsidR="00E75D09" w:rsidRPr="00E75D09" w:rsidRDefault="00E75D09" w:rsidP="00895CEF">
            <w:pPr>
              <w:keepNext/>
              <w:spacing w:before="0"/>
              <w:jc w:val="center"/>
            </w:pPr>
            <w:r w:rsidRPr="00E75D09">
              <w:t>1</w:t>
            </w:r>
          </w:p>
        </w:tc>
      </w:tr>
      <w:tr w:rsidR="00E75D09" w:rsidRPr="00E75D09" w14:paraId="397FF632" w14:textId="77777777" w:rsidTr="00194DA4">
        <w:tc>
          <w:tcPr>
            <w:tcW w:w="6658" w:type="dxa"/>
            <w:tcBorders>
              <w:right w:val="single" w:sz="4" w:space="0" w:color="auto"/>
            </w:tcBorders>
          </w:tcPr>
          <w:p w14:paraId="668CE6D3" w14:textId="77777777" w:rsidR="00E75D09" w:rsidRPr="00E75D09" w:rsidRDefault="00E75D09" w:rsidP="00895CEF">
            <w:pPr>
              <w:keepNext/>
              <w:spacing w:before="0"/>
              <w:jc w:val="both"/>
            </w:pPr>
            <w:r w:rsidRPr="00E75D09">
              <w:t xml:space="preserve">Connective tissue disorder </w:t>
            </w:r>
          </w:p>
        </w:tc>
        <w:tc>
          <w:tcPr>
            <w:tcW w:w="2358" w:type="dxa"/>
            <w:tcBorders>
              <w:left w:val="single" w:sz="4" w:space="0" w:color="auto"/>
            </w:tcBorders>
          </w:tcPr>
          <w:p w14:paraId="46800D03" w14:textId="77777777" w:rsidR="00E75D09" w:rsidRPr="00E75D09" w:rsidRDefault="00E75D09" w:rsidP="00895CEF">
            <w:pPr>
              <w:keepNext/>
              <w:spacing w:before="0"/>
              <w:jc w:val="center"/>
            </w:pPr>
            <w:r w:rsidRPr="00E75D09">
              <w:t>1</w:t>
            </w:r>
          </w:p>
        </w:tc>
      </w:tr>
      <w:tr w:rsidR="00E75D09" w:rsidRPr="00E75D09" w14:paraId="50DF7EBE" w14:textId="77777777" w:rsidTr="00194DA4">
        <w:tc>
          <w:tcPr>
            <w:tcW w:w="6658" w:type="dxa"/>
            <w:tcBorders>
              <w:right w:val="single" w:sz="4" w:space="0" w:color="auto"/>
            </w:tcBorders>
          </w:tcPr>
          <w:p w14:paraId="7D14A84A" w14:textId="77777777" w:rsidR="00E75D09" w:rsidRPr="00E75D09" w:rsidRDefault="00E75D09" w:rsidP="00895CEF">
            <w:pPr>
              <w:keepNext/>
              <w:spacing w:before="0"/>
              <w:jc w:val="both"/>
            </w:pPr>
            <w:r w:rsidRPr="00E75D09">
              <w:t>Peptic ulcer</w:t>
            </w:r>
          </w:p>
        </w:tc>
        <w:tc>
          <w:tcPr>
            <w:tcW w:w="2358" w:type="dxa"/>
            <w:tcBorders>
              <w:left w:val="single" w:sz="4" w:space="0" w:color="auto"/>
            </w:tcBorders>
          </w:tcPr>
          <w:p w14:paraId="1C890DB4" w14:textId="77777777" w:rsidR="00E75D09" w:rsidRPr="00E75D09" w:rsidRDefault="00E75D09" w:rsidP="00895CEF">
            <w:pPr>
              <w:keepNext/>
              <w:spacing w:before="0"/>
              <w:jc w:val="center"/>
            </w:pPr>
            <w:r w:rsidRPr="00E75D09">
              <w:t>1</w:t>
            </w:r>
          </w:p>
        </w:tc>
      </w:tr>
      <w:tr w:rsidR="00E75D09" w:rsidRPr="00E75D09" w14:paraId="1711AC42" w14:textId="77777777" w:rsidTr="00194DA4">
        <w:tc>
          <w:tcPr>
            <w:tcW w:w="6658" w:type="dxa"/>
            <w:tcBorders>
              <w:right w:val="single" w:sz="4" w:space="0" w:color="auto"/>
            </w:tcBorders>
          </w:tcPr>
          <w:p w14:paraId="290E1C63" w14:textId="77777777" w:rsidR="00E75D09" w:rsidRPr="00E75D09" w:rsidRDefault="00E75D09" w:rsidP="00895CEF">
            <w:pPr>
              <w:keepNext/>
              <w:spacing w:before="0"/>
              <w:jc w:val="both"/>
            </w:pPr>
            <w:r w:rsidRPr="00E75D09">
              <w:t>Liver disease</w:t>
            </w:r>
          </w:p>
        </w:tc>
        <w:tc>
          <w:tcPr>
            <w:tcW w:w="2358" w:type="dxa"/>
            <w:tcBorders>
              <w:left w:val="single" w:sz="4" w:space="0" w:color="auto"/>
            </w:tcBorders>
          </w:tcPr>
          <w:p w14:paraId="1D63C1E2" w14:textId="77777777" w:rsidR="00E75D09" w:rsidRPr="00E75D09" w:rsidRDefault="00E75D09" w:rsidP="00895CEF">
            <w:pPr>
              <w:keepNext/>
              <w:spacing w:before="0"/>
              <w:jc w:val="center"/>
            </w:pPr>
            <w:r w:rsidRPr="00E75D09">
              <w:t>1</w:t>
            </w:r>
          </w:p>
        </w:tc>
      </w:tr>
      <w:tr w:rsidR="00E75D09" w:rsidRPr="00E75D09" w14:paraId="07A78E35" w14:textId="77777777" w:rsidTr="00194DA4">
        <w:tc>
          <w:tcPr>
            <w:tcW w:w="6658" w:type="dxa"/>
            <w:tcBorders>
              <w:right w:val="single" w:sz="4" w:space="0" w:color="auto"/>
            </w:tcBorders>
          </w:tcPr>
          <w:p w14:paraId="1C0A1973" w14:textId="77777777" w:rsidR="00E75D09" w:rsidRPr="00E75D09" w:rsidRDefault="00E75D09" w:rsidP="00895CEF">
            <w:pPr>
              <w:keepNext/>
              <w:spacing w:before="0"/>
              <w:jc w:val="both"/>
            </w:pPr>
            <w:r w:rsidRPr="00E75D09">
              <w:t>Diabetes</w:t>
            </w:r>
          </w:p>
        </w:tc>
        <w:tc>
          <w:tcPr>
            <w:tcW w:w="2358" w:type="dxa"/>
            <w:tcBorders>
              <w:left w:val="single" w:sz="4" w:space="0" w:color="auto"/>
            </w:tcBorders>
          </w:tcPr>
          <w:p w14:paraId="4A7F1077" w14:textId="77777777" w:rsidR="00E75D09" w:rsidRPr="00E75D09" w:rsidRDefault="00E75D09" w:rsidP="00895CEF">
            <w:pPr>
              <w:keepNext/>
              <w:spacing w:before="0"/>
              <w:jc w:val="center"/>
            </w:pPr>
            <w:r w:rsidRPr="00E75D09">
              <w:t>2</w:t>
            </w:r>
          </w:p>
        </w:tc>
      </w:tr>
      <w:tr w:rsidR="00E75D09" w:rsidRPr="00E75D09" w14:paraId="05C60FEA" w14:textId="77777777" w:rsidTr="00194DA4">
        <w:tc>
          <w:tcPr>
            <w:tcW w:w="6658" w:type="dxa"/>
            <w:tcBorders>
              <w:right w:val="single" w:sz="4" w:space="0" w:color="auto"/>
            </w:tcBorders>
          </w:tcPr>
          <w:p w14:paraId="42074D16" w14:textId="77777777" w:rsidR="00E75D09" w:rsidRPr="00E75D09" w:rsidRDefault="00E75D09" w:rsidP="00895CEF">
            <w:pPr>
              <w:keepNext/>
              <w:spacing w:before="0"/>
              <w:jc w:val="both"/>
            </w:pPr>
            <w:r w:rsidRPr="00E75D09">
              <w:t>Diabetes complications</w:t>
            </w:r>
          </w:p>
        </w:tc>
        <w:tc>
          <w:tcPr>
            <w:tcW w:w="2358" w:type="dxa"/>
            <w:tcBorders>
              <w:left w:val="single" w:sz="4" w:space="0" w:color="auto"/>
            </w:tcBorders>
          </w:tcPr>
          <w:p w14:paraId="2D2529EC" w14:textId="77777777" w:rsidR="00E75D09" w:rsidRPr="00E75D09" w:rsidRDefault="00E75D09" w:rsidP="00895CEF">
            <w:pPr>
              <w:keepNext/>
              <w:spacing w:before="0"/>
              <w:jc w:val="center"/>
            </w:pPr>
            <w:r w:rsidRPr="00E75D09">
              <w:t>2</w:t>
            </w:r>
          </w:p>
        </w:tc>
      </w:tr>
      <w:tr w:rsidR="00E75D09" w:rsidRPr="00E75D09" w14:paraId="7D26B033" w14:textId="77777777" w:rsidTr="00194DA4">
        <w:tc>
          <w:tcPr>
            <w:tcW w:w="6658" w:type="dxa"/>
            <w:tcBorders>
              <w:right w:val="single" w:sz="4" w:space="0" w:color="auto"/>
            </w:tcBorders>
          </w:tcPr>
          <w:p w14:paraId="1A5D3AEF" w14:textId="77777777" w:rsidR="00E75D09" w:rsidRPr="00E75D09" w:rsidRDefault="00E75D09" w:rsidP="00895CEF">
            <w:pPr>
              <w:keepNext/>
              <w:spacing w:before="0"/>
              <w:jc w:val="both"/>
            </w:pPr>
            <w:r w:rsidRPr="00E75D09">
              <w:t>Paraplegia</w:t>
            </w:r>
          </w:p>
        </w:tc>
        <w:tc>
          <w:tcPr>
            <w:tcW w:w="2358" w:type="dxa"/>
            <w:tcBorders>
              <w:left w:val="single" w:sz="4" w:space="0" w:color="auto"/>
            </w:tcBorders>
          </w:tcPr>
          <w:p w14:paraId="05AA9BC6" w14:textId="77777777" w:rsidR="00E75D09" w:rsidRPr="00E75D09" w:rsidRDefault="00E75D09" w:rsidP="00895CEF">
            <w:pPr>
              <w:keepNext/>
              <w:spacing w:before="0"/>
              <w:jc w:val="center"/>
            </w:pPr>
            <w:r w:rsidRPr="00E75D09">
              <w:t>2</w:t>
            </w:r>
          </w:p>
        </w:tc>
      </w:tr>
      <w:tr w:rsidR="00E75D09" w:rsidRPr="00E75D09" w14:paraId="6F15283D" w14:textId="77777777" w:rsidTr="00194DA4">
        <w:tc>
          <w:tcPr>
            <w:tcW w:w="6658" w:type="dxa"/>
            <w:tcBorders>
              <w:right w:val="single" w:sz="4" w:space="0" w:color="auto"/>
            </w:tcBorders>
          </w:tcPr>
          <w:p w14:paraId="50429A59" w14:textId="77777777" w:rsidR="00E75D09" w:rsidRPr="00E75D09" w:rsidRDefault="00E75D09" w:rsidP="00895CEF">
            <w:pPr>
              <w:keepNext/>
              <w:spacing w:before="0"/>
              <w:jc w:val="both"/>
            </w:pPr>
            <w:r w:rsidRPr="00E75D09">
              <w:t>Renal disease</w:t>
            </w:r>
          </w:p>
        </w:tc>
        <w:tc>
          <w:tcPr>
            <w:tcW w:w="2358" w:type="dxa"/>
            <w:tcBorders>
              <w:left w:val="single" w:sz="4" w:space="0" w:color="auto"/>
            </w:tcBorders>
          </w:tcPr>
          <w:p w14:paraId="2628320F" w14:textId="77777777" w:rsidR="00E75D09" w:rsidRPr="00E75D09" w:rsidRDefault="00E75D09" w:rsidP="00895CEF">
            <w:pPr>
              <w:keepNext/>
              <w:spacing w:before="0"/>
              <w:jc w:val="center"/>
            </w:pPr>
            <w:r w:rsidRPr="00E75D09">
              <w:t>2</w:t>
            </w:r>
          </w:p>
        </w:tc>
      </w:tr>
      <w:tr w:rsidR="00E75D09" w:rsidRPr="00E75D09" w14:paraId="658D22B7" w14:textId="77777777" w:rsidTr="00194DA4">
        <w:tc>
          <w:tcPr>
            <w:tcW w:w="6658" w:type="dxa"/>
            <w:tcBorders>
              <w:right w:val="single" w:sz="4" w:space="0" w:color="auto"/>
            </w:tcBorders>
          </w:tcPr>
          <w:p w14:paraId="19B58E3E" w14:textId="77777777" w:rsidR="00E75D09" w:rsidRPr="00E75D09" w:rsidRDefault="00E75D09" w:rsidP="00895CEF">
            <w:pPr>
              <w:keepNext/>
              <w:spacing w:before="0"/>
              <w:jc w:val="both"/>
            </w:pPr>
            <w:r w:rsidRPr="00E75D09">
              <w:t>Cancer</w:t>
            </w:r>
          </w:p>
        </w:tc>
        <w:tc>
          <w:tcPr>
            <w:tcW w:w="2358" w:type="dxa"/>
            <w:tcBorders>
              <w:left w:val="single" w:sz="4" w:space="0" w:color="auto"/>
            </w:tcBorders>
          </w:tcPr>
          <w:p w14:paraId="651EB185" w14:textId="77777777" w:rsidR="00E75D09" w:rsidRPr="00E75D09" w:rsidRDefault="00E75D09" w:rsidP="00895CEF">
            <w:pPr>
              <w:keepNext/>
              <w:spacing w:before="0"/>
              <w:jc w:val="center"/>
            </w:pPr>
            <w:r w:rsidRPr="00E75D09">
              <w:t>2</w:t>
            </w:r>
          </w:p>
        </w:tc>
      </w:tr>
      <w:tr w:rsidR="00E75D09" w:rsidRPr="00E75D09" w14:paraId="2F629A3C" w14:textId="77777777" w:rsidTr="00194DA4">
        <w:tc>
          <w:tcPr>
            <w:tcW w:w="6658" w:type="dxa"/>
            <w:tcBorders>
              <w:right w:val="single" w:sz="4" w:space="0" w:color="auto"/>
            </w:tcBorders>
          </w:tcPr>
          <w:p w14:paraId="7279B9CB" w14:textId="77777777" w:rsidR="00E75D09" w:rsidRPr="00E75D09" w:rsidRDefault="00E75D09" w:rsidP="00895CEF">
            <w:pPr>
              <w:keepNext/>
              <w:spacing w:before="0"/>
              <w:jc w:val="both"/>
            </w:pPr>
            <w:r w:rsidRPr="00E75D09">
              <w:t>Metastatic cancer</w:t>
            </w:r>
          </w:p>
        </w:tc>
        <w:tc>
          <w:tcPr>
            <w:tcW w:w="2358" w:type="dxa"/>
            <w:tcBorders>
              <w:left w:val="single" w:sz="4" w:space="0" w:color="auto"/>
            </w:tcBorders>
          </w:tcPr>
          <w:p w14:paraId="42D98F7E" w14:textId="77777777" w:rsidR="00E75D09" w:rsidRPr="00E75D09" w:rsidRDefault="00E75D09" w:rsidP="00895CEF">
            <w:pPr>
              <w:keepNext/>
              <w:spacing w:before="0"/>
              <w:jc w:val="center"/>
            </w:pPr>
            <w:r w:rsidRPr="00E75D09">
              <w:t>3</w:t>
            </w:r>
          </w:p>
        </w:tc>
      </w:tr>
      <w:tr w:rsidR="00E75D09" w:rsidRPr="00E75D09" w14:paraId="21D71597" w14:textId="77777777" w:rsidTr="00194DA4">
        <w:tc>
          <w:tcPr>
            <w:tcW w:w="6658" w:type="dxa"/>
            <w:tcBorders>
              <w:right w:val="single" w:sz="4" w:space="0" w:color="auto"/>
            </w:tcBorders>
          </w:tcPr>
          <w:p w14:paraId="74C3B1E1" w14:textId="77777777" w:rsidR="00E75D09" w:rsidRPr="00E75D09" w:rsidRDefault="00E75D09" w:rsidP="00895CEF">
            <w:pPr>
              <w:keepNext/>
              <w:spacing w:before="0"/>
              <w:jc w:val="both"/>
            </w:pPr>
            <w:r w:rsidRPr="00E75D09">
              <w:t xml:space="preserve">Severe liver disease </w:t>
            </w:r>
          </w:p>
        </w:tc>
        <w:tc>
          <w:tcPr>
            <w:tcW w:w="2358" w:type="dxa"/>
            <w:tcBorders>
              <w:left w:val="single" w:sz="4" w:space="0" w:color="auto"/>
            </w:tcBorders>
          </w:tcPr>
          <w:p w14:paraId="128C0CE3" w14:textId="77777777" w:rsidR="00E75D09" w:rsidRPr="00E75D09" w:rsidRDefault="00E75D09" w:rsidP="00895CEF">
            <w:pPr>
              <w:keepNext/>
              <w:spacing w:before="0"/>
              <w:jc w:val="center"/>
            </w:pPr>
            <w:r w:rsidRPr="00E75D09">
              <w:t>3</w:t>
            </w:r>
          </w:p>
        </w:tc>
      </w:tr>
      <w:tr w:rsidR="00E75D09" w:rsidRPr="00E75D09" w14:paraId="0B26CBC6" w14:textId="77777777" w:rsidTr="00194DA4">
        <w:tc>
          <w:tcPr>
            <w:tcW w:w="6658" w:type="dxa"/>
            <w:tcBorders>
              <w:right w:val="single" w:sz="4" w:space="0" w:color="auto"/>
            </w:tcBorders>
          </w:tcPr>
          <w:p w14:paraId="53641360" w14:textId="77777777" w:rsidR="00E75D09" w:rsidRPr="00E75D09" w:rsidRDefault="00E75D09" w:rsidP="00895CEF">
            <w:pPr>
              <w:keepNext/>
              <w:spacing w:before="0"/>
              <w:jc w:val="both"/>
            </w:pPr>
            <w:r w:rsidRPr="00E75D09">
              <w:t xml:space="preserve">HIV </w:t>
            </w:r>
          </w:p>
        </w:tc>
        <w:tc>
          <w:tcPr>
            <w:tcW w:w="2358" w:type="dxa"/>
            <w:tcBorders>
              <w:left w:val="single" w:sz="4" w:space="0" w:color="auto"/>
              <w:bottom w:val="single" w:sz="4" w:space="0" w:color="auto"/>
            </w:tcBorders>
          </w:tcPr>
          <w:p w14:paraId="41483BB1" w14:textId="77777777" w:rsidR="00E75D09" w:rsidRPr="00E75D09" w:rsidRDefault="00E75D09" w:rsidP="00895CEF">
            <w:pPr>
              <w:keepNext/>
              <w:spacing w:before="0"/>
              <w:jc w:val="center"/>
            </w:pPr>
            <w:r w:rsidRPr="00E75D09">
              <w:t>6</w:t>
            </w:r>
          </w:p>
        </w:tc>
      </w:tr>
    </w:tbl>
    <w:p w14:paraId="55CC1985" w14:textId="77777777" w:rsidR="00262E7F" w:rsidRDefault="00262E7F" w:rsidP="00262E7F">
      <w:pPr>
        <w:jc w:val="both"/>
      </w:pPr>
    </w:p>
    <w:p w14:paraId="59D00A89" w14:textId="128AC70B" w:rsidR="00814B8E" w:rsidRPr="001F7ECC" w:rsidRDefault="00814B8E" w:rsidP="004B6974">
      <w:pPr>
        <w:pStyle w:val="Heading2"/>
        <w:jc w:val="both"/>
      </w:pPr>
      <w:bookmarkStart w:id="70" w:name="_Toc173318907"/>
      <w:r w:rsidRPr="001F7ECC">
        <w:lastRenderedPageBreak/>
        <w:t>Recommendation</w:t>
      </w:r>
      <w:bookmarkEnd w:id="70"/>
    </w:p>
    <w:p w14:paraId="278EE900" w14:textId="58D35FBC" w:rsidR="001F7ECC" w:rsidRDefault="001F7ECC" w:rsidP="001F7ECC">
      <w:pPr>
        <w:jc w:val="both"/>
      </w:pPr>
      <w:r w:rsidRPr="001F7ECC">
        <w:t xml:space="preserve">The draft model includes both crude and standardised rates. </w:t>
      </w:r>
      <w:r w:rsidR="00883A4D">
        <w:t xml:space="preserve">An indirect standardisation process has been applied to the data </w:t>
      </w:r>
      <w:r>
        <w:t>for the standardised r</w:t>
      </w:r>
      <w:r w:rsidRPr="001F7ECC">
        <w:t xml:space="preserve">ates </w:t>
      </w:r>
      <w:r w:rsidR="00883A4D" w:rsidRPr="001F7ECC">
        <w:t>in the model.</w:t>
      </w:r>
      <w:r w:rsidRPr="001F7ECC">
        <w:t xml:space="preserve">  The data will be able to be stratified for different demographic groups to enable analysis of their impact and inform interventions.</w:t>
      </w:r>
    </w:p>
    <w:p w14:paraId="28F95781" w14:textId="77777777" w:rsidR="00AD5D9B" w:rsidRDefault="00AD5D9B" w:rsidP="005731A2">
      <w:pPr>
        <w:jc w:val="both"/>
      </w:pPr>
    </w:p>
    <w:p w14:paraId="481CF733" w14:textId="77777777" w:rsidR="00F96AFA" w:rsidRPr="00E333C1" w:rsidRDefault="00F96AFA" w:rsidP="005731A2">
      <w:pPr>
        <w:jc w:val="both"/>
      </w:pPr>
    </w:p>
    <w:bookmarkStart w:id="71" w:name="_Toc173318908" w:displacedByCustomXml="next"/>
    <w:sdt>
      <w:sdtPr>
        <w:rPr>
          <w:rFonts w:asciiTheme="minorHAnsi" w:eastAsiaTheme="minorHAnsi" w:hAnsiTheme="minorHAnsi" w:cstheme="minorBidi"/>
          <w:color w:val="auto"/>
          <w:sz w:val="20"/>
          <w:szCs w:val="22"/>
        </w:rPr>
        <w:id w:val="-1824424368"/>
        <w:docPartObj>
          <w:docPartGallery w:val="Bibliographies"/>
          <w:docPartUnique/>
        </w:docPartObj>
      </w:sdtPr>
      <w:sdtEndPr/>
      <w:sdtContent>
        <w:p w14:paraId="54B37DB5" w14:textId="473038CE" w:rsidR="00922E9C" w:rsidRPr="00D85A2C" w:rsidRDefault="00922E9C" w:rsidP="005731A2">
          <w:pPr>
            <w:pStyle w:val="Heading1"/>
            <w:jc w:val="both"/>
          </w:pPr>
          <w:r w:rsidRPr="00D85A2C">
            <w:t>Appendix</w:t>
          </w:r>
          <w:r>
            <w:t xml:space="preserve">: </w:t>
          </w:r>
          <w:r w:rsidR="00176B29">
            <w:t>T</w:t>
          </w:r>
          <w:r>
            <w:t>he reason for removing PCCL from the readmission predictor list</w:t>
          </w:r>
          <w:bookmarkEnd w:id="71"/>
        </w:p>
        <w:p w14:paraId="40A2B607" w14:textId="27E44FF4" w:rsidR="00922E9C" w:rsidRDefault="00F6332B" w:rsidP="00922E9C">
          <w:r>
            <w:object w:dxaOrig="9752" w:dyaOrig="14096" w14:anchorId="1C233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0.05pt;height:701.2pt" o:ole="">
                <v:imagedata r:id="rId11" o:title=""/>
              </v:shape>
              <o:OLEObject Type="Link" ProgID="Word.Document.12" ShapeID="_x0000_i1027" DrawAspect="Content" r:id="rId12" UpdateMode="Always">
                <o:LinkType>EnhancedMetaFile</o:LinkType>
                <o:LockedField>false</o:LockedField>
                <o:FieldCodes>\f 0</o:FieldCodes>
              </o:OLEObject>
            </w:object>
          </w:r>
        </w:p>
        <w:p w14:paraId="68DE41ED" w14:textId="77777777" w:rsidR="00922E9C" w:rsidRPr="00922E9C" w:rsidRDefault="00922E9C" w:rsidP="00D85A2C"/>
        <w:p w14:paraId="1A67A2A4" w14:textId="76B3398B" w:rsidR="00F85D17" w:rsidRPr="00E333C1" w:rsidRDefault="00F85D17" w:rsidP="005731A2">
          <w:pPr>
            <w:pStyle w:val="Heading1"/>
            <w:jc w:val="both"/>
          </w:pPr>
          <w:bookmarkStart w:id="72" w:name="_Toc173318909"/>
          <w:r w:rsidRPr="00E333C1">
            <w:t>References</w:t>
          </w:r>
          <w:bookmarkEnd w:id="72"/>
        </w:p>
        <w:sdt>
          <w:sdtPr>
            <w:id w:val="-573587230"/>
            <w:bibliography/>
          </w:sdtPr>
          <w:sdtEndPr/>
          <w:sdtContent>
            <w:p w14:paraId="16351112" w14:textId="77777777" w:rsidR="00730C38" w:rsidRDefault="00F85D17" w:rsidP="00745038">
              <w:pPr>
                <w:jc w:val="both"/>
                <w:rPr>
                  <w:noProof/>
                  <w:sz w:val="22"/>
                </w:rPr>
              </w:pPr>
              <w:r w:rsidRPr="00E333C1">
                <w:fldChar w:fldCharType="begin"/>
              </w:r>
              <w:r w:rsidRPr="00E333C1">
                <w:instrText xml:space="preserve"> BIBLIOGRAPHY </w:instrText>
              </w:r>
              <w:r w:rsidRPr="00E333C1">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4"/>
                <w:gridCol w:w="8642"/>
              </w:tblGrid>
              <w:tr w:rsidR="00730C38" w14:paraId="11593294" w14:textId="77777777">
                <w:trPr>
                  <w:divId w:val="1057240596"/>
                  <w:tblCellSpacing w:w="15" w:type="dxa"/>
                </w:trPr>
                <w:tc>
                  <w:tcPr>
                    <w:tcW w:w="50" w:type="pct"/>
                    <w:hideMark/>
                  </w:tcPr>
                  <w:p w14:paraId="485906BC" w14:textId="7249D9CA" w:rsidR="00730C38" w:rsidRDefault="00730C38">
                    <w:pPr>
                      <w:pStyle w:val="Bibliography"/>
                      <w:rPr>
                        <w:noProof/>
                        <w:sz w:val="24"/>
                        <w:szCs w:val="24"/>
                      </w:rPr>
                    </w:pPr>
                    <w:r>
                      <w:rPr>
                        <w:noProof/>
                      </w:rPr>
                      <w:t xml:space="preserve">[1] </w:t>
                    </w:r>
                  </w:p>
                </w:tc>
                <w:tc>
                  <w:tcPr>
                    <w:tcW w:w="0" w:type="auto"/>
                    <w:hideMark/>
                  </w:tcPr>
                  <w:p w14:paraId="1A643530" w14:textId="77777777" w:rsidR="00730C38" w:rsidRDefault="00730C38">
                    <w:pPr>
                      <w:pStyle w:val="Bibliography"/>
                      <w:rPr>
                        <w:noProof/>
                      </w:rPr>
                    </w:pPr>
                    <w:r>
                      <w:rPr>
                        <w:noProof/>
                      </w:rPr>
                      <w:t>Common Counting Technical Advisory Group and Ministry of Health, “Common Counting Standards 2013–14,” January 2014. [Online]. Available: http://nsfl.health.govt.nz/purchase-units/common-counting-standards-2013%E2%80%9314. [Accessed 22 April 2016].</w:t>
                    </w:r>
                  </w:p>
                </w:tc>
              </w:tr>
              <w:tr w:rsidR="00730C38" w14:paraId="37C8BB70" w14:textId="77777777">
                <w:trPr>
                  <w:divId w:val="1057240596"/>
                  <w:tblCellSpacing w:w="15" w:type="dxa"/>
                </w:trPr>
                <w:tc>
                  <w:tcPr>
                    <w:tcW w:w="50" w:type="pct"/>
                    <w:hideMark/>
                  </w:tcPr>
                  <w:p w14:paraId="25F61DD3" w14:textId="77777777" w:rsidR="00730C38" w:rsidRDefault="00730C38">
                    <w:pPr>
                      <w:pStyle w:val="Bibliography"/>
                      <w:rPr>
                        <w:noProof/>
                      </w:rPr>
                    </w:pPr>
                    <w:r>
                      <w:rPr>
                        <w:noProof/>
                      </w:rPr>
                      <w:t xml:space="preserve">[2] </w:t>
                    </w:r>
                  </w:p>
                </w:tc>
                <w:tc>
                  <w:tcPr>
                    <w:tcW w:w="0" w:type="auto"/>
                    <w:hideMark/>
                  </w:tcPr>
                  <w:p w14:paraId="6DE2FB1F" w14:textId="77777777" w:rsidR="00730C38" w:rsidRDefault="00730C38">
                    <w:pPr>
                      <w:pStyle w:val="Bibliography"/>
                      <w:rPr>
                        <w:noProof/>
                      </w:rPr>
                    </w:pPr>
                    <w:r>
                      <w:rPr>
                        <w:noProof/>
                      </w:rPr>
                      <w:t>Ministry of Health, “Performance measures for 2015/16,” December 2015. [Online]. Available: http://nsfl.health.govt.nz/accountability/performance-and-monitoring/performance-measures/performance-measures-201516. [Accessed 22 April 2016].</w:t>
                    </w:r>
                  </w:p>
                </w:tc>
              </w:tr>
              <w:tr w:rsidR="00730C38" w14:paraId="25E12018" w14:textId="77777777">
                <w:trPr>
                  <w:divId w:val="1057240596"/>
                  <w:tblCellSpacing w:w="15" w:type="dxa"/>
                </w:trPr>
                <w:tc>
                  <w:tcPr>
                    <w:tcW w:w="50" w:type="pct"/>
                    <w:hideMark/>
                  </w:tcPr>
                  <w:p w14:paraId="2ACB962C" w14:textId="77777777" w:rsidR="00730C38" w:rsidRDefault="00730C38">
                    <w:pPr>
                      <w:pStyle w:val="Bibliography"/>
                      <w:rPr>
                        <w:noProof/>
                      </w:rPr>
                    </w:pPr>
                    <w:r>
                      <w:rPr>
                        <w:noProof/>
                      </w:rPr>
                      <w:t xml:space="preserve">[3] </w:t>
                    </w:r>
                  </w:p>
                </w:tc>
                <w:tc>
                  <w:tcPr>
                    <w:tcW w:w="0" w:type="auto"/>
                    <w:hideMark/>
                  </w:tcPr>
                  <w:p w14:paraId="5F4CF1B2" w14:textId="77777777" w:rsidR="00730C38" w:rsidRDefault="00730C38">
                    <w:pPr>
                      <w:pStyle w:val="Bibliography"/>
                      <w:rPr>
                        <w:noProof/>
                      </w:rPr>
                    </w:pPr>
                    <w:r>
                      <w:rPr>
                        <w:noProof/>
                      </w:rPr>
                      <w:t>Ministry of Health, “WIESNZ14 cost weights,” June 2015. [Online]. Available: http://www.health.govt.nz/nz-health-statistics/data-references/weighted-inlier-equivalent-separations/wiesnz14-cost-weights.</w:t>
                    </w:r>
                  </w:p>
                </w:tc>
              </w:tr>
              <w:tr w:rsidR="00730C38" w14:paraId="3437072F" w14:textId="77777777">
                <w:trPr>
                  <w:divId w:val="1057240596"/>
                  <w:tblCellSpacing w:w="15" w:type="dxa"/>
                </w:trPr>
                <w:tc>
                  <w:tcPr>
                    <w:tcW w:w="50" w:type="pct"/>
                    <w:hideMark/>
                  </w:tcPr>
                  <w:p w14:paraId="4898F7CF" w14:textId="77777777" w:rsidR="00730C38" w:rsidRDefault="00730C38">
                    <w:pPr>
                      <w:pStyle w:val="Bibliography"/>
                      <w:rPr>
                        <w:noProof/>
                      </w:rPr>
                    </w:pPr>
                    <w:r>
                      <w:rPr>
                        <w:noProof/>
                      </w:rPr>
                      <w:t xml:space="preserve">[4] </w:t>
                    </w:r>
                  </w:p>
                </w:tc>
                <w:tc>
                  <w:tcPr>
                    <w:tcW w:w="0" w:type="auto"/>
                    <w:hideMark/>
                  </w:tcPr>
                  <w:p w14:paraId="2F6797CB" w14:textId="77777777" w:rsidR="00730C38" w:rsidRDefault="00730C38">
                    <w:pPr>
                      <w:pStyle w:val="Bibliography"/>
                      <w:rPr>
                        <w:noProof/>
                      </w:rPr>
                    </w:pPr>
                    <w:r>
                      <w:rPr>
                        <w:noProof/>
                      </w:rPr>
                      <w:t>ISD Scotland, “Quality Measurement Framework - Hospital Standardised Mortality Ratios (HSMR),” Information Services Division, NHS National Services, 2010. [Online]. Available: http://www.isdscotland.org/Health-Topics/Quality-Measurement-Framework/Hospital-Standardised-Mortality-Ratios/.</w:t>
                    </w:r>
                  </w:p>
                </w:tc>
              </w:tr>
            </w:tbl>
            <w:p w14:paraId="3E1B7802" w14:textId="77777777" w:rsidR="00730C38" w:rsidRDefault="00730C38">
              <w:pPr>
                <w:divId w:val="1057240596"/>
                <w:rPr>
                  <w:rFonts w:eastAsia="Times New Roman"/>
                  <w:noProof/>
                </w:rPr>
              </w:pPr>
            </w:p>
            <w:p w14:paraId="3132F919" w14:textId="77777777" w:rsidR="00F85D17" w:rsidRPr="00F85D17" w:rsidRDefault="00F85D17" w:rsidP="00745038">
              <w:pPr>
                <w:jc w:val="both"/>
              </w:pPr>
              <w:r w:rsidRPr="00E333C1">
                <w:rPr>
                  <w:b/>
                  <w:bCs/>
                  <w:noProof/>
                </w:rPr>
                <w:fldChar w:fldCharType="end"/>
              </w:r>
            </w:p>
          </w:sdtContent>
        </w:sdt>
      </w:sdtContent>
    </w:sdt>
    <w:sectPr w:rsidR="00F85D17" w:rsidRPr="00F85D1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6D5F" w14:textId="77777777" w:rsidR="002B2A91" w:rsidRDefault="002B2A91" w:rsidP="00435977">
      <w:pPr>
        <w:spacing w:before="0" w:line="240" w:lineRule="auto"/>
      </w:pPr>
      <w:r>
        <w:separator/>
      </w:r>
    </w:p>
  </w:endnote>
  <w:endnote w:type="continuationSeparator" w:id="0">
    <w:p w14:paraId="38A980EC" w14:textId="77777777" w:rsidR="002B2A91" w:rsidRDefault="002B2A91" w:rsidP="004359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75730"/>
      <w:docPartObj>
        <w:docPartGallery w:val="Page Numbers (Bottom of Page)"/>
        <w:docPartUnique/>
      </w:docPartObj>
    </w:sdtPr>
    <w:sdtEndPr>
      <w:rPr>
        <w:color w:val="7F7F7F" w:themeColor="background1" w:themeShade="7F"/>
        <w:spacing w:val="60"/>
      </w:rPr>
    </w:sdtEndPr>
    <w:sdtContent>
      <w:p w14:paraId="3C82478C" w14:textId="2356E1F4" w:rsidR="002B2A91" w:rsidRDefault="002B2A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0F4275">
          <w:rPr>
            <w:noProof/>
          </w:rPr>
          <w:t>21</w:t>
        </w:r>
        <w:r>
          <w:rPr>
            <w:noProof/>
          </w:rPr>
          <w:fldChar w:fldCharType="end"/>
        </w:r>
        <w:r>
          <w:t xml:space="preserve"> | </w:t>
        </w:r>
        <w:r>
          <w:rPr>
            <w:color w:val="7F7F7F" w:themeColor="background1" w:themeShade="7F"/>
            <w:spacing w:val="60"/>
          </w:rPr>
          <w:t>Page</w:t>
        </w:r>
      </w:p>
    </w:sdtContent>
  </w:sdt>
  <w:p w14:paraId="2920CDBD" w14:textId="77777777" w:rsidR="002B2A91" w:rsidRDefault="002B2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F4AD3" w14:textId="77777777" w:rsidR="002B2A91" w:rsidRDefault="002B2A91" w:rsidP="00435977">
      <w:pPr>
        <w:spacing w:before="0" w:line="240" w:lineRule="auto"/>
      </w:pPr>
      <w:r>
        <w:separator/>
      </w:r>
    </w:p>
  </w:footnote>
  <w:footnote w:type="continuationSeparator" w:id="0">
    <w:p w14:paraId="6027E6FF" w14:textId="77777777" w:rsidR="002B2A91" w:rsidRDefault="002B2A91" w:rsidP="00435977">
      <w:pPr>
        <w:spacing w:before="0" w:line="240" w:lineRule="auto"/>
      </w:pPr>
      <w:r>
        <w:continuationSeparator/>
      </w:r>
    </w:p>
  </w:footnote>
  <w:footnote w:id="1">
    <w:p w14:paraId="39DE7105" w14:textId="4F85D3D3" w:rsidR="00AF55CE" w:rsidRPr="00D85A2C" w:rsidRDefault="00AF55CE" w:rsidP="00D85A2C">
      <w:pPr>
        <w:pStyle w:val="pf0"/>
        <w:rPr>
          <w:rFonts w:ascii="Arial" w:hAnsi="Arial" w:cs="Arial"/>
        </w:rPr>
      </w:pPr>
      <w:r>
        <w:rPr>
          <w:rStyle w:val="FootnoteReference"/>
        </w:rPr>
        <w:footnoteRef/>
      </w:r>
      <w:r>
        <w:t xml:space="preserve"> </w:t>
      </w:r>
      <w:r>
        <w:rPr>
          <w:rStyle w:val="cf01"/>
        </w:rPr>
        <w:t xml:space="preserve">Patient Clinical Complexity Level (PCCL) is removed from predictor list, as since the implementation of </w:t>
      </w:r>
      <w:r>
        <w:rPr>
          <w:rStyle w:val="cf11"/>
          <w:rFonts w:eastAsiaTheme="minorEastAsia"/>
        </w:rPr>
        <w:t xml:space="preserve">AR-DRG v10.0 in </w:t>
      </w:r>
      <w:r>
        <w:rPr>
          <w:rStyle w:val="cf01"/>
        </w:rPr>
        <w:t>July 2023, PCCL has been stopped reporting. See appendix for more detailed information.</w:t>
      </w:r>
    </w:p>
  </w:footnote>
  <w:footnote w:id="2">
    <w:p w14:paraId="55929FB3" w14:textId="0C167519" w:rsidR="00AF55CE" w:rsidRDefault="00AF55CE">
      <w:pPr>
        <w:pStyle w:val="FootnoteText"/>
      </w:pPr>
      <w:r>
        <w:rPr>
          <w:rStyle w:val="FootnoteReference"/>
        </w:rPr>
        <w:footnoteRef/>
      </w:r>
      <w:r>
        <w:t xml:space="preserve"> </w:t>
      </w:r>
      <w:r>
        <w:rPr>
          <w:rStyle w:val="cf01"/>
        </w:rPr>
        <w:t xml:space="preserve">Patient Clinical Complexity Level (PCCL) is removed from predictor list, as since the implementation of </w:t>
      </w:r>
      <w:r>
        <w:rPr>
          <w:rStyle w:val="cf11"/>
        </w:rPr>
        <w:t xml:space="preserve">AR-DRG v10.0 in </w:t>
      </w:r>
      <w:r>
        <w:rPr>
          <w:rStyle w:val="cf01"/>
        </w:rPr>
        <w:t xml:space="preserve">July 2023, PCCL has been stopped reporting. See appendix for more detailed </w:t>
      </w:r>
      <w:proofErr w:type="gramStart"/>
      <w:r>
        <w:rPr>
          <w:rStyle w:val="cf01"/>
        </w:rPr>
        <w:t>information.</w:t>
      </w:r>
      <w:r w:rsidR="0034436A">
        <w:rPr>
          <w:rStyle w:val="cf01"/>
        </w:rPr>
        <w:t>I</w:t>
      </w:r>
      <w:proofErr w:type="gramEnd"/>
      <w:r w:rsidR="0034436A">
        <w:rPr>
          <w:rStyle w:val="cf01"/>
        </w:rPr>
        <w:t>4</w:t>
      </w:r>
    </w:p>
  </w:footnote>
  <w:footnote w:id="3">
    <w:p w14:paraId="58EBAF06" w14:textId="592128DE" w:rsidR="00AF55CE" w:rsidRDefault="00AF55CE">
      <w:pPr>
        <w:pStyle w:val="FootnoteText"/>
      </w:pPr>
      <w:r>
        <w:rPr>
          <w:rStyle w:val="FootnoteReference"/>
        </w:rPr>
        <w:footnoteRef/>
      </w:r>
      <w:r>
        <w:t xml:space="preserve"> </w:t>
      </w:r>
      <w:r>
        <w:rPr>
          <w:rStyle w:val="cf01"/>
        </w:rPr>
        <w:t xml:space="preserve">Patient Clinical Complexity Level (PCCL) is removed from predictor list, as since the implementation of </w:t>
      </w:r>
      <w:r>
        <w:rPr>
          <w:rStyle w:val="cf11"/>
        </w:rPr>
        <w:t xml:space="preserve">AR-DRG v10.0 in </w:t>
      </w:r>
      <w:r>
        <w:rPr>
          <w:rStyle w:val="cf01"/>
        </w:rPr>
        <w:t>July 2023, PCCL has been stopped reporting. See appendix for more detailed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04F7" w14:textId="3B2CFE1A" w:rsidR="002B2A91" w:rsidRDefault="002B2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DFC"/>
    <w:multiLevelType w:val="hybridMultilevel"/>
    <w:tmpl w:val="0FD80C74"/>
    <w:lvl w:ilvl="0" w:tplc="658C3EF8">
      <w:start w:val="1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4820A2"/>
    <w:multiLevelType w:val="multilevel"/>
    <w:tmpl w:val="5B6CD3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0793009"/>
    <w:multiLevelType w:val="hybridMultilevel"/>
    <w:tmpl w:val="9A88C4CA"/>
    <w:lvl w:ilvl="0" w:tplc="6156B3EA">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E45479"/>
    <w:multiLevelType w:val="multilevel"/>
    <w:tmpl w:val="1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0779FB"/>
    <w:multiLevelType w:val="hybridMultilevel"/>
    <w:tmpl w:val="D28244EC"/>
    <w:lvl w:ilvl="0" w:tplc="0896CADE">
      <w:start w:val="1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E2D377B"/>
    <w:multiLevelType w:val="hybridMultilevel"/>
    <w:tmpl w:val="30EE96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67C6956"/>
    <w:multiLevelType w:val="hybridMultilevel"/>
    <w:tmpl w:val="1A02036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894562E"/>
    <w:multiLevelType w:val="hybridMultilevel"/>
    <w:tmpl w:val="F31400CE"/>
    <w:lvl w:ilvl="0" w:tplc="8646B666">
      <w:numFmt w:val="bullet"/>
      <w:lvlText w:val="•"/>
      <w:lvlJc w:val="left"/>
      <w:pPr>
        <w:ind w:left="1061" w:hanging="360"/>
      </w:pPr>
      <w:rPr>
        <w:rFonts w:ascii="Times New Roman" w:eastAsia="PMingLiU" w:hAnsi="Times New Roman" w:cs="Times New Roman" w:hint="default"/>
      </w:rPr>
    </w:lvl>
    <w:lvl w:ilvl="1" w:tplc="14090003" w:tentative="1">
      <w:start w:val="1"/>
      <w:numFmt w:val="bullet"/>
      <w:lvlText w:val="o"/>
      <w:lvlJc w:val="left"/>
      <w:pPr>
        <w:ind w:left="1781" w:hanging="360"/>
      </w:pPr>
      <w:rPr>
        <w:rFonts w:ascii="Courier New" w:hAnsi="Courier New" w:cs="Courier New" w:hint="default"/>
      </w:rPr>
    </w:lvl>
    <w:lvl w:ilvl="2" w:tplc="14090005" w:tentative="1">
      <w:start w:val="1"/>
      <w:numFmt w:val="bullet"/>
      <w:lvlText w:val=""/>
      <w:lvlJc w:val="left"/>
      <w:pPr>
        <w:ind w:left="2501" w:hanging="360"/>
      </w:pPr>
      <w:rPr>
        <w:rFonts w:ascii="Wingdings" w:hAnsi="Wingdings" w:hint="default"/>
      </w:rPr>
    </w:lvl>
    <w:lvl w:ilvl="3" w:tplc="14090001" w:tentative="1">
      <w:start w:val="1"/>
      <w:numFmt w:val="bullet"/>
      <w:lvlText w:val=""/>
      <w:lvlJc w:val="left"/>
      <w:pPr>
        <w:ind w:left="3221" w:hanging="360"/>
      </w:pPr>
      <w:rPr>
        <w:rFonts w:ascii="Symbol" w:hAnsi="Symbol" w:hint="default"/>
      </w:rPr>
    </w:lvl>
    <w:lvl w:ilvl="4" w:tplc="14090003" w:tentative="1">
      <w:start w:val="1"/>
      <w:numFmt w:val="bullet"/>
      <w:lvlText w:val="o"/>
      <w:lvlJc w:val="left"/>
      <w:pPr>
        <w:ind w:left="3941" w:hanging="360"/>
      </w:pPr>
      <w:rPr>
        <w:rFonts w:ascii="Courier New" w:hAnsi="Courier New" w:cs="Courier New" w:hint="default"/>
      </w:rPr>
    </w:lvl>
    <w:lvl w:ilvl="5" w:tplc="14090005" w:tentative="1">
      <w:start w:val="1"/>
      <w:numFmt w:val="bullet"/>
      <w:lvlText w:val=""/>
      <w:lvlJc w:val="left"/>
      <w:pPr>
        <w:ind w:left="4661" w:hanging="360"/>
      </w:pPr>
      <w:rPr>
        <w:rFonts w:ascii="Wingdings" w:hAnsi="Wingdings" w:hint="default"/>
      </w:rPr>
    </w:lvl>
    <w:lvl w:ilvl="6" w:tplc="14090001" w:tentative="1">
      <w:start w:val="1"/>
      <w:numFmt w:val="bullet"/>
      <w:lvlText w:val=""/>
      <w:lvlJc w:val="left"/>
      <w:pPr>
        <w:ind w:left="5381" w:hanging="360"/>
      </w:pPr>
      <w:rPr>
        <w:rFonts w:ascii="Symbol" w:hAnsi="Symbol" w:hint="default"/>
      </w:rPr>
    </w:lvl>
    <w:lvl w:ilvl="7" w:tplc="14090003" w:tentative="1">
      <w:start w:val="1"/>
      <w:numFmt w:val="bullet"/>
      <w:lvlText w:val="o"/>
      <w:lvlJc w:val="left"/>
      <w:pPr>
        <w:ind w:left="6101" w:hanging="360"/>
      </w:pPr>
      <w:rPr>
        <w:rFonts w:ascii="Courier New" w:hAnsi="Courier New" w:cs="Courier New" w:hint="default"/>
      </w:rPr>
    </w:lvl>
    <w:lvl w:ilvl="8" w:tplc="14090005" w:tentative="1">
      <w:start w:val="1"/>
      <w:numFmt w:val="bullet"/>
      <w:lvlText w:val=""/>
      <w:lvlJc w:val="left"/>
      <w:pPr>
        <w:ind w:left="6821" w:hanging="360"/>
      </w:pPr>
      <w:rPr>
        <w:rFonts w:ascii="Wingdings" w:hAnsi="Wingdings" w:hint="default"/>
      </w:rPr>
    </w:lvl>
  </w:abstractNum>
  <w:abstractNum w:abstractNumId="8" w15:restartNumberingAfterBreak="0">
    <w:nsid w:val="43FD74D1"/>
    <w:multiLevelType w:val="hybridMultilevel"/>
    <w:tmpl w:val="A19EC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4246B92"/>
    <w:multiLevelType w:val="hybridMultilevel"/>
    <w:tmpl w:val="FBC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0353A7"/>
    <w:multiLevelType w:val="hybridMultilevel"/>
    <w:tmpl w:val="CF76A2A4"/>
    <w:lvl w:ilvl="0" w:tplc="F0A2FD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2054DBC"/>
    <w:multiLevelType w:val="hybridMultilevel"/>
    <w:tmpl w:val="806C39B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5405132"/>
    <w:multiLevelType w:val="hybridMultilevel"/>
    <w:tmpl w:val="7B90E0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6302F1C"/>
    <w:multiLevelType w:val="multilevel"/>
    <w:tmpl w:val="765AECA2"/>
    <w:styleLink w:val="MultilevelHeading"/>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4" w15:restartNumberingAfterBreak="0">
    <w:nsid w:val="581E4242"/>
    <w:multiLevelType w:val="hybridMultilevel"/>
    <w:tmpl w:val="4C76D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BF4775"/>
    <w:multiLevelType w:val="hybridMultilevel"/>
    <w:tmpl w:val="35D0C886"/>
    <w:lvl w:ilvl="0" w:tplc="8236B29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BBE6021"/>
    <w:multiLevelType w:val="hybridMultilevel"/>
    <w:tmpl w:val="5E5ED848"/>
    <w:lvl w:ilvl="0" w:tplc="F0A2FD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FE1167A"/>
    <w:multiLevelType w:val="hybridMultilevel"/>
    <w:tmpl w:val="03B479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26B6194"/>
    <w:multiLevelType w:val="hybridMultilevel"/>
    <w:tmpl w:val="8EDCF5EC"/>
    <w:lvl w:ilvl="0" w:tplc="F0A2FD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4E43831"/>
    <w:multiLevelType w:val="hybridMultilevel"/>
    <w:tmpl w:val="CD4C6A0E"/>
    <w:lvl w:ilvl="0" w:tplc="F0A2FD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5CA54EB"/>
    <w:multiLevelType w:val="hybridMultilevel"/>
    <w:tmpl w:val="16123928"/>
    <w:lvl w:ilvl="0" w:tplc="6156B3EA">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9470C78"/>
    <w:multiLevelType w:val="hybridMultilevel"/>
    <w:tmpl w:val="2E409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E0D3419"/>
    <w:multiLevelType w:val="hybridMultilevel"/>
    <w:tmpl w:val="A006A752"/>
    <w:lvl w:ilvl="0" w:tplc="F0A2FD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F916750"/>
    <w:multiLevelType w:val="hybridMultilevel"/>
    <w:tmpl w:val="4FCA598C"/>
    <w:lvl w:ilvl="0" w:tplc="6156B3EA">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98032723">
    <w:abstractNumId w:val="13"/>
  </w:num>
  <w:num w:numId="2" w16cid:durableId="1483808434">
    <w:abstractNumId w:val="1"/>
  </w:num>
  <w:num w:numId="3" w16cid:durableId="725105256">
    <w:abstractNumId w:val="12"/>
  </w:num>
  <w:num w:numId="4" w16cid:durableId="1507355176">
    <w:abstractNumId w:val="3"/>
  </w:num>
  <w:num w:numId="5" w16cid:durableId="1828209785">
    <w:abstractNumId w:val="8"/>
  </w:num>
  <w:num w:numId="6" w16cid:durableId="361322849">
    <w:abstractNumId w:val="14"/>
  </w:num>
  <w:num w:numId="7" w16cid:durableId="1061905086">
    <w:abstractNumId w:val="21"/>
  </w:num>
  <w:num w:numId="8" w16cid:durableId="9794053">
    <w:abstractNumId w:val="2"/>
  </w:num>
  <w:num w:numId="9" w16cid:durableId="1303316304">
    <w:abstractNumId w:val="23"/>
  </w:num>
  <w:num w:numId="10" w16cid:durableId="973875454">
    <w:abstractNumId w:val="20"/>
  </w:num>
  <w:num w:numId="11" w16cid:durableId="619921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2923031">
    <w:abstractNumId w:val="1"/>
  </w:num>
  <w:num w:numId="13" w16cid:durableId="1490438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563384">
    <w:abstractNumId w:val="5"/>
  </w:num>
  <w:num w:numId="15" w16cid:durableId="788814829">
    <w:abstractNumId w:val="17"/>
  </w:num>
  <w:num w:numId="16" w16cid:durableId="1688210194">
    <w:abstractNumId w:val="9"/>
  </w:num>
  <w:num w:numId="17" w16cid:durableId="1687822889">
    <w:abstractNumId w:val="7"/>
  </w:num>
  <w:num w:numId="18" w16cid:durableId="590623116">
    <w:abstractNumId w:val="6"/>
  </w:num>
  <w:num w:numId="19" w16cid:durableId="2100179148">
    <w:abstractNumId w:val="15"/>
  </w:num>
  <w:num w:numId="20" w16cid:durableId="1007711864">
    <w:abstractNumId w:val="11"/>
  </w:num>
  <w:num w:numId="21" w16cid:durableId="10691667">
    <w:abstractNumId w:val="19"/>
  </w:num>
  <w:num w:numId="22" w16cid:durableId="47339190">
    <w:abstractNumId w:val="10"/>
  </w:num>
  <w:num w:numId="23" w16cid:durableId="362175521">
    <w:abstractNumId w:val="16"/>
  </w:num>
  <w:num w:numId="24" w16cid:durableId="276105981">
    <w:abstractNumId w:val="18"/>
  </w:num>
  <w:num w:numId="25" w16cid:durableId="755177573">
    <w:abstractNumId w:val="22"/>
  </w:num>
  <w:num w:numId="26" w16cid:durableId="1112675858">
    <w:abstractNumId w:val="4"/>
  </w:num>
  <w:num w:numId="27" w16cid:durableId="1886331994">
    <w:abstractNumId w:val="0"/>
  </w:num>
  <w:num w:numId="28" w16cid:durableId="89274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DC0"/>
    <w:rsid w:val="00004B34"/>
    <w:rsid w:val="00007B24"/>
    <w:rsid w:val="000207B3"/>
    <w:rsid w:val="0002668C"/>
    <w:rsid w:val="000268A4"/>
    <w:rsid w:val="00027EC9"/>
    <w:rsid w:val="0003328F"/>
    <w:rsid w:val="000361CD"/>
    <w:rsid w:val="00036FD3"/>
    <w:rsid w:val="000412CD"/>
    <w:rsid w:val="00043AA6"/>
    <w:rsid w:val="00043D99"/>
    <w:rsid w:val="0004764C"/>
    <w:rsid w:val="000556D8"/>
    <w:rsid w:val="000558B6"/>
    <w:rsid w:val="0005733E"/>
    <w:rsid w:val="00061999"/>
    <w:rsid w:val="00065431"/>
    <w:rsid w:val="000700F4"/>
    <w:rsid w:val="00070D76"/>
    <w:rsid w:val="00080AA7"/>
    <w:rsid w:val="00083861"/>
    <w:rsid w:val="00090ADB"/>
    <w:rsid w:val="0009396B"/>
    <w:rsid w:val="00094927"/>
    <w:rsid w:val="000955B0"/>
    <w:rsid w:val="0009706E"/>
    <w:rsid w:val="00097669"/>
    <w:rsid w:val="000A13C3"/>
    <w:rsid w:val="000A6C45"/>
    <w:rsid w:val="000B2C65"/>
    <w:rsid w:val="000B6697"/>
    <w:rsid w:val="000B67E8"/>
    <w:rsid w:val="000C1840"/>
    <w:rsid w:val="000D2779"/>
    <w:rsid w:val="000D303E"/>
    <w:rsid w:val="000D61F5"/>
    <w:rsid w:val="000D75C2"/>
    <w:rsid w:val="000E2298"/>
    <w:rsid w:val="000E47EE"/>
    <w:rsid w:val="000E4F8C"/>
    <w:rsid w:val="000F3425"/>
    <w:rsid w:val="000F4275"/>
    <w:rsid w:val="000F4F62"/>
    <w:rsid w:val="000F6A90"/>
    <w:rsid w:val="00100E75"/>
    <w:rsid w:val="00102773"/>
    <w:rsid w:val="00106502"/>
    <w:rsid w:val="0010709F"/>
    <w:rsid w:val="001076F1"/>
    <w:rsid w:val="0011330E"/>
    <w:rsid w:val="00117263"/>
    <w:rsid w:val="00117C16"/>
    <w:rsid w:val="00121023"/>
    <w:rsid w:val="0012197E"/>
    <w:rsid w:val="00124890"/>
    <w:rsid w:val="00127983"/>
    <w:rsid w:val="00130E11"/>
    <w:rsid w:val="00134710"/>
    <w:rsid w:val="001347DD"/>
    <w:rsid w:val="00137DA6"/>
    <w:rsid w:val="001417F5"/>
    <w:rsid w:val="001436E7"/>
    <w:rsid w:val="00153AAD"/>
    <w:rsid w:val="001561CB"/>
    <w:rsid w:val="001616EE"/>
    <w:rsid w:val="001642E8"/>
    <w:rsid w:val="001662EC"/>
    <w:rsid w:val="00175B14"/>
    <w:rsid w:val="0017634C"/>
    <w:rsid w:val="00176B29"/>
    <w:rsid w:val="001770A0"/>
    <w:rsid w:val="00184A33"/>
    <w:rsid w:val="00187BE7"/>
    <w:rsid w:val="001907F6"/>
    <w:rsid w:val="00194DA4"/>
    <w:rsid w:val="00197707"/>
    <w:rsid w:val="001A012C"/>
    <w:rsid w:val="001A0F42"/>
    <w:rsid w:val="001A5184"/>
    <w:rsid w:val="001B2D40"/>
    <w:rsid w:val="001B442E"/>
    <w:rsid w:val="001B5C71"/>
    <w:rsid w:val="001C4715"/>
    <w:rsid w:val="001C4D62"/>
    <w:rsid w:val="001D3637"/>
    <w:rsid w:val="001F0B05"/>
    <w:rsid w:val="001F709A"/>
    <w:rsid w:val="001F7ECC"/>
    <w:rsid w:val="00201864"/>
    <w:rsid w:val="00202630"/>
    <w:rsid w:val="00211301"/>
    <w:rsid w:val="0021772E"/>
    <w:rsid w:val="00220B05"/>
    <w:rsid w:val="00225F2B"/>
    <w:rsid w:val="0022624B"/>
    <w:rsid w:val="00227179"/>
    <w:rsid w:val="00233533"/>
    <w:rsid w:val="00234DB6"/>
    <w:rsid w:val="00237F42"/>
    <w:rsid w:val="00245F82"/>
    <w:rsid w:val="00251915"/>
    <w:rsid w:val="0025489F"/>
    <w:rsid w:val="00254C1E"/>
    <w:rsid w:val="002615A2"/>
    <w:rsid w:val="002626B6"/>
    <w:rsid w:val="00262E7F"/>
    <w:rsid w:val="0027197D"/>
    <w:rsid w:val="00271DEC"/>
    <w:rsid w:val="002724C2"/>
    <w:rsid w:val="0027786C"/>
    <w:rsid w:val="00281CCC"/>
    <w:rsid w:val="00284F44"/>
    <w:rsid w:val="00290301"/>
    <w:rsid w:val="00292C17"/>
    <w:rsid w:val="002950C0"/>
    <w:rsid w:val="002A4E6D"/>
    <w:rsid w:val="002A61AA"/>
    <w:rsid w:val="002A6BC5"/>
    <w:rsid w:val="002A7E4F"/>
    <w:rsid w:val="002B2A91"/>
    <w:rsid w:val="002B3F97"/>
    <w:rsid w:val="002B5CAE"/>
    <w:rsid w:val="002C3167"/>
    <w:rsid w:val="002C40AD"/>
    <w:rsid w:val="002C5FE2"/>
    <w:rsid w:val="002D2248"/>
    <w:rsid w:val="002D2CF2"/>
    <w:rsid w:val="002D3173"/>
    <w:rsid w:val="002D3BA9"/>
    <w:rsid w:val="002D56C1"/>
    <w:rsid w:val="002D771E"/>
    <w:rsid w:val="002E05B0"/>
    <w:rsid w:val="002E238C"/>
    <w:rsid w:val="002E2C5B"/>
    <w:rsid w:val="002E4726"/>
    <w:rsid w:val="002E4C62"/>
    <w:rsid w:val="002E7D96"/>
    <w:rsid w:val="002F1567"/>
    <w:rsid w:val="002F2932"/>
    <w:rsid w:val="002F60A3"/>
    <w:rsid w:val="0030088B"/>
    <w:rsid w:val="00302662"/>
    <w:rsid w:val="003041C3"/>
    <w:rsid w:val="00312AF5"/>
    <w:rsid w:val="003137D3"/>
    <w:rsid w:val="00313EBA"/>
    <w:rsid w:val="00316DCC"/>
    <w:rsid w:val="0031750D"/>
    <w:rsid w:val="00324AFE"/>
    <w:rsid w:val="00325E7F"/>
    <w:rsid w:val="003337DD"/>
    <w:rsid w:val="00334836"/>
    <w:rsid w:val="00335673"/>
    <w:rsid w:val="003368FF"/>
    <w:rsid w:val="0034297B"/>
    <w:rsid w:val="0034436A"/>
    <w:rsid w:val="003500B2"/>
    <w:rsid w:val="00354191"/>
    <w:rsid w:val="00354B44"/>
    <w:rsid w:val="00354FB4"/>
    <w:rsid w:val="00355440"/>
    <w:rsid w:val="003566D7"/>
    <w:rsid w:val="00356CFC"/>
    <w:rsid w:val="003610FF"/>
    <w:rsid w:val="00365F92"/>
    <w:rsid w:val="0037122D"/>
    <w:rsid w:val="003712B9"/>
    <w:rsid w:val="0037798B"/>
    <w:rsid w:val="00380174"/>
    <w:rsid w:val="003852CC"/>
    <w:rsid w:val="00386F55"/>
    <w:rsid w:val="0039114D"/>
    <w:rsid w:val="003952DB"/>
    <w:rsid w:val="00395342"/>
    <w:rsid w:val="003A22CB"/>
    <w:rsid w:val="003A36E7"/>
    <w:rsid w:val="003A77BE"/>
    <w:rsid w:val="003B0AF7"/>
    <w:rsid w:val="003B1A97"/>
    <w:rsid w:val="003B39A9"/>
    <w:rsid w:val="003B4F95"/>
    <w:rsid w:val="003B75D1"/>
    <w:rsid w:val="003C1C19"/>
    <w:rsid w:val="003C63FC"/>
    <w:rsid w:val="003D1355"/>
    <w:rsid w:val="003D2C8C"/>
    <w:rsid w:val="003D3901"/>
    <w:rsid w:val="003D4F76"/>
    <w:rsid w:val="003D7564"/>
    <w:rsid w:val="003D76F9"/>
    <w:rsid w:val="003F02A7"/>
    <w:rsid w:val="003F1C6B"/>
    <w:rsid w:val="003F5C66"/>
    <w:rsid w:val="00400DA9"/>
    <w:rsid w:val="00401A14"/>
    <w:rsid w:val="00401E40"/>
    <w:rsid w:val="00403DA1"/>
    <w:rsid w:val="0040606B"/>
    <w:rsid w:val="0040738B"/>
    <w:rsid w:val="004172B4"/>
    <w:rsid w:val="0042397F"/>
    <w:rsid w:val="004270B1"/>
    <w:rsid w:val="0042754E"/>
    <w:rsid w:val="004326D7"/>
    <w:rsid w:val="0043304B"/>
    <w:rsid w:val="004348E2"/>
    <w:rsid w:val="00435977"/>
    <w:rsid w:val="00440EAB"/>
    <w:rsid w:val="00450C9F"/>
    <w:rsid w:val="00455700"/>
    <w:rsid w:val="00460B24"/>
    <w:rsid w:val="00461CEB"/>
    <w:rsid w:val="004625A0"/>
    <w:rsid w:val="00463485"/>
    <w:rsid w:val="00474268"/>
    <w:rsid w:val="00481A3E"/>
    <w:rsid w:val="00481C52"/>
    <w:rsid w:val="00485C3A"/>
    <w:rsid w:val="0049503C"/>
    <w:rsid w:val="004A30D8"/>
    <w:rsid w:val="004A6C07"/>
    <w:rsid w:val="004B0820"/>
    <w:rsid w:val="004B2703"/>
    <w:rsid w:val="004B6974"/>
    <w:rsid w:val="004C7860"/>
    <w:rsid w:val="004D03B5"/>
    <w:rsid w:val="004D2A9E"/>
    <w:rsid w:val="004D3709"/>
    <w:rsid w:val="004D4592"/>
    <w:rsid w:val="004D7487"/>
    <w:rsid w:val="004E189E"/>
    <w:rsid w:val="004F0D5D"/>
    <w:rsid w:val="004F32CD"/>
    <w:rsid w:val="004F783E"/>
    <w:rsid w:val="00500D02"/>
    <w:rsid w:val="00501199"/>
    <w:rsid w:val="00502361"/>
    <w:rsid w:val="005058CB"/>
    <w:rsid w:val="00507DE2"/>
    <w:rsid w:val="00511BE3"/>
    <w:rsid w:val="00513A40"/>
    <w:rsid w:val="005162B2"/>
    <w:rsid w:val="00522814"/>
    <w:rsid w:val="00524144"/>
    <w:rsid w:val="005245AF"/>
    <w:rsid w:val="00527556"/>
    <w:rsid w:val="00532AAF"/>
    <w:rsid w:val="00536DF5"/>
    <w:rsid w:val="00537134"/>
    <w:rsid w:val="005400D9"/>
    <w:rsid w:val="005402EE"/>
    <w:rsid w:val="0054165C"/>
    <w:rsid w:val="00542F8C"/>
    <w:rsid w:val="00544FA4"/>
    <w:rsid w:val="00545570"/>
    <w:rsid w:val="00552DF3"/>
    <w:rsid w:val="005543A1"/>
    <w:rsid w:val="00554506"/>
    <w:rsid w:val="00556B0D"/>
    <w:rsid w:val="00556B65"/>
    <w:rsid w:val="00557007"/>
    <w:rsid w:val="00562BB4"/>
    <w:rsid w:val="00566418"/>
    <w:rsid w:val="005665E9"/>
    <w:rsid w:val="00567427"/>
    <w:rsid w:val="00567C21"/>
    <w:rsid w:val="00570B4B"/>
    <w:rsid w:val="00570C59"/>
    <w:rsid w:val="00571AF3"/>
    <w:rsid w:val="00573182"/>
    <w:rsid w:val="005731A2"/>
    <w:rsid w:val="00582BFF"/>
    <w:rsid w:val="0058368A"/>
    <w:rsid w:val="00583E7E"/>
    <w:rsid w:val="005914D8"/>
    <w:rsid w:val="00593627"/>
    <w:rsid w:val="0059621B"/>
    <w:rsid w:val="005973C4"/>
    <w:rsid w:val="005975C8"/>
    <w:rsid w:val="005A1E26"/>
    <w:rsid w:val="005A3F47"/>
    <w:rsid w:val="005A7BDE"/>
    <w:rsid w:val="005B0665"/>
    <w:rsid w:val="005B1D01"/>
    <w:rsid w:val="005B3708"/>
    <w:rsid w:val="005B5A8F"/>
    <w:rsid w:val="005B5F83"/>
    <w:rsid w:val="005B6E37"/>
    <w:rsid w:val="005B6F7F"/>
    <w:rsid w:val="005C53B3"/>
    <w:rsid w:val="005C5B67"/>
    <w:rsid w:val="005D2827"/>
    <w:rsid w:val="005D3B33"/>
    <w:rsid w:val="005E1182"/>
    <w:rsid w:val="005E2DCC"/>
    <w:rsid w:val="005E314F"/>
    <w:rsid w:val="005E609E"/>
    <w:rsid w:val="005F1530"/>
    <w:rsid w:val="005F28BE"/>
    <w:rsid w:val="005F3B15"/>
    <w:rsid w:val="005F5B28"/>
    <w:rsid w:val="005F6791"/>
    <w:rsid w:val="006066F2"/>
    <w:rsid w:val="00606D58"/>
    <w:rsid w:val="006076F2"/>
    <w:rsid w:val="006202DF"/>
    <w:rsid w:val="00621795"/>
    <w:rsid w:val="0063001D"/>
    <w:rsid w:val="00630267"/>
    <w:rsid w:val="006318BF"/>
    <w:rsid w:val="006328C7"/>
    <w:rsid w:val="00635158"/>
    <w:rsid w:val="00651C11"/>
    <w:rsid w:val="00657F49"/>
    <w:rsid w:val="006633D0"/>
    <w:rsid w:val="006724D8"/>
    <w:rsid w:val="006735F1"/>
    <w:rsid w:val="00674104"/>
    <w:rsid w:val="00675A26"/>
    <w:rsid w:val="006760EA"/>
    <w:rsid w:val="00682A3C"/>
    <w:rsid w:val="006832C2"/>
    <w:rsid w:val="0069073A"/>
    <w:rsid w:val="006942B8"/>
    <w:rsid w:val="00694646"/>
    <w:rsid w:val="00694721"/>
    <w:rsid w:val="00694CA0"/>
    <w:rsid w:val="006A0981"/>
    <w:rsid w:val="006A21B6"/>
    <w:rsid w:val="006A6610"/>
    <w:rsid w:val="006B1016"/>
    <w:rsid w:val="006B5ABA"/>
    <w:rsid w:val="006B5E37"/>
    <w:rsid w:val="006C175A"/>
    <w:rsid w:val="006C2553"/>
    <w:rsid w:val="006C2C8F"/>
    <w:rsid w:val="006C2EBA"/>
    <w:rsid w:val="006C3BFC"/>
    <w:rsid w:val="006C5213"/>
    <w:rsid w:val="006D312C"/>
    <w:rsid w:val="006D6CB0"/>
    <w:rsid w:val="006E2D57"/>
    <w:rsid w:val="006E30E2"/>
    <w:rsid w:val="006E326B"/>
    <w:rsid w:val="006E3746"/>
    <w:rsid w:val="006E4E8E"/>
    <w:rsid w:val="006F34EC"/>
    <w:rsid w:val="006F3A12"/>
    <w:rsid w:val="006F43CD"/>
    <w:rsid w:val="006F502E"/>
    <w:rsid w:val="006F60CF"/>
    <w:rsid w:val="007005F0"/>
    <w:rsid w:val="007017C1"/>
    <w:rsid w:val="00701847"/>
    <w:rsid w:val="00702607"/>
    <w:rsid w:val="00710881"/>
    <w:rsid w:val="0071488A"/>
    <w:rsid w:val="00714975"/>
    <w:rsid w:val="007170AF"/>
    <w:rsid w:val="007204BA"/>
    <w:rsid w:val="00724BC9"/>
    <w:rsid w:val="00727083"/>
    <w:rsid w:val="00730C38"/>
    <w:rsid w:val="00730FDA"/>
    <w:rsid w:val="007328A6"/>
    <w:rsid w:val="00732A03"/>
    <w:rsid w:val="00734413"/>
    <w:rsid w:val="007403C7"/>
    <w:rsid w:val="00742791"/>
    <w:rsid w:val="00745038"/>
    <w:rsid w:val="00745760"/>
    <w:rsid w:val="00747823"/>
    <w:rsid w:val="0075095A"/>
    <w:rsid w:val="0075351E"/>
    <w:rsid w:val="00763A23"/>
    <w:rsid w:val="0076408F"/>
    <w:rsid w:val="007640EB"/>
    <w:rsid w:val="00766AB6"/>
    <w:rsid w:val="0077219B"/>
    <w:rsid w:val="00775258"/>
    <w:rsid w:val="0078519F"/>
    <w:rsid w:val="007859A3"/>
    <w:rsid w:val="00785DDA"/>
    <w:rsid w:val="0078743F"/>
    <w:rsid w:val="007902DE"/>
    <w:rsid w:val="00796B41"/>
    <w:rsid w:val="00797B71"/>
    <w:rsid w:val="007A2653"/>
    <w:rsid w:val="007A3DF0"/>
    <w:rsid w:val="007A4834"/>
    <w:rsid w:val="007B2598"/>
    <w:rsid w:val="007B2789"/>
    <w:rsid w:val="007C30CE"/>
    <w:rsid w:val="007C3E26"/>
    <w:rsid w:val="007C5F1D"/>
    <w:rsid w:val="007C6443"/>
    <w:rsid w:val="007C7FB2"/>
    <w:rsid w:val="007D4DF5"/>
    <w:rsid w:val="007D5E6B"/>
    <w:rsid w:val="007E478A"/>
    <w:rsid w:val="007F1524"/>
    <w:rsid w:val="007F2ED6"/>
    <w:rsid w:val="0080056F"/>
    <w:rsid w:val="0080503A"/>
    <w:rsid w:val="008052CD"/>
    <w:rsid w:val="0080633B"/>
    <w:rsid w:val="00811292"/>
    <w:rsid w:val="00813BE2"/>
    <w:rsid w:val="00813CD7"/>
    <w:rsid w:val="00814784"/>
    <w:rsid w:val="00814B8E"/>
    <w:rsid w:val="00821CCC"/>
    <w:rsid w:val="0083132E"/>
    <w:rsid w:val="00834F7E"/>
    <w:rsid w:val="008456ED"/>
    <w:rsid w:val="00854A7F"/>
    <w:rsid w:val="008563C2"/>
    <w:rsid w:val="00864FD6"/>
    <w:rsid w:val="0086602B"/>
    <w:rsid w:val="008667B5"/>
    <w:rsid w:val="0087331B"/>
    <w:rsid w:val="00874453"/>
    <w:rsid w:val="00880884"/>
    <w:rsid w:val="008809D7"/>
    <w:rsid w:val="0088211C"/>
    <w:rsid w:val="00883A4D"/>
    <w:rsid w:val="00891832"/>
    <w:rsid w:val="008956D6"/>
    <w:rsid w:val="00895CEF"/>
    <w:rsid w:val="00897F01"/>
    <w:rsid w:val="008A0CC2"/>
    <w:rsid w:val="008A12C8"/>
    <w:rsid w:val="008A1EEB"/>
    <w:rsid w:val="008A420A"/>
    <w:rsid w:val="008A4FC1"/>
    <w:rsid w:val="008A59A5"/>
    <w:rsid w:val="008A7CFC"/>
    <w:rsid w:val="008B5538"/>
    <w:rsid w:val="008B6692"/>
    <w:rsid w:val="008C3E84"/>
    <w:rsid w:val="008C7182"/>
    <w:rsid w:val="008D0639"/>
    <w:rsid w:val="008D70EA"/>
    <w:rsid w:val="008F1162"/>
    <w:rsid w:val="008F3BFF"/>
    <w:rsid w:val="008F3E1E"/>
    <w:rsid w:val="0090073F"/>
    <w:rsid w:val="00902A1A"/>
    <w:rsid w:val="0090380F"/>
    <w:rsid w:val="00907CC6"/>
    <w:rsid w:val="009100EB"/>
    <w:rsid w:val="00910813"/>
    <w:rsid w:val="009122F0"/>
    <w:rsid w:val="009152FB"/>
    <w:rsid w:val="00922E9C"/>
    <w:rsid w:val="0092544A"/>
    <w:rsid w:val="009262C8"/>
    <w:rsid w:val="009262FD"/>
    <w:rsid w:val="00926A32"/>
    <w:rsid w:val="0092726A"/>
    <w:rsid w:val="0093317A"/>
    <w:rsid w:val="00933BCD"/>
    <w:rsid w:val="009346AF"/>
    <w:rsid w:val="00934923"/>
    <w:rsid w:val="009367B3"/>
    <w:rsid w:val="00941B29"/>
    <w:rsid w:val="0094463F"/>
    <w:rsid w:val="009461B3"/>
    <w:rsid w:val="00950C14"/>
    <w:rsid w:val="00951070"/>
    <w:rsid w:val="009523B7"/>
    <w:rsid w:val="009528CC"/>
    <w:rsid w:val="00960832"/>
    <w:rsid w:val="0097131B"/>
    <w:rsid w:val="009807B3"/>
    <w:rsid w:val="009824A9"/>
    <w:rsid w:val="00982C5F"/>
    <w:rsid w:val="0098652C"/>
    <w:rsid w:val="009877B6"/>
    <w:rsid w:val="0099125F"/>
    <w:rsid w:val="009924AB"/>
    <w:rsid w:val="0099287C"/>
    <w:rsid w:val="0099410D"/>
    <w:rsid w:val="00996CE6"/>
    <w:rsid w:val="0099764F"/>
    <w:rsid w:val="009A0B12"/>
    <w:rsid w:val="009A1B7F"/>
    <w:rsid w:val="009A2170"/>
    <w:rsid w:val="009A2373"/>
    <w:rsid w:val="009A4005"/>
    <w:rsid w:val="009A4529"/>
    <w:rsid w:val="009A4F53"/>
    <w:rsid w:val="009A505B"/>
    <w:rsid w:val="009B1C9B"/>
    <w:rsid w:val="009B37C4"/>
    <w:rsid w:val="009B3899"/>
    <w:rsid w:val="009B53E2"/>
    <w:rsid w:val="009B7629"/>
    <w:rsid w:val="009C0B19"/>
    <w:rsid w:val="009C15A6"/>
    <w:rsid w:val="009C238D"/>
    <w:rsid w:val="009C6917"/>
    <w:rsid w:val="009C7262"/>
    <w:rsid w:val="009C7E10"/>
    <w:rsid w:val="009D4E99"/>
    <w:rsid w:val="009D541E"/>
    <w:rsid w:val="009E11F4"/>
    <w:rsid w:val="009E1E7A"/>
    <w:rsid w:val="009E53E0"/>
    <w:rsid w:val="009E6629"/>
    <w:rsid w:val="009E74B4"/>
    <w:rsid w:val="009F1C45"/>
    <w:rsid w:val="009F6074"/>
    <w:rsid w:val="00A01981"/>
    <w:rsid w:val="00A02E27"/>
    <w:rsid w:val="00A146B8"/>
    <w:rsid w:val="00A20CD4"/>
    <w:rsid w:val="00A24BBE"/>
    <w:rsid w:val="00A27B0D"/>
    <w:rsid w:val="00A32D93"/>
    <w:rsid w:val="00A3666B"/>
    <w:rsid w:val="00A36AE2"/>
    <w:rsid w:val="00A44D6C"/>
    <w:rsid w:val="00A4568D"/>
    <w:rsid w:val="00A477CF"/>
    <w:rsid w:val="00A53A4D"/>
    <w:rsid w:val="00A551A1"/>
    <w:rsid w:val="00A5571E"/>
    <w:rsid w:val="00A56363"/>
    <w:rsid w:val="00A64607"/>
    <w:rsid w:val="00A64CC1"/>
    <w:rsid w:val="00A742EF"/>
    <w:rsid w:val="00A838D4"/>
    <w:rsid w:val="00A83DC0"/>
    <w:rsid w:val="00A86D27"/>
    <w:rsid w:val="00A9256F"/>
    <w:rsid w:val="00A939D5"/>
    <w:rsid w:val="00A95347"/>
    <w:rsid w:val="00AA07D6"/>
    <w:rsid w:val="00AA0CEE"/>
    <w:rsid w:val="00AA49E8"/>
    <w:rsid w:val="00AA607E"/>
    <w:rsid w:val="00AA72E9"/>
    <w:rsid w:val="00AA7B70"/>
    <w:rsid w:val="00AB1E9A"/>
    <w:rsid w:val="00AC4777"/>
    <w:rsid w:val="00AD1959"/>
    <w:rsid w:val="00AD281D"/>
    <w:rsid w:val="00AD4642"/>
    <w:rsid w:val="00AD5D9B"/>
    <w:rsid w:val="00AD678F"/>
    <w:rsid w:val="00AD71C4"/>
    <w:rsid w:val="00AE4BAC"/>
    <w:rsid w:val="00AF4BF5"/>
    <w:rsid w:val="00AF54A1"/>
    <w:rsid w:val="00AF55CE"/>
    <w:rsid w:val="00B01380"/>
    <w:rsid w:val="00B02BC6"/>
    <w:rsid w:val="00B036D6"/>
    <w:rsid w:val="00B05603"/>
    <w:rsid w:val="00B057E5"/>
    <w:rsid w:val="00B102D3"/>
    <w:rsid w:val="00B10459"/>
    <w:rsid w:val="00B11093"/>
    <w:rsid w:val="00B12594"/>
    <w:rsid w:val="00B14584"/>
    <w:rsid w:val="00B173E6"/>
    <w:rsid w:val="00B21998"/>
    <w:rsid w:val="00B24B16"/>
    <w:rsid w:val="00B31C70"/>
    <w:rsid w:val="00B331A9"/>
    <w:rsid w:val="00B370E7"/>
    <w:rsid w:val="00B46A04"/>
    <w:rsid w:val="00B50903"/>
    <w:rsid w:val="00B54EB5"/>
    <w:rsid w:val="00B5544D"/>
    <w:rsid w:val="00B55FC2"/>
    <w:rsid w:val="00B61117"/>
    <w:rsid w:val="00B62FE2"/>
    <w:rsid w:val="00B6459A"/>
    <w:rsid w:val="00B64A57"/>
    <w:rsid w:val="00B702C7"/>
    <w:rsid w:val="00B71AA6"/>
    <w:rsid w:val="00B746E1"/>
    <w:rsid w:val="00B761B6"/>
    <w:rsid w:val="00B96DFC"/>
    <w:rsid w:val="00BA779E"/>
    <w:rsid w:val="00BB0C48"/>
    <w:rsid w:val="00BB0DD7"/>
    <w:rsid w:val="00BB14C7"/>
    <w:rsid w:val="00BB1D1A"/>
    <w:rsid w:val="00BC13C2"/>
    <w:rsid w:val="00BC569A"/>
    <w:rsid w:val="00BC57EB"/>
    <w:rsid w:val="00BC677E"/>
    <w:rsid w:val="00BD1ABB"/>
    <w:rsid w:val="00BD1B93"/>
    <w:rsid w:val="00BD5E5E"/>
    <w:rsid w:val="00BE0F31"/>
    <w:rsid w:val="00BE36FA"/>
    <w:rsid w:val="00BE624E"/>
    <w:rsid w:val="00BE6C49"/>
    <w:rsid w:val="00BF328C"/>
    <w:rsid w:val="00BF347B"/>
    <w:rsid w:val="00BF5DF9"/>
    <w:rsid w:val="00BF79F7"/>
    <w:rsid w:val="00C000D1"/>
    <w:rsid w:val="00C01169"/>
    <w:rsid w:val="00C04E89"/>
    <w:rsid w:val="00C05B5B"/>
    <w:rsid w:val="00C118F2"/>
    <w:rsid w:val="00C236E6"/>
    <w:rsid w:val="00C25AB7"/>
    <w:rsid w:val="00C30E05"/>
    <w:rsid w:val="00C3649F"/>
    <w:rsid w:val="00C36A62"/>
    <w:rsid w:val="00C51153"/>
    <w:rsid w:val="00C51575"/>
    <w:rsid w:val="00C53D76"/>
    <w:rsid w:val="00C6014A"/>
    <w:rsid w:val="00C60B52"/>
    <w:rsid w:val="00C63FD6"/>
    <w:rsid w:val="00C6483B"/>
    <w:rsid w:val="00C7077B"/>
    <w:rsid w:val="00C70B09"/>
    <w:rsid w:val="00C71967"/>
    <w:rsid w:val="00C774BE"/>
    <w:rsid w:val="00C77D95"/>
    <w:rsid w:val="00C816B2"/>
    <w:rsid w:val="00C81EEE"/>
    <w:rsid w:val="00C834E8"/>
    <w:rsid w:val="00C87B60"/>
    <w:rsid w:val="00C901AA"/>
    <w:rsid w:val="00C97ECD"/>
    <w:rsid w:val="00CA4CBD"/>
    <w:rsid w:val="00CA6EFE"/>
    <w:rsid w:val="00CB0ECC"/>
    <w:rsid w:val="00CB41A4"/>
    <w:rsid w:val="00CB7668"/>
    <w:rsid w:val="00CC02CF"/>
    <w:rsid w:val="00CC1445"/>
    <w:rsid w:val="00CC192E"/>
    <w:rsid w:val="00CC5FFB"/>
    <w:rsid w:val="00CC79EB"/>
    <w:rsid w:val="00CD1412"/>
    <w:rsid w:val="00CD1946"/>
    <w:rsid w:val="00CD1CB9"/>
    <w:rsid w:val="00CE0C6E"/>
    <w:rsid w:val="00CE2197"/>
    <w:rsid w:val="00CE430F"/>
    <w:rsid w:val="00CE531F"/>
    <w:rsid w:val="00CF3E0B"/>
    <w:rsid w:val="00CF5DFB"/>
    <w:rsid w:val="00CF7FAD"/>
    <w:rsid w:val="00D0062B"/>
    <w:rsid w:val="00D024F3"/>
    <w:rsid w:val="00D056FB"/>
    <w:rsid w:val="00D07B40"/>
    <w:rsid w:val="00D10EC4"/>
    <w:rsid w:val="00D20A89"/>
    <w:rsid w:val="00D20DAB"/>
    <w:rsid w:val="00D30880"/>
    <w:rsid w:val="00D31BBF"/>
    <w:rsid w:val="00D3227B"/>
    <w:rsid w:val="00D32EE2"/>
    <w:rsid w:val="00D359AE"/>
    <w:rsid w:val="00D420D7"/>
    <w:rsid w:val="00D52795"/>
    <w:rsid w:val="00D53437"/>
    <w:rsid w:val="00D53EF4"/>
    <w:rsid w:val="00D55AF9"/>
    <w:rsid w:val="00D70C75"/>
    <w:rsid w:val="00D73BF3"/>
    <w:rsid w:val="00D7667B"/>
    <w:rsid w:val="00D8063D"/>
    <w:rsid w:val="00D811A6"/>
    <w:rsid w:val="00D81A38"/>
    <w:rsid w:val="00D81B55"/>
    <w:rsid w:val="00D81FD5"/>
    <w:rsid w:val="00D85380"/>
    <w:rsid w:val="00D858A0"/>
    <w:rsid w:val="00D85A2C"/>
    <w:rsid w:val="00D873EB"/>
    <w:rsid w:val="00D91389"/>
    <w:rsid w:val="00D934BF"/>
    <w:rsid w:val="00D975DB"/>
    <w:rsid w:val="00DA0C96"/>
    <w:rsid w:val="00DA16D8"/>
    <w:rsid w:val="00DA17CE"/>
    <w:rsid w:val="00DA3385"/>
    <w:rsid w:val="00DA49B8"/>
    <w:rsid w:val="00DA5CAE"/>
    <w:rsid w:val="00DA646F"/>
    <w:rsid w:val="00DB0A5C"/>
    <w:rsid w:val="00DB54A8"/>
    <w:rsid w:val="00DB68DE"/>
    <w:rsid w:val="00DC2E35"/>
    <w:rsid w:val="00DC2E97"/>
    <w:rsid w:val="00DC444D"/>
    <w:rsid w:val="00DC5076"/>
    <w:rsid w:val="00DD0E27"/>
    <w:rsid w:val="00DD0E4F"/>
    <w:rsid w:val="00DD1F30"/>
    <w:rsid w:val="00DD3F83"/>
    <w:rsid w:val="00DD4062"/>
    <w:rsid w:val="00DD4C72"/>
    <w:rsid w:val="00DE10E3"/>
    <w:rsid w:val="00DE4834"/>
    <w:rsid w:val="00DE5DB8"/>
    <w:rsid w:val="00DE6288"/>
    <w:rsid w:val="00DF2921"/>
    <w:rsid w:val="00DF3D12"/>
    <w:rsid w:val="00DF45C4"/>
    <w:rsid w:val="00DF56FA"/>
    <w:rsid w:val="00E062F7"/>
    <w:rsid w:val="00E10E8B"/>
    <w:rsid w:val="00E14049"/>
    <w:rsid w:val="00E14D95"/>
    <w:rsid w:val="00E14FBF"/>
    <w:rsid w:val="00E15389"/>
    <w:rsid w:val="00E154E3"/>
    <w:rsid w:val="00E16FC6"/>
    <w:rsid w:val="00E24729"/>
    <w:rsid w:val="00E2631F"/>
    <w:rsid w:val="00E307C6"/>
    <w:rsid w:val="00E30947"/>
    <w:rsid w:val="00E327CD"/>
    <w:rsid w:val="00E333C1"/>
    <w:rsid w:val="00E4022C"/>
    <w:rsid w:val="00E421E5"/>
    <w:rsid w:val="00E43827"/>
    <w:rsid w:val="00E44C6F"/>
    <w:rsid w:val="00E46583"/>
    <w:rsid w:val="00E47194"/>
    <w:rsid w:val="00E47E86"/>
    <w:rsid w:val="00E522CA"/>
    <w:rsid w:val="00E561BA"/>
    <w:rsid w:val="00E563B5"/>
    <w:rsid w:val="00E614BC"/>
    <w:rsid w:val="00E6454C"/>
    <w:rsid w:val="00E67A23"/>
    <w:rsid w:val="00E701FD"/>
    <w:rsid w:val="00E71793"/>
    <w:rsid w:val="00E741E8"/>
    <w:rsid w:val="00E75D09"/>
    <w:rsid w:val="00E83F20"/>
    <w:rsid w:val="00E87159"/>
    <w:rsid w:val="00E87288"/>
    <w:rsid w:val="00E91A09"/>
    <w:rsid w:val="00E922E4"/>
    <w:rsid w:val="00E92B5C"/>
    <w:rsid w:val="00E94582"/>
    <w:rsid w:val="00EA0246"/>
    <w:rsid w:val="00EA04BD"/>
    <w:rsid w:val="00EA24C3"/>
    <w:rsid w:val="00EA35AA"/>
    <w:rsid w:val="00EA36F2"/>
    <w:rsid w:val="00EA692F"/>
    <w:rsid w:val="00EB35FE"/>
    <w:rsid w:val="00EB62FF"/>
    <w:rsid w:val="00EB7139"/>
    <w:rsid w:val="00EB74A3"/>
    <w:rsid w:val="00EC4ABB"/>
    <w:rsid w:val="00EC7542"/>
    <w:rsid w:val="00EC75E9"/>
    <w:rsid w:val="00ED16C2"/>
    <w:rsid w:val="00ED2563"/>
    <w:rsid w:val="00ED3EE6"/>
    <w:rsid w:val="00ED4EFD"/>
    <w:rsid w:val="00EF03B5"/>
    <w:rsid w:val="00EF31A6"/>
    <w:rsid w:val="00EF5197"/>
    <w:rsid w:val="00F00374"/>
    <w:rsid w:val="00F00E66"/>
    <w:rsid w:val="00F02C62"/>
    <w:rsid w:val="00F072EC"/>
    <w:rsid w:val="00F07B6E"/>
    <w:rsid w:val="00F11023"/>
    <w:rsid w:val="00F1321D"/>
    <w:rsid w:val="00F15CB2"/>
    <w:rsid w:val="00F208CA"/>
    <w:rsid w:val="00F34CB6"/>
    <w:rsid w:val="00F36E33"/>
    <w:rsid w:val="00F40384"/>
    <w:rsid w:val="00F416A9"/>
    <w:rsid w:val="00F45F77"/>
    <w:rsid w:val="00F46CB4"/>
    <w:rsid w:val="00F50FB4"/>
    <w:rsid w:val="00F51A82"/>
    <w:rsid w:val="00F53A57"/>
    <w:rsid w:val="00F62182"/>
    <w:rsid w:val="00F6332B"/>
    <w:rsid w:val="00F63842"/>
    <w:rsid w:val="00F65499"/>
    <w:rsid w:val="00F66548"/>
    <w:rsid w:val="00F66849"/>
    <w:rsid w:val="00F6797C"/>
    <w:rsid w:val="00F679EF"/>
    <w:rsid w:val="00F740B2"/>
    <w:rsid w:val="00F85D17"/>
    <w:rsid w:val="00F865F2"/>
    <w:rsid w:val="00F86F0E"/>
    <w:rsid w:val="00F90E53"/>
    <w:rsid w:val="00F90F22"/>
    <w:rsid w:val="00F916CC"/>
    <w:rsid w:val="00F94369"/>
    <w:rsid w:val="00F96AFA"/>
    <w:rsid w:val="00FA371A"/>
    <w:rsid w:val="00FA4D01"/>
    <w:rsid w:val="00FB65B0"/>
    <w:rsid w:val="00FB6A40"/>
    <w:rsid w:val="00FC26FA"/>
    <w:rsid w:val="00FC52F0"/>
    <w:rsid w:val="00FD1518"/>
    <w:rsid w:val="00FD37AB"/>
    <w:rsid w:val="00FE1ACC"/>
    <w:rsid w:val="00FE4CA0"/>
    <w:rsid w:val="00FF02C7"/>
    <w:rsid w:val="00FF0F5F"/>
    <w:rsid w:val="00FF7038"/>
    <w:rsid w:val="00FF7AB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9420E47"/>
  <w15:chartTrackingRefBased/>
  <w15:docId w15:val="{4F535D3C-ED86-4E12-940A-0640A72B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7E"/>
    <w:pPr>
      <w:spacing w:before="120" w:after="0"/>
    </w:pPr>
    <w:rPr>
      <w:sz w:val="20"/>
    </w:rPr>
  </w:style>
  <w:style w:type="paragraph" w:styleId="Heading1">
    <w:name w:val="heading 1"/>
    <w:basedOn w:val="Normal"/>
    <w:next w:val="Normal"/>
    <w:link w:val="Heading1Char"/>
    <w:uiPriority w:val="9"/>
    <w:qFormat/>
    <w:rsid w:val="00354B44"/>
    <w:pPr>
      <w:keepNext/>
      <w:keepLines/>
      <w:numPr>
        <w:numId w:val="1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B44"/>
    <w:pPr>
      <w:keepNext/>
      <w:keepLines/>
      <w:numPr>
        <w:ilvl w:val="1"/>
        <w:numId w:val="12"/>
      </w:numPr>
      <w:spacing w:before="1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642E8"/>
    <w:pPr>
      <w:keepNext/>
      <w:keepLines/>
      <w:numPr>
        <w:ilvl w:val="2"/>
        <w:numId w:val="12"/>
      </w:numPr>
      <w:jc w:val="both"/>
      <w:outlineLvl w:val="2"/>
    </w:pPr>
    <w:rPr>
      <w:rFonts w:asciiTheme="majorHAnsi" w:eastAsiaTheme="majorEastAsia" w:hAnsiTheme="majorHAnsi" w:cstheme="majorBidi"/>
      <w:color w:val="2E74B5" w:themeColor="accent1" w:themeShade="BF"/>
      <w:sz w:val="24"/>
      <w:szCs w:val="24"/>
    </w:rPr>
  </w:style>
  <w:style w:type="paragraph" w:styleId="Heading4">
    <w:name w:val="heading 4"/>
    <w:basedOn w:val="Normal"/>
    <w:next w:val="Normal"/>
    <w:link w:val="Heading4Char"/>
    <w:autoRedefine/>
    <w:uiPriority w:val="9"/>
    <w:unhideWhenUsed/>
    <w:qFormat/>
    <w:rsid w:val="00E6454C"/>
    <w:pPr>
      <w:keepNext/>
      <w:keepLines/>
      <w:numPr>
        <w:ilvl w:val="3"/>
        <w:numId w:val="12"/>
      </w:numPr>
      <w:ind w:left="862" w:hanging="862"/>
      <w:jc w:val="both"/>
      <w:outlineLvl w:val="3"/>
    </w:pPr>
    <w:rPr>
      <w:rFonts w:asciiTheme="majorHAnsi" w:eastAsiaTheme="majorEastAsia" w:hAnsiTheme="majorHAnsi" w:cstheme="majorBidi"/>
      <w:iCs/>
      <w:color w:val="2E74B5" w:themeColor="accent1" w:themeShade="BF"/>
    </w:rPr>
  </w:style>
  <w:style w:type="paragraph" w:styleId="Heading5">
    <w:name w:val="heading 5"/>
    <w:basedOn w:val="Normal"/>
    <w:next w:val="Normal"/>
    <w:link w:val="Heading5Char"/>
    <w:uiPriority w:val="9"/>
    <w:unhideWhenUsed/>
    <w:qFormat/>
    <w:rsid w:val="001F709A"/>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54B44"/>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354B44"/>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54B44"/>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4B44"/>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ultilevelHeading">
    <w:name w:val="Multilevel Heading"/>
    <w:uiPriority w:val="99"/>
    <w:rsid w:val="00A83DC0"/>
    <w:pPr>
      <w:numPr>
        <w:numId w:val="1"/>
      </w:numPr>
    </w:pPr>
  </w:style>
  <w:style w:type="paragraph" w:styleId="Title">
    <w:name w:val="Title"/>
    <w:basedOn w:val="Normal"/>
    <w:next w:val="Normal"/>
    <w:link w:val="TitleChar"/>
    <w:uiPriority w:val="10"/>
    <w:qFormat/>
    <w:rsid w:val="00354FB4"/>
    <w:pPr>
      <w:spacing w:line="240" w:lineRule="auto"/>
      <w:contextualSpacing/>
    </w:pPr>
    <w:rPr>
      <w:rFonts w:asciiTheme="majorHAnsi" w:eastAsiaTheme="majorEastAsia" w:hAnsiTheme="majorHAnsi" w:cstheme="majorBidi"/>
      <w:b/>
      <w:spacing w:val="-10"/>
      <w:kern w:val="28"/>
      <w:sz w:val="28"/>
      <w:szCs w:val="56"/>
    </w:rPr>
  </w:style>
  <w:style w:type="character" w:customStyle="1" w:styleId="Heading1Char">
    <w:name w:val="Heading 1 Char"/>
    <w:basedOn w:val="DefaultParagraphFont"/>
    <w:link w:val="Heading1"/>
    <w:uiPriority w:val="9"/>
    <w:rsid w:val="00354B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4B44"/>
    <w:rPr>
      <w:rFonts w:asciiTheme="majorHAnsi" w:eastAsiaTheme="majorEastAsia" w:hAnsiTheme="majorHAnsi" w:cstheme="majorBidi"/>
      <w:color w:val="2E74B5" w:themeColor="accent1" w:themeShade="BF"/>
      <w:sz w:val="26"/>
      <w:szCs w:val="26"/>
    </w:rPr>
  </w:style>
  <w:style w:type="character" w:customStyle="1" w:styleId="TitleChar">
    <w:name w:val="Title Char"/>
    <w:basedOn w:val="DefaultParagraphFont"/>
    <w:link w:val="Title"/>
    <w:uiPriority w:val="10"/>
    <w:rsid w:val="00354FB4"/>
    <w:rPr>
      <w:rFonts w:asciiTheme="majorHAnsi" w:eastAsiaTheme="majorEastAsia" w:hAnsiTheme="majorHAnsi" w:cstheme="majorBidi"/>
      <w:b/>
      <w:spacing w:val="-10"/>
      <w:kern w:val="28"/>
      <w:sz w:val="28"/>
      <w:szCs w:val="56"/>
    </w:rPr>
  </w:style>
  <w:style w:type="paragraph" w:styleId="Subtitle">
    <w:name w:val="Subtitle"/>
    <w:basedOn w:val="Normal"/>
    <w:next w:val="Normal"/>
    <w:link w:val="SubtitleChar"/>
    <w:uiPriority w:val="11"/>
    <w:qFormat/>
    <w:rsid w:val="00354F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4FB4"/>
    <w:rPr>
      <w:rFonts w:eastAsiaTheme="minorEastAsia"/>
      <w:color w:val="5A5A5A" w:themeColor="text1" w:themeTint="A5"/>
      <w:spacing w:val="15"/>
    </w:rPr>
  </w:style>
  <w:style w:type="character" w:styleId="Strong">
    <w:name w:val="Strong"/>
    <w:basedOn w:val="DefaultParagraphFont"/>
    <w:uiPriority w:val="22"/>
    <w:qFormat/>
    <w:rsid w:val="00354FB4"/>
    <w:rPr>
      <w:b/>
      <w:bCs/>
    </w:rPr>
  </w:style>
  <w:style w:type="table" w:styleId="TableGrid">
    <w:name w:val="Table Grid"/>
    <w:basedOn w:val="TableNormal"/>
    <w:uiPriority w:val="39"/>
    <w:rsid w:val="00354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677E"/>
    <w:pPr>
      <w:spacing w:after="0" w:line="240" w:lineRule="auto"/>
    </w:pPr>
    <w:rPr>
      <w:sz w:val="20"/>
    </w:rPr>
  </w:style>
  <w:style w:type="character" w:customStyle="1" w:styleId="Heading3Char">
    <w:name w:val="Heading 3 Char"/>
    <w:basedOn w:val="DefaultParagraphFont"/>
    <w:link w:val="Heading3"/>
    <w:uiPriority w:val="9"/>
    <w:rsid w:val="001642E8"/>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E6454C"/>
    <w:rPr>
      <w:rFonts w:asciiTheme="majorHAnsi" w:eastAsiaTheme="majorEastAsia" w:hAnsiTheme="majorHAnsi" w:cstheme="majorBidi"/>
      <w:iCs/>
      <w:color w:val="2E74B5" w:themeColor="accent1" w:themeShade="BF"/>
      <w:sz w:val="20"/>
    </w:rPr>
  </w:style>
  <w:style w:type="character" w:customStyle="1" w:styleId="Heading5Char">
    <w:name w:val="Heading 5 Char"/>
    <w:basedOn w:val="DefaultParagraphFont"/>
    <w:link w:val="Heading5"/>
    <w:uiPriority w:val="9"/>
    <w:rsid w:val="00354B44"/>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rsid w:val="00354B44"/>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rsid w:val="00354B44"/>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354B4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54B44"/>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742EF"/>
    <w:pPr>
      <w:numPr>
        <w:numId w:val="0"/>
      </w:numPr>
      <w:outlineLvl w:val="9"/>
    </w:pPr>
    <w:rPr>
      <w:lang w:val="en-US"/>
    </w:rPr>
  </w:style>
  <w:style w:type="paragraph" w:styleId="TOC1">
    <w:name w:val="toc 1"/>
    <w:basedOn w:val="Normal"/>
    <w:next w:val="Normal"/>
    <w:autoRedefine/>
    <w:uiPriority w:val="39"/>
    <w:unhideWhenUsed/>
    <w:rsid w:val="00176B29"/>
    <w:pPr>
      <w:tabs>
        <w:tab w:val="left" w:pos="400"/>
        <w:tab w:val="right" w:leader="dot" w:pos="9016"/>
      </w:tabs>
      <w:spacing w:after="100"/>
    </w:pPr>
  </w:style>
  <w:style w:type="paragraph" w:styleId="TOC2">
    <w:name w:val="toc 2"/>
    <w:basedOn w:val="Normal"/>
    <w:next w:val="Normal"/>
    <w:autoRedefine/>
    <w:uiPriority w:val="39"/>
    <w:unhideWhenUsed/>
    <w:rsid w:val="00A742EF"/>
    <w:pPr>
      <w:spacing w:after="100"/>
      <w:ind w:left="200"/>
    </w:pPr>
  </w:style>
  <w:style w:type="character" w:styleId="Hyperlink">
    <w:name w:val="Hyperlink"/>
    <w:basedOn w:val="DefaultParagraphFont"/>
    <w:uiPriority w:val="99"/>
    <w:unhideWhenUsed/>
    <w:rsid w:val="00A742EF"/>
    <w:rPr>
      <w:color w:val="0563C1" w:themeColor="hyperlink"/>
      <w:u w:val="single"/>
    </w:rPr>
  </w:style>
  <w:style w:type="paragraph" w:styleId="ListParagraph">
    <w:name w:val="List Paragraph"/>
    <w:basedOn w:val="Normal"/>
    <w:uiPriority w:val="34"/>
    <w:qFormat/>
    <w:rsid w:val="003F02A7"/>
    <w:pPr>
      <w:ind w:left="720"/>
      <w:contextualSpacing/>
    </w:pPr>
  </w:style>
  <w:style w:type="paragraph" w:styleId="TOC3">
    <w:name w:val="toc 3"/>
    <w:basedOn w:val="Normal"/>
    <w:next w:val="Normal"/>
    <w:autoRedefine/>
    <w:uiPriority w:val="39"/>
    <w:unhideWhenUsed/>
    <w:rsid w:val="00CD1946"/>
    <w:pPr>
      <w:spacing w:after="100"/>
      <w:ind w:left="400"/>
    </w:pPr>
  </w:style>
  <w:style w:type="paragraph" w:styleId="BalloonText">
    <w:name w:val="Balloon Text"/>
    <w:basedOn w:val="Normal"/>
    <w:link w:val="BalloonTextChar"/>
    <w:uiPriority w:val="99"/>
    <w:semiHidden/>
    <w:unhideWhenUsed/>
    <w:rsid w:val="00153AA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AAD"/>
    <w:rPr>
      <w:rFonts w:ascii="Segoe UI" w:hAnsi="Segoe UI" w:cs="Segoe UI"/>
      <w:sz w:val="18"/>
      <w:szCs w:val="18"/>
    </w:rPr>
  </w:style>
  <w:style w:type="paragraph" w:styleId="Bibliography">
    <w:name w:val="Bibliography"/>
    <w:basedOn w:val="Normal"/>
    <w:next w:val="Normal"/>
    <w:uiPriority w:val="37"/>
    <w:unhideWhenUsed/>
    <w:rsid w:val="00F85D17"/>
  </w:style>
  <w:style w:type="paragraph" w:styleId="Header">
    <w:name w:val="header"/>
    <w:basedOn w:val="Normal"/>
    <w:link w:val="HeaderChar"/>
    <w:uiPriority w:val="99"/>
    <w:unhideWhenUsed/>
    <w:rsid w:val="0043597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35977"/>
    <w:rPr>
      <w:sz w:val="20"/>
    </w:rPr>
  </w:style>
  <w:style w:type="paragraph" w:styleId="Footer">
    <w:name w:val="footer"/>
    <w:basedOn w:val="Normal"/>
    <w:link w:val="FooterChar"/>
    <w:uiPriority w:val="99"/>
    <w:unhideWhenUsed/>
    <w:rsid w:val="0043597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35977"/>
    <w:rPr>
      <w:sz w:val="20"/>
    </w:rPr>
  </w:style>
  <w:style w:type="character" w:styleId="CommentReference">
    <w:name w:val="annotation reference"/>
    <w:basedOn w:val="DefaultParagraphFont"/>
    <w:uiPriority w:val="99"/>
    <w:semiHidden/>
    <w:unhideWhenUsed/>
    <w:rsid w:val="002B3F97"/>
    <w:rPr>
      <w:sz w:val="16"/>
      <w:szCs w:val="16"/>
    </w:rPr>
  </w:style>
  <w:style w:type="paragraph" w:styleId="CommentText">
    <w:name w:val="annotation text"/>
    <w:basedOn w:val="Normal"/>
    <w:link w:val="CommentTextChar"/>
    <w:uiPriority w:val="99"/>
    <w:unhideWhenUsed/>
    <w:rsid w:val="002B3F97"/>
    <w:pPr>
      <w:spacing w:line="240" w:lineRule="auto"/>
    </w:pPr>
    <w:rPr>
      <w:szCs w:val="20"/>
    </w:rPr>
  </w:style>
  <w:style w:type="character" w:customStyle="1" w:styleId="CommentTextChar">
    <w:name w:val="Comment Text Char"/>
    <w:basedOn w:val="DefaultParagraphFont"/>
    <w:link w:val="CommentText"/>
    <w:uiPriority w:val="99"/>
    <w:rsid w:val="002B3F97"/>
    <w:rPr>
      <w:sz w:val="20"/>
      <w:szCs w:val="20"/>
    </w:rPr>
  </w:style>
  <w:style w:type="paragraph" w:styleId="CommentSubject">
    <w:name w:val="annotation subject"/>
    <w:basedOn w:val="CommentText"/>
    <w:next w:val="CommentText"/>
    <w:link w:val="CommentSubjectChar"/>
    <w:uiPriority w:val="99"/>
    <w:semiHidden/>
    <w:unhideWhenUsed/>
    <w:rsid w:val="002B3F97"/>
    <w:rPr>
      <w:b/>
      <w:bCs/>
    </w:rPr>
  </w:style>
  <w:style w:type="character" w:customStyle="1" w:styleId="CommentSubjectChar">
    <w:name w:val="Comment Subject Char"/>
    <w:basedOn w:val="CommentTextChar"/>
    <w:link w:val="CommentSubject"/>
    <w:uiPriority w:val="99"/>
    <w:semiHidden/>
    <w:rsid w:val="002B3F97"/>
    <w:rPr>
      <w:b/>
      <w:bCs/>
      <w:sz w:val="20"/>
      <w:szCs w:val="20"/>
    </w:rPr>
  </w:style>
  <w:style w:type="paragraph" w:styleId="FootnoteText">
    <w:name w:val="footnote text"/>
    <w:basedOn w:val="Normal"/>
    <w:link w:val="FootnoteTextChar"/>
    <w:uiPriority w:val="99"/>
    <w:semiHidden/>
    <w:unhideWhenUsed/>
    <w:rsid w:val="008B6692"/>
    <w:pPr>
      <w:spacing w:before="0" w:line="240" w:lineRule="auto"/>
    </w:pPr>
    <w:rPr>
      <w:szCs w:val="20"/>
    </w:rPr>
  </w:style>
  <w:style w:type="character" w:customStyle="1" w:styleId="FootnoteTextChar">
    <w:name w:val="Footnote Text Char"/>
    <w:basedOn w:val="DefaultParagraphFont"/>
    <w:link w:val="FootnoteText"/>
    <w:uiPriority w:val="99"/>
    <w:semiHidden/>
    <w:rsid w:val="008B6692"/>
    <w:rPr>
      <w:sz w:val="20"/>
      <w:szCs w:val="20"/>
    </w:rPr>
  </w:style>
  <w:style w:type="character" w:styleId="FootnoteReference">
    <w:name w:val="footnote reference"/>
    <w:basedOn w:val="DefaultParagraphFont"/>
    <w:uiPriority w:val="99"/>
    <w:semiHidden/>
    <w:unhideWhenUsed/>
    <w:rsid w:val="008B6692"/>
    <w:rPr>
      <w:vertAlign w:val="superscript"/>
    </w:rPr>
  </w:style>
  <w:style w:type="paragraph" w:styleId="Revision">
    <w:name w:val="Revision"/>
    <w:hidden/>
    <w:uiPriority w:val="99"/>
    <w:semiHidden/>
    <w:rsid w:val="003A22CB"/>
    <w:pPr>
      <w:spacing w:after="0" w:line="240" w:lineRule="auto"/>
    </w:pPr>
    <w:rPr>
      <w:sz w:val="20"/>
    </w:rPr>
  </w:style>
  <w:style w:type="character" w:styleId="UnresolvedMention">
    <w:name w:val="Unresolved Mention"/>
    <w:basedOn w:val="DefaultParagraphFont"/>
    <w:uiPriority w:val="99"/>
    <w:semiHidden/>
    <w:unhideWhenUsed/>
    <w:rsid w:val="00922E9C"/>
    <w:rPr>
      <w:color w:val="605E5C"/>
      <w:shd w:val="clear" w:color="auto" w:fill="E1DFDD"/>
    </w:rPr>
  </w:style>
  <w:style w:type="paragraph" w:customStyle="1" w:styleId="pf0">
    <w:name w:val="pf0"/>
    <w:basedOn w:val="Normal"/>
    <w:rsid w:val="00AF55C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01">
    <w:name w:val="cf01"/>
    <w:basedOn w:val="DefaultParagraphFont"/>
    <w:rsid w:val="00AF55CE"/>
    <w:rPr>
      <w:rFonts w:ascii="Segoe UI" w:hAnsi="Segoe UI" w:cs="Segoe UI" w:hint="default"/>
      <w:sz w:val="18"/>
      <w:szCs w:val="18"/>
    </w:rPr>
  </w:style>
  <w:style w:type="character" w:customStyle="1" w:styleId="cf11">
    <w:name w:val="cf11"/>
    <w:basedOn w:val="DefaultParagraphFont"/>
    <w:rsid w:val="00AF55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9567">
      <w:bodyDiv w:val="1"/>
      <w:marLeft w:val="0"/>
      <w:marRight w:val="0"/>
      <w:marTop w:val="0"/>
      <w:marBottom w:val="0"/>
      <w:divBdr>
        <w:top w:val="none" w:sz="0" w:space="0" w:color="auto"/>
        <w:left w:val="none" w:sz="0" w:space="0" w:color="auto"/>
        <w:bottom w:val="none" w:sz="0" w:space="0" w:color="auto"/>
        <w:right w:val="none" w:sz="0" w:space="0" w:color="auto"/>
      </w:divBdr>
    </w:div>
    <w:div w:id="24521067">
      <w:bodyDiv w:val="1"/>
      <w:marLeft w:val="0"/>
      <w:marRight w:val="0"/>
      <w:marTop w:val="0"/>
      <w:marBottom w:val="0"/>
      <w:divBdr>
        <w:top w:val="none" w:sz="0" w:space="0" w:color="auto"/>
        <w:left w:val="none" w:sz="0" w:space="0" w:color="auto"/>
        <w:bottom w:val="none" w:sz="0" w:space="0" w:color="auto"/>
        <w:right w:val="none" w:sz="0" w:space="0" w:color="auto"/>
      </w:divBdr>
    </w:div>
    <w:div w:id="45180945">
      <w:bodyDiv w:val="1"/>
      <w:marLeft w:val="0"/>
      <w:marRight w:val="0"/>
      <w:marTop w:val="0"/>
      <w:marBottom w:val="0"/>
      <w:divBdr>
        <w:top w:val="none" w:sz="0" w:space="0" w:color="auto"/>
        <w:left w:val="none" w:sz="0" w:space="0" w:color="auto"/>
        <w:bottom w:val="none" w:sz="0" w:space="0" w:color="auto"/>
        <w:right w:val="none" w:sz="0" w:space="0" w:color="auto"/>
      </w:divBdr>
    </w:div>
    <w:div w:id="97717871">
      <w:bodyDiv w:val="1"/>
      <w:marLeft w:val="0"/>
      <w:marRight w:val="0"/>
      <w:marTop w:val="0"/>
      <w:marBottom w:val="0"/>
      <w:divBdr>
        <w:top w:val="none" w:sz="0" w:space="0" w:color="auto"/>
        <w:left w:val="none" w:sz="0" w:space="0" w:color="auto"/>
        <w:bottom w:val="none" w:sz="0" w:space="0" w:color="auto"/>
        <w:right w:val="none" w:sz="0" w:space="0" w:color="auto"/>
      </w:divBdr>
    </w:div>
    <w:div w:id="156772844">
      <w:bodyDiv w:val="1"/>
      <w:marLeft w:val="0"/>
      <w:marRight w:val="0"/>
      <w:marTop w:val="0"/>
      <w:marBottom w:val="0"/>
      <w:divBdr>
        <w:top w:val="none" w:sz="0" w:space="0" w:color="auto"/>
        <w:left w:val="none" w:sz="0" w:space="0" w:color="auto"/>
        <w:bottom w:val="none" w:sz="0" w:space="0" w:color="auto"/>
        <w:right w:val="none" w:sz="0" w:space="0" w:color="auto"/>
      </w:divBdr>
    </w:div>
    <w:div w:id="178549682">
      <w:bodyDiv w:val="1"/>
      <w:marLeft w:val="0"/>
      <w:marRight w:val="0"/>
      <w:marTop w:val="0"/>
      <w:marBottom w:val="0"/>
      <w:divBdr>
        <w:top w:val="none" w:sz="0" w:space="0" w:color="auto"/>
        <w:left w:val="none" w:sz="0" w:space="0" w:color="auto"/>
        <w:bottom w:val="none" w:sz="0" w:space="0" w:color="auto"/>
        <w:right w:val="none" w:sz="0" w:space="0" w:color="auto"/>
      </w:divBdr>
    </w:div>
    <w:div w:id="194731821">
      <w:bodyDiv w:val="1"/>
      <w:marLeft w:val="0"/>
      <w:marRight w:val="0"/>
      <w:marTop w:val="0"/>
      <w:marBottom w:val="0"/>
      <w:divBdr>
        <w:top w:val="none" w:sz="0" w:space="0" w:color="auto"/>
        <w:left w:val="none" w:sz="0" w:space="0" w:color="auto"/>
        <w:bottom w:val="none" w:sz="0" w:space="0" w:color="auto"/>
        <w:right w:val="none" w:sz="0" w:space="0" w:color="auto"/>
      </w:divBdr>
    </w:div>
    <w:div w:id="217018909">
      <w:bodyDiv w:val="1"/>
      <w:marLeft w:val="0"/>
      <w:marRight w:val="0"/>
      <w:marTop w:val="0"/>
      <w:marBottom w:val="0"/>
      <w:divBdr>
        <w:top w:val="none" w:sz="0" w:space="0" w:color="auto"/>
        <w:left w:val="none" w:sz="0" w:space="0" w:color="auto"/>
        <w:bottom w:val="none" w:sz="0" w:space="0" w:color="auto"/>
        <w:right w:val="none" w:sz="0" w:space="0" w:color="auto"/>
      </w:divBdr>
    </w:div>
    <w:div w:id="243875994">
      <w:bodyDiv w:val="1"/>
      <w:marLeft w:val="0"/>
      <w:marRight w:val="0"/>
      <w:marTop w:val="0"/>
      <w:marBottom w:val="0"/>
      <w:divBdr>
        <w:top w:val="none" w:sz="0" w:space="0" w:color="auto"/>
        <w:left w:val="none" w:sz="0" w:space="0" w:color="auto"/>
        <w:bottom w:val="none" w:sz="0" w:space="0" w:color="auto"/>
        <w:right w:val="none" w:sz="0" w:space="0" w:color="auto"/>
      </w:divBdr>
    </w:div>
    <w:div w:id="275410407">
      <w:bodyDiv w:val="1"/>
      <w:marLeft w:val="0"/>
      <w:marRight w:val="0"/>
      <w:marTop w:val="0"/>
      <w:marBottom w:val="0"/>
      <w:divBdr>
        <w:top w:val="none" w:sz="0" w:space="0" w:color="auto"/>
        <w:left w:val="none" w:sz="0" w:space="0" w:color="auto"/>
        <w:bottom w:val="none" w:sz="0" w:space="0" w:color="auto"/>
        <w:right w:val="none" w:sz="0" w:space="0" w:color="auto"/>
      </w:divBdr>
    </w:div>
    <w:div w:id="329257482">
      <w:bodyDiv w:val="1"/>
      <w:marLeft w:val="0"/>
      <w:marRight w:val="0"/>
      <w:marTop w:val="0"/>
      <w:marBottom w:val="0"/>
      <w:divBdr>
        <w:top w:val="none" w:sz="0" w:space="0" w:color="auto"/>
        <w:left w:val="none" w:sz="0" w:space="0" w:color="auto"/>
        <w:bottom w:val="none" w:sz="0" w:space="0" w:color="auto"/>
        <w:right w:val="none" w:sz="0" w:space="0" w:color="auto"/>
      </w:divBdr>
    </w:div>
    <w:div w:id="338586463">
      <w:bodyDiv w:val="1"/>
      <w:marLeft w:val="0"/>
      <w:marRight w:val="0"/>
      <w:marTop w:val="0"/>
      <w:marBottom w:val="0"/>
      <w:divBdr>
        <w:top w:val="none" w:sz="0" w:space="0" w:color="auto"/>
        <w:left w:val="none" w:sz="0" w:space="0" w:color="auto"/>
        <w:bottom w:val="none" w:sz="0" w:space="0" w:color="auto"/>
        <w:right w:val="none" w:sz="0" w:space="0" w:color="auto"/>
      </w:divBdr>
    </w:div>
    <w:div w:id="389694125">
      <w:bodyDiv w:val="1"/>
      <w:marLeft w:val="0"/>
      <w:marRight w:val="0"/>
      <w:marTop w:val="0"/>
      <w:marBottom w:val="0"/>
      <w:divBdr>
        <w:top w:val="none" w:sz="0" w:space="0" w:color="auto"/>
        <w:left w:val="none" w:sz="0" w:space="0" w:color="auto"/>
        <w:bottom w:val="none" w:sz="0" w:space="0" w:color="auto"/>
        <w:right w:val="none" w:sz="0" w:space="0" w:color="auto"/>
      </w:divBdr>
    </w:div>
    <w:div w:id="430468803">
      <w:bodyDiv w:val="1"/>
      <w:marLeft w:val="0"/>
      <w:marRight w:val="0"/>
      <w:marTop w:val="0"/>
      <w:marBottom w:val="0"/>
      <w:divBdr>
        <w:top w:val="none" w:sz="0" w:space="0" w:color="auto"/>
        <w:left w:val="none" w:sz="0" w:space="0" w:color="auto"/>
        <w:bottom w:val="none" w:sz="0" w:space="0" w:color="auto"/>
        <w:right w:val="none" w:sz="0" w:space="0" w:color="auto"/>
      </w:divBdr>
    </w:div>
    <w:div w:id="521941048">
      <w:bodyDiv w:val="1"/>
      <w:marLeft w:val="0"/>
      <w:marRight w:val="0"/>
      <w:marTop w:val="0"/>
      <w:marBottom w:val="0"/>
      <w:divBdr>
        <w:top w:val="none" w:sz="0" w:space="0" w:color="auto"/>
        <w:left w:val="none" w:sz="0" w:space="0" w:color="auto"/>
        <w:bottom w:val="none" w:sz="0" w:space="0" w:color="auto"/>
        <w:right w:val="none" w:sz="0" w:space="0" w:color="auto"/>
      </w:divBdr>
    </w:div>
    <w:div w:id="544559727">
      <w:bodyDiv w:val="1"/>
      <w:marLeft w:val="0"/>
      <w:marRight w:val="0"/>
      <w:marTop w:val="0"/>
      <w:marBottom w:val="0"/>
      <w:divBdr>
        <w:top w:val="none" w:sz="0" w:space="0" w:color="auto"/>
        <w:left w:val="none" w:sz="0" w:space="0" w:color="auto"/>
        <w:bottom w:val="none" w:sz="0" w:space="0" w:color="auto"/>
        <w:right w:val="none" w:sz="0" w:space="0" w:color="auto"/>
      </w:divBdr>
    </w:div>
    <w:div w:id="555509942">
      <w:bodyDiv w:val="1"/>
      <w:marLeft w:val="0"/>
      <w:marRight w:val="0"/>
      <w:marTop w:val="0"/>
      <w:marBottom w:val="0"/>
      <w:divBdr>
        <w:top w:val="none" w:sz="0" w:space="0" w:color="auto"/>
        <w:left w:val="none" w:sz="0" w:space="0" w:color="auto"/>
        <w:bottom w:val="none" w:sz="0" w:space="0" w:color="auto"/>
        <w:right w:val="none" w:sz="0" w:space="0" w:color="auto"/>
      </w:divBdr>
    </w:div>
    <w:div w:id="567958647">
      <w:bodyDiv w:val="1"/>
      <w:marLeft w:val="0"/>
      <w:marRight w:val="0"/>
      <w:marTop w:val="0"/>
      <w:marBottom w:val="0"/>
      <w:divBdr>
        <w:top w:val="none" w:sz="0" w:space="0" w:color="auto"/>
        <w:left w:val="none" w:sz="0" w:space="0" w:color="auto"/>
        <w:bottom w:val="none" w:sz="0" w:space="0" w:color="auto"/>
        <w:right w:val="none" w:sz="0" w:space="0" w:color="auto"/>
      </w:divBdr>
    </w:div>
    <w:div w:id="574899851">
      <w:bodyDiv w:val="1"/>
      <w:marLeft w:val="0"/>
      <w:marRight w:val="0"/>
      <w:marTop w:val="0"/>
      <w:marBottom w:val="0"/>
      <w:divBdr>
        <w:top w:val="none" w:sz="0" w:space="0" w:color="auto"/>
        <w:left w:val="none" w:sz="0" w:space="0" w:color="auto"/>
        <w:bottom w:val="none" w:sz="0" w:space="0" w:color="auto"/>
        <w:right w:val="none" w:sz="0" w:space="0" w:color="auto"/>
      </w:divBdr>
    </w:div>
    <w:div w:id="616521048">
      <w:bodyDiv w:val="1"/>
      <w:marLeft w:val="0"/>
      <w:marRight w:val="0"/>
      <w:marTop w:val="0"/>
      <w:marBottom w:val="0"/>
      <w:divBdr>
        <w:top w:val="none" w:sz="0" w:space="0" w:color="auto"/>
        <w:left w:val="none" w:sz="0" w:space="0" w:color="auto"/>
        <w:bottom w:val="none" w:sz="0" w:space="0" w:color="auto"/>
        <w:right w:val="none" w:sz="0" w:space="0" w:color="auto"/>
      </w:divBdr>
    </w:div>
    <w:div w:id="630095429">
      <w:bodyDiv w:val="1"/>
      <w:marLeft w:val="0"/>
      <w:marRight w:val="0"/>
      <w:marTop w:val="0"/>
      <w:marBottom w:val="0"/>
      <w:divBdr>
        <w:top w:val="none" w:sz="0" w:space="0" w:color="auto"/>
        <w:left w:val="none" w:sz="0" w:space="0" w:color="auto"/>
        <w:bottom w:val="none" w:sz="0" w:space="0" w:color="auto"/>
        <w:right w:val="none" w:sz="0" w:space="0" w:color="auto"/>
      </w:divBdr>
    </w:div>
    <w:div w:id="641542811">
      <w:bodyDiv w:val="1"/>
      <w:marLeft w:val="0"/>
      <w:marRight w:val="0"/>
      <w:marTop w:val="0"/>
      <w:marBottom w:val="0"/>
      <w:divBdr>
        <w:top w:val="none" w:sz="0" w:space="0" w:color="auto"/>
        <w:left w:val="none" w:sz="0" w:space="0" w:color="auto"/>
        <w:bottom w:val="none" w:sz="0" w:space="0" w:color="auto"/>
        <w:right w:val="none" w:sz="0" w:space="0" w:color="auto"/>
      </w:divBdr>
    </w:div>
    <w:div w:id="655382885">
      <w:bodyDiv w:val="1"/>
      <w:marLeft w:val="0"/>
      <w:marRight w:val="0"/>
      <w:marTop w:val="0"/>
      <w:marBottom w:val="0"/>
      <w:divBdr>
        <w:top w:val="none" w:sz="0" w:space="0" w:color="auto"/>
        <w:left w:val="none" w:sz="0" w:space="0" w:color="auto"/>
        <w:bottom w:val="none" w:sz="0" w:space="0" w:color="auto"/>
        <w:right w:val="none" w:sz="0" w:space="0" w:color="auto"/>
      </w:divBdr>
    </w:div>
    <w:div w:id="683627445">
      <w:bodyDiv w:val="1"/>
      <w:marLeft w:val="0"/>
      <w:marRight w:val="0"/>
      <w:marTop w:val="0"/>
      <w:marBottom w:val="0"/>
      <w:divBdr>
        <w:top w:val="none" w:sz="0" w:space="0" w:color="auto"/>
        <w:left w:val="none" w:sz="0" w:space="0" w:color="auto"/>
        <w:bottom w:val="none" w:sz="0" w:space="0" w:color="auto"/>
        <w:right w:val="none" w:sz="0" w:space="0" w:color="auto"/>
      </w:divBdr>
    </w:div>
    <w:div w:id="726417859">
      <w:bodyDiv w:val="1"/>
      <w:marLeft w:val="0"/>
      <w:marRight w:val="0"/>
      <w:marTop w:val="0"/>
      <w:marBottom w:val="0"/>
      <w:divBdr>
        <w:top w:val="none" w:sz="0" w:space="0" w:color="auto"/>
        <w:left w:val="none" w:sz="0" w:space="0" w:color="auto"/>
        <w:bottom w:val="none" w:sz="0" w:space="0" w:color="auto"/>
        <w:right w:val="none" w:sz="0" w:space="0" w:color="auto"/>
      </w:divBdr>
    </w:div>
    <w:div w:id="748699851">
      <w:bodyDiv w:val="1"/>
      <w:marLeft w:val="0"/>
      <w:marRight w:val="0"/>
      <w:marTop w:val="0"/>
      <w:marBottom w:val="0"/>
      <w:divBdr>
        <w:top w:val="none" w:sz="0" w:space="0" w:color="auto"/>
        <w:left w:val="none" w:sz="0" w:space="0" w:color="auto"/>
        <w:bottom w:val="none" w:sz="0" w:space="0" w:color="auto"/>
        <w:right w:val="none" w:sz="0" w:space="0" w:color="auto"/>
      </w:divBdr>
    </w:div>
    <w:div w:id="796946345">
      <w:bodyDiv w:val="1"/>
      <w:marLeft w:val="0"/>
      <w:marRight w:val="0"/>
      <w:marTop w:val="0"/>
      <w:marBottom w:val="0"/>
      <w:divBdr>
        <w:top w:val="none" w:sz="0" w:space="0" w:color="auto"/>
        <w:left w:val="none" w:sz="0" w:space="0" w:color="auto"/>
        <w:bottom w:val="none" w:sz="0" w:space="0" w:color="auto"/>
        <w:right w:val="none" w:sz="0" w:space="0" w:color="auto"/>
      </w:divBdr>
    </w:div>
    <w:div w:id="807284614">
      <w:bodyDiv w:val="1"/>
      <w:marLeft w:val="0"/>
      <w:marRight w:val="0"/>
      <w:marTop w:val="0"/>
      <w:marBottom w:val="0"/>
      <w:divBdr>
        <w:top w:val="none" w:sz="0" w:space="0" w:color="auto"/>
        <w:left w:val="none" w:sz="0" w:space="0" w:color="auto"/>
        <w:bottom w:val="none" w:sz="0" w:space="0" w:color="auto"/>
        <w:right w:val="none" w:sz="0" w:space="0" w:color="auto"/>
      </w:divBdr>
    </w:div>
    <w:div w:id="844514908">
      <w:bodyDiv w:val="1"/>
      <w:marLeft w:val="0"/>
      <w:marRight w:val="0"/>
      <w:marTop w:val="0"/>
      <w:marBottom w:val="0"/>
      <w:divBdr>
        <w:top w:val="none" w:sz="0" w:space="0" w:color="auto"/>
        <w:left w:val="none" w:sz="0" w:space="0" w:color="auto"/>
        <w:bottom w:val="none" w:sz="0" w:space="0" w:color="auto"/>
        <w:right w:val="none" w:sz="0" w:space="0" w:color="auto"/>
      </w:divBdr>
    </w:div>
    <w:div w:id="867253007">
      <w:bodyDiv w:val="1"/>
      <w:marLeft w:val="0"/>
      <w:marRight w:val="0"/>
      <w:marTop w:val="0"/>
      <w:marBottom w:val="0"/>
      <w:divBdr>
        <w:top w:val="none" w:sz="0" w:space="0" w:color="auto"/>
        <w:left w:val="none" w:sz="0" w:space="0" w:color="auto"/>
        <w:bottom w:val="none" w:sz="0" w:space="0" w:color="auto"/>
        <w:right w:val="none" w:sz="0" w:space="0" w:color="auto"/>
      </w:divBdr>
    </w:div>
    <w:div w:id="888415334">
      <w:bodyDiv w:val="1"/>
      <w:marLeft w:val="0"/>
      <w:marRight w:val="0"/>
      <w:marTop w:val="0"/>
      <w:marBottom w:val="0"/>
      <w:divBdr>
        <w:top w:val="none" w:sz="0" w:space="0" w:color="auto"/>
        <w:left w:val="none" w:sz="0" w:space="0" w:color="auto"/>
        <w:bottom w:val="none" w:sz="0" w:space="0" w:color="auto"/>
        <w:right w:val="none" w:sz="0" w:space="0" w:color="auto"/>
      </w:divBdr>
    </w:div>
    <w:div w:id="1000278474">
      <w:bodyDiv w:val="1"/>
      <w:marLeft w:val="0"/>
      <w:marRight w:val="0"/>
      <w:marTop w:val="0"/>
      <w:marBottom w:val="0"/>
      <w:divBdr>
        <w:top w:val="none" w:sz="0" w:space="0" w:color="auto"/>
        <w:left w:val="none" w:sz="0" w:space="0" w:color="auto"/>
        <w:bottom w:val="none" w:sz="0" w:space="0" w:color="auto"/>
        <w:right w:val="none" w:sz="0" w:space="0" w:color="auto"/>
      </w:divBdr>
    </w:div>
    <w:div w:id="1057240596">
      <w:bodyDiv w:val="1"/>
      <w:marLeft w:val="0"/>
      <w:marRight w:val="0"/>
      <w:marTop w:val="0"/>
      <w:marBottom w:val="0"/>
      <w:divBdr>
        <w:top w:val="none" w:sz="0" w:space="0" w:color="auto"/>
        <w:left w:val="none" w:sz="0" w:space="0" w:color="auto"/>
        <w:bottom w:val="none" w:sz="0" w:space="0" w:color="auto"/>
        <w:right w:val="none" w:sz="0" w:space="0" w:color="auto"/>
      </w:divBdr>
    </w:div>
    <w:div w:id="1079865795">
      <w:bodyDiv w:val="1"/>
      <w:marLeft w:val="0"/>
      <w:marRight w:val="0"/>
      <w:marTop w:val="0"/>
      <w:marBottom w:val="0"/>
      <w:divBdr>
        <w:top w:val="none" w:sz="0" w:space="0" w:color="auto"/>
        <w:left w:val="none" w:sz="0" w:space="0" w:color="auto"/>
        <w:bottom w:val="none" w:sz="0" w:space="0" w:color="auto"/>
        <w:right w:val="none" w:sz="0" w:space="0" w:color="auto"/>
      </w:divBdr>
    </w:div>
    <w:div w:id="1105812108">
      <w:bodyDiv w:val="1"/>
      <w:marLeft w:val="0"/>
      <w:marRight w:val="0"/>
      <w:marTop w:val="0"/>
      <w:marBottom w:val="0"/>
      <w:divBdr>
        <w:top w:val="none" w:sz="0" w:space="0" w:color="auto"/>
        <w:left w:val="none" w:sz="0" w:space="0" w:color="auto"/>
        <w:bottom w:val="none" w:sz="0" w:space="0" w:color="auto"/>
        <w:right w:val="none" w:sz="0" w:space="0" w:color="auto"/>
      </w:divBdr>
    </w:div>
    <w:div w:id="1126579621">
      <w:bodyDiv w:val="1"/>
      <w:marLeft w:val="0"/>
      <w:marRight w:val="0"/>
      <w:marTop w:val="0"/>
      <w:marBottom w:val="0"/>
      <w:divBdr>
        <w:top w:val="none" w:sz="0" w:space="0" w:color="auto"/>
        <w:left w:val="none" w:sz="0" w:space="0" w:color="auto"/>
        <w:bottom w:val="none" w:sz="0" w:space="0" w:color="auto"/>
        <w:right w:val="none" w:sz="0" w:space="0" w:color="auto"/>
      </w:divBdr>
    </w:div>
    <w:div w:id="1138835238">
      <w:bodyDiv w:val="1"/>
      <w:marLeft w:val="0"/>
      <w:marRight w:val="0"/>
      <w:marTop w:val="0"/>
      <w:marBottom w:val="0"/>
      <w:divBdr>
        <w:top w:val="none" w:sz="0" w:space="0" w:color="auto"/>
        <w:left w:val="none" w:sz="0" w:space="0" w:color="auto"/>
        <w:bottom w:val="none" w:sz="0" w:space="0" w:color="auto"/>
        <w:right w:val="none" w:sz="0" w:space="0" w:color="auto"/>
      </w:divBdr>
    </w:div>
    <w:div w:id="1157115319">
      <w:bodyDiv w:val="1"/>
      <w:marLeft w:val="0"/>
      <w:marRight w:val="0"/>
      <w:marTop w:val="0"/>
      <w:marBottom w:val="0"/>
      <w:divBdr>
        <w:top w:val="none" w:sz="0" w:space="0" w:color="auto"/>
        <w:left w:val="none" w:sz="0" w:space="0" w:color="auto"/>
        <w:bottom w:val="none" w:sz="0" w:space="0" w:color="auto"/>
        <w:right w:val="none" w:sz="0" w:space="0" w:color="auto"/>
      </w:divBdr>
    </w:div>
    <w:div w:id="1184594853">
      <w:bodyDiv w:val="1"/>
      <w:marLeft w:val="0"/>
      <w:marRight w:val="0"/>
      <w:marTop w:val="0"/>
      <w:marBottom w:val="0"/>
      <w:divBdr>
        <w:top w:val="none" w:sz="0" w:space="0" w:color="auto"/>
        <w:left w:val="none" w:sz="0" w:space="0" w:color="auto"/>
        <w:bottom w:val="none" w:sz="0" w:space="0" w:color="auto"/>
        <w:right w:val="none" w:sz="0" w:space="0" w:color="auto"/>
      </w:divBdr>
    </w:div>
    <w:div w:id="1187908202">
      <w:bodyDiv w:val="1"/>
      <w:marLeft w:val="0"/>
      <w:marRight w:val="0"/>
      <w:marTop w:val="0"/>
      <w:marBottom w:val="0"/>
      <w:divBdr>
        <w:top w:val="none" w:sz="0" w:space="0" w:color="auto"/>
        <w:left w:val="none" w:sz="0" w:space="0" w:color="auto"/>
        <w:bottom w:val="none" w:sz="0" w:space="0" w:color="auto"/>
        <w:right w:val="none" w:sz="0" w:space="0" w:color="auto"/>
      </w:divBdr>
    </w:div>
    <w:div w:id="1264412658">
      <w:bodyDiv w:val="1"/>
      <w:marLeft w:val="0"/>
      <w:marRight w:val="0"/>
      <w:marTop w:val="0"/>
      <w:marBottom w:val="0"/>
      <w:divBdr>
        <w:top w:val="none" w:sz="0" w:space="0" w:color="auto"/>
        <w:left w:val="none" w:sz="0" w:space="0" w:color="auto"/>
        <w:bottom w:val="none" w:sz="0" w:space="0" w:color="auto"/>
        <w:right w:val="none" w:sz="0" w:space="0" w:color="auto"/>
      </w:divBdr>
    </w:div>
    <w:div w:id="1278022590">
      <w:bodyDiv w:val="1"/>
      <w:marLeft w:val="0"/>
      <w:marRight w:val="0"/>
      <w:marTop w:val="0"/>
      <w:marBottom w:val="0"/>
      <w:divBdr>
        <w:top w:val="none" w:sz="0" w:space="0" w:color="auto"/>
        <w:left w:val="none" w:sz="0" w:space="0" w:color="auto"/>
        <w:bottom w:val="none" w:sz="0" w:space="0" w:color="auto"/>
        <w:right w:val="none" w:sz="0" w:space="0" w:color="auto"/>
      </w:divBdr>
    </w:div>
    <w:div w:id="1322393335">
      <w:bodyDiv w:val="1"/>
      <w:marLeft w:val="0"/>
      <w:marRight w:val="0"/>
      <w:marTop w:val="0"/>
      <w:marBottom w:val="0"/>
      <w:divBdr>
        <w:top w:val="none" w:sz="0" w:space="0" w:color="auto"/>
        <w:left w:val="none" w:sz="0" w:space="0" w:color="auto"/>
        <w:bottom w:val="none" w:sz="0" w:space="0" w:color="auto"/>
        <w:right w:val="none" w:sz="0" w:space="0" w:color="auto"/>
      </w:divBdr>
    </w:div>
    <w:div w:id="1324747161">
      <w:bodyDiv w:val="1"/>
      <w:marLeft w:val="0"/>
      <w:marRight w:val="0"/>
      <w:marTop w:val="0"/>
      <w:marBottom w:val="0"/>
      <w:divBdr>
        <w:top w:val="none" w:sz="0" w:space="0" w:color="auto"/>
        <w:left w:val="none" w:sz="0" w:space="0" w:color="auto"/>
        <w:bottom w:val="none" w:sz="0" w:space="0" w:color="auto"/>
        <w:right w:val="none" w:sz="0" w:space="0" w:color="auto"/>
      </w:divBdr>
    </w:div>
    <w:div w:id="1389526761">
      <w:bodyDiv w:val="1"/>
      <w:marLeft w:val="0"/>
      <w:marRight w:val="0"/>
      <w:marTop w:val="0"/>
      <w:marBottom w:val="0"/>
      <w:divBdr>
        <w:top w:val="none" w:sz="0" w:space="0" w:color="auto"/>
        <w:left w:val="none" w:sz="0" w:space="0" w:color="auto"/>
        <w:bottom w:val="none" w:sz="0" w:space="0" w:color="auto"/>
        <w:right w:val="none" w:sz="0" w:space="0" w:color="auto"/>
      </w:divBdr>
    </w:div>
    <w:div w:id="1410931911">
      <w:bodyDiv w:val="1"/>
      <w:marLeft w:val="0"/>
      <w:marRight w:val="0"/>
      <w:marTop w:val="0"/>
      <w:marBottom w:val="0"/>
      <w:divBdr>
        <w:top w:val="none" w:sz="0" w:space="0" w:color="auto"/>
        <w:left w:val="none" w:sz="0" w:space="0" w:color="auto"/>
        <w:bottom w:val="none" w:sz="0" w:space="0" w:color="auto"/>
        <w:right w:val="none" w:sz="0" w:space="0" w:color="auto"/>
      </w:divBdr>
    </w:div>
    <w:div w:id="1461459086">
      <w:bodyDiv w:val="1"/>
      <w:marLeft w:val="0"/>
      <w:marRight w:val="0"/>
      <w:marTop w:val="0"/>
      <w:marBottom w:val="0"/>
      <w:divBdr>
        <w:top w:val="none" w:sz="0" w:space="0" w:color="auto"/>
        <w:left w:val="none" w:sz="0" w:space="0" w:color="auto"/>
        <w:bottom w:val="none" w:sz="0" w:space="0" w:color="auto"/>
        <w:right w:val="none" w:sz="0" w:space="0" w:color="auto"/>
      </w:divBdr>
    </w:div>
    <w:div w:id="1505634470">
      <w:bodyDiv w:val="1"/>
      <w:marLeft w:val="0"/>
      <w:marRight w:val="0"/>
      <w:marTop w:val="0"/>
      <w:marBottom w:val="0"/>
      <w:divBdr>
        <w:top w:val="none" w:sz="0" w:space="0" w:color="auto"/>
        <w:left w:val="none" w:sz="0" w:space="0" w:color="auto"/>
        <w:bottom w:val="none" w:sz="0" w:space="0" w:color="auto"/>
        <w:right w:val="none" w:sz="0" w:space="0" w:color="auto"/>
      </w:divBdr>
    </w:div>
    <w:div w:id="1555656781">
      <w:bodyDiv w:val="1"/>
      <w:marLeft w:val="0"/>
      <w:marRight w:val="0"/>
      <w:marTop w:val="0"/>
      <w:marBottom w:val="0"/>
      <w:divBdr>
        <w:top w:val="none" w:sz="0" w:space="0" w:color="auto"/>
        <w:left w:val="none" w:sz="0" w:space="0" w:color="auto"/>
        <w:bottom w:val="none" w:sz="0" w:space="0" w:color="auto"/>
        <w:right w:val="none" w:sz="0" w:space="0" w:color="auto"/>
      </w:divBdr>
    </w:div>
    <w:div w:id="1557206442">
      <w:bodyDiv w:val="1"/>
      <w:marLeft w:val="0"/>
      <w:marRight w:val="0"/>
      <w:marTop w:val="0"/>
      <w:marBottom w:val="0"/>
      <w:divBdr>
        <w:top w:val="none" w:sz="0" w:space="0" w:color="auto"/>
        <w:left w:val="none" w:sz="0" w:space="0" w:color="auto"/>
        <w:bottom w:val="none" w:sz="0" w:space="0" w:color="auto"/>
        <w:right w:val="none" w:sz="0" w:space="0" w:color="auto"/>
      </w:divBdr>
    </w:div>
    <w:div w:id="1558517023">
      <w:bodyDiv w:val="1"/>
      <w:marLeft w:val="0"/>
      <w:marRight w:val="0"/>
      <w:marTop w:val="0"/>
      <w:marBottom w:val="0"/>
      <w:divBdr>
        <w:top w:val="none" w:sz="0" w:space="0" w:color="auto"/>
        <w:left w:val="none" w:sz="0" w:space="0" w:color="auto"/>
        <w:bottom w:val="none" w:sz="0" w:space="0" w:color="auto"/>
        <w:right w:val="none" w:sz="0" w:space="0" w:color="auto"/>
      </w:divBdr>
    </w:div>
    <w:div w:id="1578242451">
      <w:bodyDiv w:val="1"/>
      <w:marLeft w:val="0"/>
      <w:marRight w:val="0"/>
      <w:marTop w:val="0"/>
      <w:marBottom w:val="0"/>
      <w:divBdr>
        <w:top w:val="none" w:sz="0" w:space="0" w:color="auto"/>
        <w:left w:val="none" w:sz="0" w:space="0" w:color="auto"/>
        <w:bottom w:val="none" w:sz="0" w:space="0" w:color="auto"/>
        <w:right w:val="none" w:sz="0" w:space="0" w:color="auto"/>
      </w:divBdr>
    </w:div>
    <w:div w:id="1606383126">
      <w:bodyDiv w:val="1"/>
      <w:marLeft w:val="0"/>
      <w:marRight w:val="0"/>
      <w:marTop w:val="0"/>
      <w:marBottom w:val="0"/>
      <w:divBdr>
        <w:top w:val="none" w:sz="0" w:space="0" w:color="auto"/>
        <w:left w:val="none" w:sz="0" w:space="0" w:color="auto"/>
        <w:bottom w:val="none" w:sz="0" w:space="0" w:color="auto"/>
        <w:right w:val="none" w:sz="0" w:space="0" w:color="auto"/>
      </w:divBdr>
    </w:div>
    <w:div w:id="1624920383">
      <w:bodyDiv w:val="1"/>
      <w:marLeft w:val="0"/>
      <w:marRight w:val="0"/>
      <w:marTop w:val="0"/>
      <w:marBottom w:val="0"/>
      <w:divBdr>
        <w:top w:val="none" w:sz="0" w:space="0" w:color="auto"/>
        <w:left w:val="none" w:sz="0" w:space="0" w:color="auto"/>
        <w:bottom w:val="none" w:sz="0" w:space="0" w:color="auto"/>
        <w:right w:val="none" w:sz="0" w:space="0" w:color="auto"/>
      </w:divBdr>
    </w:div>
    <w:div w:id="1627156889">
      <w:bodyDiv w:val="1"/>
      <w:marLeft w:val="0"/>
      <w:marRight w:val="0"/>
      <w:marTop w:val="0"/>
      <w:marBottom w:val="0"/>
      <w:divBdr>
        <w:top w:val="none" w:sz="0" w:space="0" w:color="auto"/>
        <w:left w:val="none" w:sz="0" w:space="0" w:color="auto"/>
        <w:bottom w:val="none" w:sz="0" w:space="0" w:color="auto"/>
        <w:right w:val="none" w:sz="0" w:space="0" w:color="auto"/>
      </w:divBdr>
    </w:div>
    <w:div w:id="1636370108">
      <w:bodyDiv w:val="1"/>
      <w:marLeft w:val="0"/>
      <w:marRight w:val="0"/>
      <w:marTop w:val="0"/>
      <w:marBottom w:val="0"/>
      <w:divBdr>
        <w:top w:val="none" w:sz="0" w:space="0" w:color="auto"/>
        <w:left w:val="none" w:sz="0" w:space="0" w:color="auto"/>
        <w:bottom w:val="none" w:sz="0" w:space="0" w:color="auto"/>
        <w:right w:val="none" w:sz="0" w:space="0" w:color="auto"/>
      </w:divBdr>
    </w:div>
    <w:div w:id="1659073843">
      <w:bodyDiv w:val="1"/>
      <w:marLeft w:val="0"/>
      <w:marRight w:val="0"/>
      <w:marTop w:val="0"/>
      <w:marBottom w:val="0"/>
      <w:divBdr>
        <w:top w:val="none" w:sz="0" w:space="0" w:color="auto"/>
        <w:left w:val="none" w:sz="0" w:space="0" w:color="auto"/>
        <w:bottom w:val="none" w:sz="0" w:space="0" w:color="auto"/>
        <w:right w:val="none" w:sz="0" w:space="0" w:color="auto"/>
      </w:divBdr>
    </w:div>
    <w:div w:id="1666587747">
      <w:bodyDiv w:val="1"/>
      <w:marLeft w:val="0"/>
      <w:marRight w:val="0"/>
      <w:marTop w:val="0"/>
      <w:marBottom w:val="0"/>
      <w:divBdr>
        <w:top w:val="none" w:sz="0" w:space="0" w:color="auto"/>
        <w:left w:val="none" w:sz="0" w:space="0" w:color="auto"/>
        <w:bottom w:val="none" w:sz="0" w:space="0" w:color="auto"/>
        <w:right w:val="none" w:sz="0" w:space="0" w:color="auto"/>
      </w:divBdr>
    </w:div>
    <w:div w:id="1677344548">
      <w:bodyDiv w:val="1"/>
      <w:marLeft w:val="0"/>
      <w:marRight w:val="0"/>
      <w:marTop w:val="0"/>
      <w:marBottom w:val="0"/>
      <w:divBdr>
        <w:top w:val="none" w:sz="0" w:space="0" w:color="auto"/>
        <w:left w:val="none" w:sz="0" w:space="0" w:color="auto"/>
        <w:bottom w:val="none" w:sz="0" w:space="0" w:color="auto"/>
        <w:right w:val="none" w:sz="0" w:space="0" w:color="auto"/>
      </w:divBdr>
    </w:div>
    <w:div w:id="1680308326">
      <w:bodyDiv w:val="1"/>
      <w:marLeft w:val="0"/>
      <w:marRight w:val="0"/>
      <w:marTop w:val="0"/>
      <w:marBottom w:val="0"/>
      <w:divBdr>
        <w:top w:val="none" w:sz="0" w:space="0" w:color="auto"/>
        <w:left w:val="none" w:sz="0" w:space="0" w:color="auto"/>
        <w:bottom w:val="none" w:sz="0" w:space="0" w:color="auto"/>
        <w:right w:val="none" w:sz="0" w:space="0" w:color="auto"/>
      </w:divBdr>
    </w:div>
    <w:div w:id="1695888387">
      <w:bodyDiv w:val="1"/>
      <w:marLeft w:val="0"/>
      <w:marRight w:val="0"/>
      <w:marTop w:val="0"/>
      <w:marBottom w:val="0"/>
      <w:divBdr>
        <w:top w:val="none" w:sz="0" w:space="0" w:color="auto"/>
        <w:left w:val="none" w:sz="0" w:space="0" w:color="auto"/>
        <w:bottom w:val="none" w:sz="0" w:space="0" w:color="auto"/>
        <w:right w:val="none" w:sz="0" w:space="0" w:color="auto"/>
      </w:divBdr>
    </w:div>
    <w:div w:id="1710842191">
      <w:bodyDiv w:val="1"/>
      <w:marLeft w:val="0"/>
      <w:marRight w:val="0"/>
      <w:marTop w:val="0"/>
      <w:marBottom w:val="0"/>
      <w:divBdr>
        <w:top w:val="none" w:sz="0" w:space="0" w:color="auto"/>
        <w:left w:val="none" w:sz="0" w:space="0" w:color="auto"/>
        <w:bottom w:val="none" w:sz="0" w:space="0" w:color="auto"/>
        <w:right w:val="none" w:sz="0" w:space="0" w:color="auto"/>
      </w:divBdr>
    </w:div>
    <w:div w:id="1770419393">
      <w:bodyDiv w:val="1"/>
      <w:marLeft w:val="0"/>
      <w:marRight w:val="0"/>
      <w:marTop w:val="0"/>
      <w:marBottom w:val="0"/>
      <w:divBdr>
        <w:top w:val="none" w:sz="0" w:space="0" w:color="auto"/>
        <w:left w:val="none" w:sz="0" w:space="0" w:color="auto"/>
        <w:bottom w:val="none" w:sz="0" w:space="0" w:color="auto"/>
        <w:right w:val="none" w:sz="0" w:space="0" w:color="auto"/>
      </w:divBdr>
    </w:div>
    <w:div w:id="1772773223">
      <w:bodyDiv w:val="1"/>
      <w:marLeft w:val="0"/>
      <w:marRight w:val="0"/>
      <w:marTop w:val="0"/>
      <w:marBottom w:val="0"/>
      <w:divBdr>
        <w:top w:val="none" w:sz="0" w:space="0" w:color="auto"/>
        <w:left w:val="none" w:sz="0" w:space="0" w:color="auto"/>
        <w:bottom w:val="none" w:sz="0" w:space="0" w:color="auto"/>
        <w:right w:val="none" w:sz="0" w:space="0" w:color="auto"/>
      </w:divBdr>
    </w:div>
    <w:div w:id="1797139914">
      <w:bodyDiv w:val="1"/>
      <w:marLeft w:val="0"/>
      <w:marRight w:val="0"/>
      <w:marTop w:val="0"/>
      <w:marBottom w:val="0"/>
      <w:divBdr>
        <w:top w:val="none" w:sz="0" w:space="0" w:color="auto"/>
        <w:left w:val="none" w:sz="0" w:space="0" w:color="auto"/>
        <w:bottom w:val="none" w:sz="0" w:space="0" w:color="auto"/>
        <w:right w:val="none" w:sz="0" w:space="0" w:color="auto"/>
      </w:divBdr>
    </w:div>
    <w:div w:id="1845129265">
      <w:bodyDiv w:val="1"/>
      <w:marLeft w:val="0"/>
      <w:marRight w:val="0"/>
      <w:marTop w:val="0"/>
      <w:marBottom w:val="0"/>
      <w:divBdr>
        <w:top w:val="none" w:sz="0" w:space="0" w:color="auto"/>
        <w:left w:val="none" w:sz="0" w:space="0" w:color="auto"/>
        <w:bottom w:val="none" w:sz="0" w:space="0" w:color="auto"/>
        <w:right w:val="none" w:sz="0" w:space="0" w:color="auto"/>
      </w:divBdr>
    </w:div>
    <w:div w:id="1883440544">
      <w:bodyDiv w:val="1"/>
      <w:marLeft w:val="0"/>
      <w:marRight w:val="0"/>
      <w:marTop w:val="0"/>
      <w:marBottom w:val="0"/>
      <w:divBdr>
        <w:top w:val="none" w:sz="0" w:space="0" w:color="auto"/>
        <w:left w:val="none" w:sz="0" w:space="0" w:color="auto"/>
        <w:bottom w:val="none" w:sz="0" w:space="0" w:color="auto"/>
        <w:right w:val="none" w:sz="0" w:space="0" w:color="auto"/>
      </w:divBdr>
    </w:div>
    <w:div w:id="1894273897">
      <w:bodyDiv w:val="1"/>
      <w:marLeft w:val="0"/>
      <w:marRight w:val="0"/>
      <w:marTop w:val="0"/>
      <w:marBottom w:val="0"/>
      <w:divBdr>
        <w:top w:val="none" w:sz="0" w:space="0" w:color="auto"/>
        <w:left w:val="none" w:sz="0" w:space="0" w:color="auto"/>
        <w:bottom w:val="none" w:sz="0" w:space="0" w:color="auto"/>
        <w:right w:val="none" w:sz="0" w:space="0" w:color="auto"/>
      </w:divBdr>
    </w:div>
    <w:div w:id="1913153088">
      <w:bodyDiv w:val="1"/>
      <w:marLeft w:val="0"/>
      <w:marRight w:val="0"/>
      <w:marTop w:val="0"/>
      <w:marBottom w:val="0"/>
      <w:divBdr>
        <w:top w:val="none" w:sz="0" w:space="0" w:color="auto"/>
        <w:left w:val="none" w:sz="0" w:space="0" w:color="auto"/>
        <w:bottom w:val="none" w:sz="0" w:space="0" w:color="auto"/>
        <w:right w:val="none" w:sz="0" w:space="0" w:color="auto"/>
      </w:divBdr>
    </w:div>
    <w:div w:id="1928004718">
      <w:bodyDiv w:val="1"/>
      <w:marLeft w:val="0"/>
      <w:marRight w:val="0"/>
      <w:marTop w:val="0"/>
      <w:marBottom w:val="0"/>
      <w:divBdr>
        <w:top w:val="none" w:sz="0" w:space="0" w:color="auto"/>
        <w:left w:val="none" w:sz="0" w:space="0" w:color="auto"/>
        <w:bottom w:val="none" w:sz="0" w:space="0" w:color="auto"/>
        <w:right w:val="none" w:sz="0" w:space="0" w:color="auto"/>
      </w:divBdr>
    </w:div>
    <w:div w:id="1933052789">
      <w:bodyDiv w:val="1"/>
      <w:marLeft w:val="0"/>
      <w:marRight w:val="0"/>
      <w:marTop w:val="0"/>
      <w:marBottom w:val="0"/>
      <w:divBdr>
        <w:top w:val="none" w:sz="0" w:space="0" w:color="auto"/>
        <w:left w:val="none" w:sz="0" w:space="0" w:color="auto"/>
        <w:bottom w:val="none" w:sz="0" w:space="0" w:color="auto"/>
        <w:right w:val="none" w:sz="0" w:space="0" w:color="auto"/>
      </w:divBdr>
    </w:div>
    <w:div w:id="1942761907">
      <w:bodyDiv w:val="1"/>
      <w:marLeft w:val="0"/>
      <w:marRight w:val="0"/>
      <w:marTop w:val="0"/>
      <w:marBottom w:val="0"/>
      <w:divBdr>
        <w:top w:val="none" w:sz="0" w:space="0" w:color="auto"/>
        <w:left w:val="none" w:sz="0" w:space="0" w:color="auto"/>
        <w:bottom w:val="none" w:sz="0" w:space="0" w:color="auto"/>
        <w:right w:val="none" w:sz="0" w:space="0" w:color="auto"/>
      </w:divBdr>
    </w:div>
    <w:div w:id="1954550740">
      <w:bodyDiv w:val="1"/>
      <w:marLeft w:val="0"/>
      <w:marRight w:val="0"/>
      <w:marTop w:val="0"/>
      <w:marBottom w:val="0"/>
      <w:divBdr>
        <w:top w:val="none" w:sz="0" w:space="0" w:color="auto"/>
        <w:left w:val="none" w:sz="0" w:space="0" w:color="auto"/>
        <w:bottom w:val="none" w:sz="0" w:space="0" w:color="auto"/>
        <w:right w:val="none" w:sz="0" w:space="0" w:color="auto"/>
      </w:divBdr>
    </w:div>
    <w:div w:id="1972665655">
      <w:bodyDiv w:val="1"/>
      <w:marLeft w:val="0"/>
      <w:marRight w:val="0"/>
      <w:marTop w:val="0"/>
      <w:marBottom w:val="0"/>
      <w:divBdr>
        <w:top w:val="none" w:sz="0" w:space="0" w:color="auto"/>
        <w:left w:val="none" w:sz="0" w:space="0" w:color="auto"/>
        <w:bottom w:val="none" w:sz="0" w:space="0" w:color="auto"/>
        <w:right w:val="none" w:sz="0" w:space="0" w:color="auto"/>
      </w:divBdr>
    </w:div>
    <w:div w:id="1975788667">
      <w:bodyDiv w:val="1"/>
      <w:marLeft w:val="0"/>
      <w:marRight w:val="0"/>
      <w:marTop w:val="0"/>
      <w:marBottom w:val="0"/>
      <w:divBdr>
        <w:top w:val="none" w:sz="0" w:space="0" w:color="auto"/>
        <w:left w:val="none" w:sz="0" w:space="0" w:color="auto"/>
        <w:bottom w:val="none" w:sz="0" w:space="0" w:color="auto"/>
        <w:right w:val="none" w:sz="0" w:space="0" w:color="auto"/>
      </w:divBdr>
    </w:div>
    <w:div w:id="1990866438">
      <w:bodyDiv w:val="1"/>
      <w:marLeft w:val="0"/>
      <w:marRight w:val="0"/>
      <w:marTop w:val="0"/>
      <w:marBottom w:val="0"/>
      <w:divBdr>
        <w:top w:val="none" w:sz="0" w:space="0" w:color="auto"/>
        <w:left w:val="none" w:sz="0" w:space="0" w:color="auto"/>
        <w:bottom w:val="none" w:sz="0" w:space="0" w:color="auto"/>
        <w:right w:val="none" w:sz="0" w:space="0" w:color="auto"/>
      </w:divBdr>
    </w:div>
    <w:div w:id="2006669789">
      <w:bodyDiv w:val="1"/>
      <w:marLeft w:val="0"/>
      <w:marRight w:val="0"/>
      <w:marTop w:val="0"/>
      <w:marBottom w:val="0"/>
      <w:divBdr>
        <w:top w:val="none" w:sz="0" w:space="0" w:color="auto"/>
        <w:left w:val="none" w:sz="0" w:space="0" w:color="auto"/>
        <w:bottom w:val="none" w:sz="0" w:space="0" w:color="auto"/>
        <w:right w:val="none" w:sz="0" w:space="0" w:color="auto"/>
      </w:divBdr>
    </w:div>
    <w:div w:id="2008362294">
      <w:bodyDiv w:val="1"/>
      <w:marLeft w:val="0"/>
      <w:marRight w:val="0"/>
      <w:marTop w:val="0"/>
      <w:marBottom w:val="0"/>
      <w:divBdr>
        <w:top w:val="none" w:sz="0" w:space="0" w:color="auto"/>
        <w:left w:val="none" w:sz="0" w:space="0" w:color="auto"/>
        <w:bottom w:val="none" w:sz="0" w:space="0" w:color="auto"/>
        <w:right w:val="none" w:sz="0" w:space="0" w:color="auto"/>
      </w:divBdr>
    </w:div>
    <w:div w:id="2025934065">
      <w:bodyDiv w:val="1"/>
      <w:marLeft w:val="0"/>
      <w:marRight w:val="0"/>
      <w:marTop w:val="0"/>
      <w:marBottom w:val="0"/>
      <w:divBdr>
        <w:top w:val="none" w:sz="0" w:space="0" w:color="auto"/>
        <w:left w:val="none" w:sz="0" w:space="0" w:color="auto"/>
        <w:bottom w:val="none" w:sz="0" w:space="0" w:color="auto"/>
        <w:right w:val="none" w:sz="0" w:space="0" w:color="auto"/>
      </w:divBdr>
    </w:div>
    <w:div w:id="2030646036">
      <w:bodyDiv w:val="1"/>
      <w:marLeft w:val="0"/>
      <w:marRight w:val="0"/>
      <w:marTop w:val="0"/>
      <w:marBottom w:val="0"/>
      <w:divBdr>
        <w:top w:val="none" w:sz="0" w:space="0" w:color="auto"/>
        <w:left w:val="none" w:sz="0" w:space="0" w:color="auto"/>
        <w:bottom w:val="none" w:sz="0" w:space="0" w:color="auto"/>
        <w:right w:val="none" w:sz="0" w:space="0" w:color="auto"/>
      </w:divBdr>
    </w:div>
    <w:div w:id="2030989854">
      <w:bodyDiv w:val="1"/>
      <w:marLeft w:val="0"/>
      <w:marRight w:val="0"/>
      <w:marTop w:val="0"/>
      <w:marBottom w:val="0"/>
      <w:divBdr>
        <w:top w:val="none" w:sz="0" w:space="0" w:color="auto"/>
        <w:left w:val="none" w:sz="0" w:space="0" w:color="auto"/>
        <w:bottom w:val="none" w:sz="0" w:space="0" w:color="auto"/>
        <w:right w:val="none" w:sz="0" w:space="0" w:color="auto"/>
      </w:divBdr>
    </w:div>
    <w:div w:id="2033264408">
      <w:bodyDiv w:val="1"/>
      <w:marLeft w:val="0"/>
      <w:marRight w:val="0"/>
      <w:marTop w:val="0"/>
      <w:marBottom w:val="0"/>
      <w:divBdr>
        <w:top w:val="none" w:sz="0" w:space="0" w:color="auto"/>
        <w:left w:val="none" w:sz="0" w:space="0" w:color="auto"/>
        <w:bottom w:val="none" w:sz="0" w:space="0" w:color="auto"/>
        <w:right w:val="none" w:sz="0" w:space="0" w:color="auto"/>
      </w:divBdr>
    </w:div>
    <w:div w:id="2062055149">
      <w:bodyDiv w:val="1"/>
      <w:marLeft w:val="0"/>
      <w:marRight w:val="0"/>
      <w:marTop w:val="0"/>
      <w:marBottom w:val="0"/>
      <w:divBdr>
        <w:top w:val="none" w:sz="0" w:space="0" w:color="auto"/>
        <w:left w:val="none" w:sz="0" w:space="0" w:color="auto"/>
        <w:bottom w:val="none" w:sz="0" w:space="0" w:color="auto"/>
        <w:right w:val="none" w:sz="0" w:space="0" w:color="auto"/>
      </w:divBdr>
    </w:div>
    <w:div w:id="2102336025">
      <w:bodyDiv w:val="1"/>
      <w:marLeft w:val="0"/>
      <w:marRight w:val="0"/>
      <w:marTop w:val="0"/>
      <w:marBottom w:val="0"/>
      <w:divBdr>
        <w:top w:val="none" w:sz="0" w:space="0" w:color="auto"/>
        <w:left w:val="none" w:sz="0" w:space="0" w:color="auto"/>
        <w:bottom w:val="none" w:sz="0" w:space="0" w:color="auto"/>
        <w:right w:val="none" w:sz="0" w:space="0" w:color="auto"/>
      </w:divBdr>
    </w:div>
    <w:div w:id="2120485186">
      <w:bodyDiv w:val="1"/>
      <w:marLeft w:val="0"/>
      <w:marRight w:val="0"/>
      <w:marTop w:val="0"/>
      <w:marBottom w:val="0"/>
      <w:divBdr>
        <w:top w:val="none" w:sz="0" w:space="0" w:color="auto"/>
        <w:left w:val="none" w:sz="0" w:space="0" w:color="auto"/>
        <w:bottom w:val="none" w:sz="0" w:space="0" w:color="auto"/>
        <w:right w:val="none" w:sz="0" w:space="0" w:color="auto"/>
      </w:divBdr>
    </w:div>
    <w:div w:id="2128617349">
      <w:bodyDiv w:val="1"/>
      <w:marLeft w:val="0"/>
      <w:marRight w:val="0"/>
      <w:marTop w:val="0"/>
      <w:marBottom w:val="0"/>
      <w:divBdr>
        <w:top w:val="none" w:sz="0" w:space="0" w:color="auto"/>
        <w:left w:val="none" w:sz="0" w:space="0" w:color="auto"/>
        <w:bottom w:val="none" w:sz="0" w:space="0" w:color="auto"/>
        <w:right w:val="none" w:sz="0" w:space="0" w:color="auto"/>
      </w:divBdr>
    </w:div>
    <w:div w:id="21408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file:///\\lxsfspd1\sasdata\Production\SAM\11%20Hospital%20Care\Acute%20Readmission\20240424%20Check%20PCCL's%20effect%20in%20model\The%20reason%20for%20removing%20PCCL%20from%20the%20readmission%20predictor%20list%20V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erdana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Com14</b:Tag>
    <b:SourceType>DocumentFromInternetSite</b:SourceType>
    <b:Guid>{CF3EB92B-9E8A-4DB0-89F4-2600706313D5}</b:Guid>
    <b:Author>
      <b:Author>
        <b:Corporate>Common Counting Technical Advisory Group and Ministry of Health</b:Corporate>
      </b:Author>
    </b:Author>
    <b:Title>Common Counting Standards 2013–14</b:Title>
    <b:InternetSiteTitle>Nationwide Service Framework Library</b:InternetSiteTitle>
    <b:Year>2014</b:Year>
    <b:Month>January</b:Month>
    <b:URL>http://nsfl.health.govt.nz/purchase-units/common-counting-standards-2013%E2%80%9314</b:URL>
    <b:YearAccessed>2016</b:YearAccessed>
    <b:MonthAccessed>April</b:MonthAccessed>
    <b:DayAccessed>22</b:DayAccessed>
    <b:RefOrder>1</b:RefOrder>
  </b:Source>
  <b:Source>
    <b:Tag>Per15</b:Tag>
    <b:SourceType>DocumentFromInternetSite</b:SourceType>
    <b:Guid>{6E477860-07B3-44B3-82B2-5C948216F40A}</b:Guid>
    <b:Title>Performance measures for 2015/16</b:Title>
    <b:InternetSiteTitle>Nationwide Service Framework Library</b:InternetSiteTitle>
    <b:Year>2015</b:Year>
    <b:Month>December</b:Month>
    <b:URL>http://nsfl.health.govt.nz/accountability/performance-and-monitoring/performance-measures/performance-measures-201516</b:URL>
    <b:YearAccessed>2016</b:YearAccessed>
    <b:MonthAccessed>April</b:MonthAccessed>
    <b:DayAccessed>22</b:DayAccessed>
    <b:Author>
      <b:Author>
        <b:Corporate>Ministry of Health</b:Corporate>
      </b:Author>
    </b:Author>
    <b:RefOrder>2</b:RefOrder>
  </b:Source>
  <b:Source>
    <b:Tag>Min15</b:Tag>
    <b:SourceType>DocumentFromInternetSite</b:SourceType>
    <b:Guid>{BD800C97-47E1-4656-9CD5-631EA20D2115}</b:Guid>
    <b:Title>WIESNZ14 cost weights</b:Title>
    <b:Year>2015</b:Year>
    <b:Author>
      <b:Author>
        <b:Corporate>Ministry of Health</b:Corporate>
      </b:Author>
    </b:Author>
    <b:Month>June</b:Month>
    <b:URL>http://www.health.govt.nz/nz-health-statistics/data-references/weighted-inlier-equivalent-separations/wiesnz14-cost-weights</b:URL>
    <b:RefOrder>3</b:RefOrder>
  </b:Source>
  <b:Source>
    <b:Tag>ISD10</b:Tag>
    <b:SourceType>InternetSite</b:SourceType>
    <b:Guid>{DEFA908C-D4CB-409C-97B0-87F31B3E7065}</b:Guid>
    <b:Title>Quality Measurement Framework - Hospital Standardised Mortality Ratios (HSMR)</b:Title>
    <b:Year>2010</b:Year>
    <b:Author>
      <b:Author>
        <b:Corporate>ISD Scotland</b:Corporate>
      </b:Author>
    </b:Author>
    <b:ProductionCompany>Information Services Division, NHS National Services</b:ProductionCompany>
    <b:URL>http://www.isdscotland.org/Health-Topics/Quality-Measurement-Framework/Hospital-Standardised-Mortality-Ratios/</b:URL>
    <b:RefOrder>4</b:RefOrder>
  </b:Source>
</b:Sources>
</file>

<file path=customXml/itemProps1.xml><?xml version="1.0" encoding="utf-8"?>
<ds:datastoreItem xmlns:ds="http://schemas.openxmlformats.org/officeDocument/2006/customXml" ds:itemID="{41682B10-2BE1-4809-83D8-2432897C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10509</Words>
  <Characters>59905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Keegan</dc:creator>
  <cp:keywords/>
  <dc:description/>
  <cp:lastModifiedBy>Feng Zhu</cp:lastModifiedBy>
  <cp:revision>4</cp:revision>
  <cp:lastPrinted>2016-11-29T02:25:00Z</cp:lastPrinted>
  <dcterms:created xsi:type="dcterms:W3CDTF">2024-07-30T23:41:00Z</dcterms:created>
  <dcterms:modified xsi:type="dcterms:W3CDTF">2024-07-30T23:47:00Z</dcterms:modified>
</cp:coreProperties>
</file>