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00056756" w:rsidR="00C86248" w:rsidRPr="00926083" w:rsidRDefault="00835945" w:rsidP="002B32BD">
      <w:pPr>
        <w:pStyle w:val="Title"/>
        <w:ind w:right="2835"/>
      </w:pPr>
      <w:bookmarkStart w:id="0" w:name="_Hlk174998204"/>
      <w:bookmarkEnd w:id="0"/>
      <w:r w:rsidRPr="00835945">
        <w:t>Strategy to Prevent and Minimise Gambling Harm 2025/26 to 2027/28</w:t>
      </w:r>
    </w:p>
    <w:p w14:paraId="2B4FAC6A" w14:textId="1A363B94" w:rsidR="00C05132" w:rsidRDefault="00835945" w:rsidP="00926083">
      <w:pPr>
        <w:pStyle w:val="Subhead"/>
      </w:pPr>
      <w:r w:rsidRPr="00835945">
        <w:t>Consultation document</w:t>
      </w:r>
    </w:p>
    <w:p w14:paraId="2A961E80" w14:textId="61B9A7CC" w:rsidR="00531E12" w:rsidRPr="00531E12" w:rsidRDefault="00835945" w:rsidP="00531E12">
      <w:pPr>
        <w:pStyle w:val="Year"/>
      </w:pPr>
      <w:r>
        <w:t>August 2024</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52EBBCA5"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835945">
        <w:rPr>
          <w:rFonts w:cs="Segoe UI"/>
        </w:rPr>
        <w:t>2024.</w:t>
      </w:r>
      <w:r w:rsidR="00442C1C" w:rsidRPr="00C05132">
        <w:rPr>
          <w:rFonts w:cs="Segoe UI"/>
        </w:rPr>
        <w:t xml:space="preserve"> </w:t>
      </w:r>
      <w:r w:rsidR="00835945" w:rsidRPr="00835945">
        <w:rPr>
          <w:rFonts w:cs="Segoe UI"/>
          <w:i/>
        </w:rPr>
        <w:t>Strategy to Prevent and Minimise Gambling Harm 2025/26 to 2027/28: Consultation document</w:t>
      </w:r>
      <w:r w:rsidR="00442C1C" w:rsidRPr="00C05132">
        <w:rPr>
          <w:rFonts w:cs="Segoe UI"/>
        </w:rPr>
        <w:t>. Wellington: Ministry of Health.</w:t>
      </w:r>
    </w:p>
    <w:p w14:paraId="7909192E" w14:textId="7BC5E019" w:rsidR="00C86248" w:rsidRDefault="00C86248">
      <w:pPr>
        <w:pStyle w:val="Imprint"/>
      </w:pPr>
      <w:r>
        <w:t xml:space="preserve">Published in </w:t>
      </w:r>
      <w:r w:rsidR="00835945">
        <w:t>August 2024</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38E122AB" w:rsidR="00082CD6" w:rsidRPr="009C0F2D" w:rsidRDefault="009A42D5" w:rsidP="00082CD6">
      <w:pPr>
        <w:pStyle w:val="Imprint"/>
      </w:pPr>
      <w:r w:rsidRPr="00835945">
        <w:rPr>
          <w:highlight w:val="yellow"/>
        </w:rPr>
        <w:br/>
      </w:r>
      <w:r w:rsidRPr="00BB241A">
        <w:t>ISBN</w:t>
      </w:r>
      <w:r w:rsidR="00B20765" w:rsidRPr="00BB241A">
        <w:t xml:space="preserve"> </w:t>
      </w:r>
      <w:r w:rsidR="00BB241A" w:rsidRPr="00BB241A">
        <w:rPr>
          <w:color w:val="000000"/>
        </w:rPr>
        <w:t>978-1-991075-90-1 </w:t>
      </w:r>
      <w:r w:rsidR="00082CD6" w:rsidRPr="00BB241A">
        <w:br/>
        <w:t xml:space="preserve">HP </w:t>
      </w:r>
      <w:r w:rsidR="00BB241A" w:rsidRPr="00BB241A">
        <w:t>9049</w:t>
      </w:r>
    </w:p>
    <w:p w14:paraId="48DBDA36" w14:textId="77777777" w:rsidR="00C86248" w:rsidRDefault="008C64C4" w:rsidP="00A63DFF">
      <w:r>
        <w:rPr>
          <w:noProof/>
          <w:lang w:eastAsia="en-NZ"/>
        </w:rPr>
        <w:drawing>
          <wp:inline distT="0" distB="0" distL="0" distR="0" wp14:anchorId="6EF4539D" wp14:editId="7EC1ED81">
            <wp:extent cx="1216825" cy="5762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36744758" w:rsidR="00A63DFF" w:rsidRDefault="00A63DFF" w:rsidP="00A63DFF">
      <w:pPr>
        <w:pStyle w:val="Imprint"/>
        <w:spacing w:before="240" w:after="480"/>
      </w:pPr>
      <w:r>
        <w:t>This document is available at health.govt.nz</w:t>
      </w:r>
      <w:r w:rsidR="00B2076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0F8774BA" w14:textId="629C38F0" w:rsidR="00032C0A" w:rsidRPr="000705B2" w:rsidRDefault="00835945" w:rsidP="00172194">
      <w:pPr>
        <w:pStyle w:val="Heading1"/>
        <w:rPr>
          <w:sz w:val="56"/>
          <w:szCs w:val="56"/>
        </w:rPr>
      </w:pPr>
      <w:bookmarkStart w:id="2" w:name="_Toc174634380"/>
      <w:bookmarkStart w:id="3" w:name="_Toc405792991"/>
      <w:bookmarkStart w:id="4" w:name="_Toc405793224"/>
      <w:r w:rsidRPr="000705B2">
        <w:rPr>
          <w:sz w:val="56"/>
          <w:szCs w:val="56"/>
        </w:rPr>
        <w:lastRenderedPageBreak/>
        <w:t>Foreword from the Minister for Mental Health</w:t>
      </w:r>
      <w:bookmarkEnd w:id="2"/>
    </w:p>
    <w:p w14:paraId="053B3B83" w14:textId="7C0D09A7" w:rsidR="002B32BD" w:rsidRPr="00F43509" w:rsidRDefault="002B32BD" w:rsidP="002B32BD">
      <w:pPr>
        <w:rPr>
          <w:spacing w:val="-5"/>
          <w:sz w:val="20"/>
        </w:rPr>
      </w:pPr>
      <w:r w:rsidRPr="00F43509">
        <w:rPr>
          <w:spacing w:val="-5"/>
          <w:sz w:val="20"/>
        </w:rPr>
        <w:t xml:space="preserve">It is a privilege to have been appointed as New Zealand’s first Minister for Mental Health, which includes responsibilities for addiction and preventing and minimising gambling-related harm. The Prime Minister’s establishment of this portfolio presents a real opportunity to focus our collective attention on an area that has often been considered secondary to physical health. </w:t>
      </w:r>
    </w:p>
    <w:p w14:paraId="1B3835B2" w14:textId="77777777" w:rsidR="002B32BD" w:rsidRPr="00F43509" w:rsidRDefault="002B32BD" w:rsidP="002B32BD">
      <w:pPr>
        <w:rPr>
          <w:spacing w:val="-5"/>
          <w:sz w:val="20"/>
        </w:rPr>
      </w:pPr>
    </w:p>
    <w:p w14:paraId="4C66D5E6" w14:textId="5670A20A" w:rsidR="002B32BD" w:rsidRPr="00F43509" w:rsidRDefault="002B32BD" w:rsidP="002B32BD">
      <w:pPr>
        <w:rPr>
          <w:spacing w:val="-5"/>
          <w:sz w:val="20"/>
        </w:rPr>
      </w:pPr>
      <w:r w:rsidRPr="00F43509">
        <w:rPr>
          <w:spacing w:val="-5"/>
          <w:sz w:val="20"/>
        </w:rPr>
        <w:t xml:space="preserve">But I have been very clear that simply creating a portfolio is meaningless unless we achieve results that improve the lives of New Zealanders. That’s why in my first few months, I have had a focus on understanding the state of mental health and addiction in this country, setting clear priorities, and establishing targets that will hold the health system to account. </w:t>
      </w:r>
    </w:p>
    <w:p w14:paraId="3A053233" w14:textId="77777777" w:rsidR="002B32BD" w:rsidRPr="00F43509" w:rsidRDefault="002B32BD" w:rsidP="002B32BD">
      <w:pPr>
        <w:rPr>
          <w:spacing w:val="-5"/>
          <w:sz w:val="20"/>
        </w:rPr>
      </w:pPr>
    </w:p>
    <w:p w14:paraId="2028B312" w14:textId="74639CD3" w:rsidR="002B32BD" w:rsidRPr="00F43509" w:rsidRDefault="002B32BD" w:rsidP="002B32BD">
      <w:pPr>
        <w:rPr>
          <w:spacing w:val="-5"/>
          <w:sz w:val="20"/>
        </w:rPr>
      </w:pPr>
      <w:r w:rsidRPr="00F43509">
        <w:rPr>
          <w:spacing w:val="-5"/>
          <w:sz w:val="20"/>
        </w:rPr>
        <w:t xml:space="preserve">I want to acknowledge that many New Zealanders enjoy gambling as a pastime without issue and that the associated activities make a strong contribution to our economy, for example the horse racing sector. </w:t>
      </w:r>
    </w:p>
    <w:p w14:paraId="2C8443BD" w14:textId="77777777" w:rsidR="002B32BD" w:rsidRPr="00F43509" w:rsidRDefault="002B32BD" w:rsidP="002B32BD">
      <w:pPr>
        <w:rPr>
          <w:spacing w:val="-5"/>
          <w:sz w:val="20"/>
        </w:rPr>
      </w:pPr>
    </w:p>
    <w:p w14:paraId="546A7D33" w14:textId="69277184" w:rsidR="002B32BD" w:rsidRPr="00F43509" w:rsidRDefault="002B32BD" w:rsidP="002B32BD">
      <w:pPr>
        <w:rPr>
          <w:spacing w:val="-5"/>
          <w:sz w:val="20"/>
        </w:rPr>
      </w:pPr>
      <w:r w:rsidRPr="00F43509">
        <w:rPr>
          <w:spacing w:val="-5"/>
          <w:sz w:val="20"/>
        </w:rPr>
        <w:t>But the statistics are clear that harm from gambling can have a significant impact, so it is important that we put in place initiatives and interventions that prevent and minimise such harm. This will enable people to support their own wellbeing when it comes to gambling, with access to helplines, guidance and support, as well as specialist services and treatment options for those who require more. Such initiatives and services need to be informed by evidence and best practice, which is why research and evaluation are key areas of investment.</w:t>
      </w:r>
    </w:p>
    <w:p w14:paraId="293AB636" w14:textId="77777777" w:rsidR="002B32BD" w:rsidRPr="00F43509" w:rsidRDefault="002B32BD" w:rsidP="002B32BD">
      <w:pPr>
        <w:rPr>
          <w:spacing w:val="-5"/>
          <w:sz w:val="20"/>
        </w:rPr>
      </w:pPr>
    </w:p>
    <w:p w14:paraId="1451E832" w14:textId="77777777" w:rsidR="002B32BD" w:rsidRPr="00F43509" w:rsidRDefault="002B32BD" w:rsidP="002B32BD">
      <w:pPr>
        <w:rPr>
          <w:spacing w:val="-5"/>
          <w:sz w:val="20"/>
        </w:rPr>
      </w:pPr>
      <w:r w:rsidRPr="00F43509">
        <w:rPr>
          <w:spacing w:val="-5"/>
          <w:sz w:val="20"/>
        </w:rPr>
        <w:t>You will see in this consultation document that the Government’s mental health and addiction priorities are clearly reflected to ensure this gambling harm support system is in place. In this context, my priorities are to:</w:t>
      </w:r>
    </w:p>
    <w:p w14:paraId="25457166" w14:textId="00D99B49" w:rsidR="002B32BD" w:rsidRPr="00F43509" w:rsidRDefault="002B32BD" w:rsidP="002B32BD">
      <w:pPr>
        <w:pStyle w:val="Bullet"/>
        <w:rPr>
          <w:sz w:val="20"/>
        </w:rPr>
      </w:pPr>
      <w:r w:rsidRPr="00F43509">
        <w:rPr>
          <w:sz w:val="20"/>
        </w:rPr>
        <w:t xml:space="preserve">Increase access to gambling harm support </w:t>
      </w:r>
    </w:p>
    <w:p w14:paraId="741C2879" w14:textId="6A98A594" w:rsidR="002B32BD" w:rsidRPr="00F43509" w:rsidRDefault="002B32BD" w:rsidP="002B32BD">
      <w:pPr>
        <w:pStyle w:val="Bullet"/>
        <w:rPr>
          <w:sz w:val="20"/>
        </w:rPr>
      </w:pPr>
      <w:r w:rsidRPr="00F43509">
        <w:rPr>
          <w:sz w:val="20"/>
        </w:rPr>
        <w:t>Grow the gambling harm workforce</w:t>
      </w:r>
    </w:p>
    <w:p w14:paraId="7749A2AA" w14:textId="2A415095" w:rsidR="002B32BD" w:rsidRPr="00F43509" w:rsidRDefault="002B32BD" w:rsidP="002B32BD">
      <w:pPr>
        <w:pStyle w:val="Bullet"/>
        <w:rPr>
          <w:sz w:val="20"/>
        </w:rPr>
      </w:pPr>
      <w:r w:rsidRPr="00F43509">
        <w:rPr>
          <w:sz w:val="20"/>
        </w:rPr>
        <w:t>Strengthen the focus on the prevention of and early intervention in gambling harm</w:t>
      </w:r>
    </w:p>
    <w:p w14:paraId="5EF24593" w14:textId="44472D0B" w:rsidR="002B32BD" w:rsidRPr="00F43509" w:rsidRDefault="002B32BD" w:rsidP="002B32BD">
      <w:pPr>
        <w:pStyle w:val="Bullet"/>
        <w:rPr>
          <w:sz w:val="20"/>
        </w:rPr>
      </w:pPr>
      <w:r w:rsidRPr="00F43509">
        <w:rPr>
          <w:sz w:val="20"/>
        </w:rPr>
        <w:t>Improve the effectiveness of gambling harm support.</w:t>
      </w:r>
    </w:p>
    <w:p w14:paraId="509D2477" w14:textId="77777777" w:rsidR="002B32BD" w:rsidRPr="00F43509" w:rsidRDefault="002B32BD" w:rsidP="002B32BD">
      <w:pPr>
        <w:rPr>
          <w:spacing w:val="-5"/>
          <w:sz w:val="20"/>
        </w:rPr>
      </w:pPr>
    </w:p>
    <w:p w14:paraId="0F63EEF3" w14:textId="378CD68D" w:rsidR="002B32BD" w:rsidRPr="00F43509" w:rsidRDefault="002B32BD" w:rsidP="002B32BD">
      <w:pPr>
        <w:rPr>
          <w:spacing w:val="-5"/>
          <w:sz w:val="20"/>
        </w:rPr>
      </w:pPr>
      <w:r w:rsidRPr="00F43509">
        <w:rPr>
          <w:spacing w:val="-5"/>
          <w:sz w:val="20"/>
        </w:rPr>
        <w:t xml:space="preserve">The Ministry of Health (the Ministry) is the government agency responsible for the Strategy to Prevent and Minimise Gambling Harm, and it important that you have your say on this consultation document to inform its development. </w:t>
      </w:r>
    </w:p>
    <w:p w14:paraId="310FB996" w14:textId="77777777" w:rsidR="002B32BD" w:rsidRPr="00F43509" w:rsidRDefault="002B32BD" w:rsidP="002B32BD">
      <w:pPr>
        <w:rPr>
          <w:spacing w:val="-5"/>
          <w:sz w:val="20"/>
        </w:rPr>
      </w:pPr>
    </w:p>
    <w:p w14:paraId="07D28BE4" w14:textId="434F8B94" w:rsidR="002B32BD" w:rsidRPr="00F43509" w:rsidRDefault="002B32BD" w:rsidP="002B32BD">
      <w:pPr>
        <w:rPr>
          <w:spacing w:val="-5"/>
          <w:sz w:val="20"/>
        </w:rPr>
      </w:pPr>
      <w:r w:rsidRPr="00F43509">
        <w:rPr>
          <w:spacing w:val="-5"/>
          <w:sz w:val="20"/>
        </w:rPr>
        <w:t xml:space="preserve">I want to particularly acknowledge those who have lived experience of gambling harm, as your perspectives will give a strong understanding of what works and what doesn’t at the community level. I know through my own lived experience that this first-hand knowledge is critical in ensuring our health system meets people’s needs. </w:t>
      </w:r>
    </w:p>
    <w:p w14:paraId="5DAA8FAB" w14:textId="77777777" w:rsidR="002B32BD" w:rsidRPr="00F43509" w:rsidRDefault="002B32BD" w:rsidP="002B32BD">
      <w:pPr>
        <w:rPr>
          <w:spacing w:val="-5"/>
          <w:sz w:val="20"/>
        </w:rPr>
      </w:pPr>
    </w:p>
    <w:p w14:paraId="334D525E" w14:textId="77777777" w:rsidR="002B32BD" w:rsidRPr="00F43509" w:rsidRDefault="002B32BD" w:rsidP="002B32BD">
      <w:pPr>
        <w:rPr>
          <w:spacing w:val="-5"/>
          <w:sz w:val="20"/>
        </w:rPr>
      </w:pPr>
      <w:r w:rsidRPr="00F43509">
        <w:rPr>
          <w:spacing w:val="-5"/>
          <w:sz w:val="20"/>
        </w:rPr>
        <w:t>In talking to people about mental health and addiction, I've become firmly of the view that the ideas we need to solve the issues we face are already in the community, so please make your voice heard.</w:t>
      </w:r>
    </w:p>
    <w:p w14:paraId="385D9DE4" w14:textId="77777777" w:rsidR="002B32BD" w:rsidRPr="00F43509" w:rsidRDefault="002B32BD" w:rsidP="002B32BD">
      <w:pPr>
        <w:rPr>
          <w:spacing w:val="-5"/>
          <w:sz w:val="20"/>
        </w:rPr>
      </w:pPr>
    </w:p>
    <w:p w14:paraId="7A7F0113" w14:textId="77777777" w:rsidR="002B32BD" w:rsidRPr="00F43509" w:rsidRDefault="002B32BD" w:rsidP="002B32BD">
      <w:pPr>
        <w:rPr>
          <w:spacing w:val="-5"/>
          <w:sz w:val="20"/>
        </w:rPr>
      </w:pPr>
      <w:r w:rsidRPr="00F43509">
        <w:rPr>
          <w:spacing w:val="-5"/>
          <w:sz w:val="20"/>
        </w:rPr>
        <w:t>Hon Matt Doocey</w:t>
      </w:r>
    </w:p>
    <w:p w14:paraId="3C70FAF9" w14:textId="75594084" w:rsidR="00D662F8" w:rsidRPr="00F43509" w:rsidRDefault="002B32BD" w:rsidP="002B32BD">
      <w:pPr>
        <w:rPr>
          <w:sz w:val="20"/>
        </w:rPr>
      </w:pPr>
      <w:r w:rsidRPr="00F43509">
        <w:rPr>
          <w:spacing w:val="-5"/>
          <w:sz w:val="20"/>
        </w:rPr>
        <w:t>Minister for Mental Health</w:t>
      </w:r>
    </w:p>
    <w:p w14:paraId="477BE46F" w14:textId="77777777" w:rsidR="00835945" w:rsidRDefault="00835945" w:rsidP="0046362D">
      <w:pPr>
        <w:sectPr w:rsidR="00835945" w:rsidSect="001D3E4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66A26FBB" w14:textId="47F6646D" w:rsidR="002B32BD" w:rsidRPr="000705B2" w:rsidRDefault="00835945" w:rsidP="00C044FC">
      <w:pPr>
        <w:pStyle w:val="Heading1"/>
        <w:rPr>
          <w:sz w:val="56"/>
          <w:szCs w:val="56"/>
        </w:rPr>
      </w:pPr>
      <w:bookmarkStart w:id="5" w:name="_Toc174634381"/>
      <w:r w:rsidRPr="000705B2">
        <w:rPr>
          <w:sz w:val="56"/>
          <w:szCs w:val="56"/>
        </w:rPr>
        <w:lastRenderedPageBreak/>
        <w:t>Foreword from the Director-General of Health</w:t>
      </w:r>
      <w:bookmarkStart w:id="6" w:name="_Hlk174625390"/>
      <w:bookmarkEnd w:id="5"/>
    </w:p>
    <w:p w14:paraId="091246A9" w14:textId="00A556E4" w:rsidR="002B32BD" w:rsidRDefault="002B32BD" w:rsidP="002B32BD">
      <w:pPr>
        <w:rPr>
          <w:rFonts w:eastAsia="Calibri"/>
        </w:rPr>
      </w:pPr>
      <w:r>
        <w:rPr>
          <w:rFonts w:eastAsia="Calibri"/>
        </w:rPr>
        <w:t>The Gambling Act 2003 (the Act)</w:t>
      </w:r>
      <w:r w:rsidDel="00146AFC">
        <w:rPr>
          <w:rFonts w:eastAsia="Calibri"/>
        </w:rPr>
        <w:t xml:space="preserve"> </w:t>
      </w:r>
      <w:r>
        <w:rPr>
          <w:rFonts w:eastAsia="Calibri"/>
        </w:rPr>
        <w:t xml:space="preserve">is world leading in its focus on public health with regard to gambling. </w:t>
      </w:r>
      <w:r w:rsidRPr="0FD73C6D">
        <w:rPr>
          <w:rFonts w:eastAsia="Calibri"/>
        </w:rPr>
        <w:t>It recognises</w:t>
      </w:r>
      <w:r>
        <w:rPr>
          <w:rFonts w:eastAsia="Calibri"/>
        </w:rPr>
        <w:t xml:space="preserve"> the need to address the risks and harms of gambling by setting out requirements for an integrated problem-gambling strategy focused on public health, containing intervention and public health services, and research and evaluation, alongside specifying a regulatory regime for the gambling industry. The Ministry of Health - Manatū Hauora (the Ministry) is responsible for developing and refreshing a strategy to prevent and minimise gambling harm</w:t>
      </w:r>
      <w:r w:rsidRPr="00037B27">
        <w:rPr>
          <w:rFonts w:eastAsia="Calibri"/>
        </w:rPr>
        <w:t xml:space="preserve"> </w:t>
      </w:r>
      <w:r>
        <w:rPr>
          <w:rFonts w:eastAsia="Calibri"/>
        </w:rPr>
        <w:t xml:space="preserve">as required by the Act. </w:t>
      </w:r>
    </w:p>
    <w:p w14:paraId="62032944" w14:textId="77777777" w:rsidR="002B32BD" w:rsidRDefault="002B32BD" w:rsidP="002B32BD">
      <w:pPr>
        <w:rPr>
          <w:rFonts w:eastAsia="Calibri"/>
        </w:rPr>
      </w:pPr>
    </w:p>
    <w:p w14:paraId="1D2D6763" w14:textId="2E52F7A3" w:rsidR="002B32BD" w:rsidRDefault="002B32BD" w:rsidP="002B32BD">
      <w:pPr>
        <w:rPr>
          <w:rFonts w:eastAsia="Calibri"/>
        </w:rPr>
      </w:pPr>
      <w:r>
        <w:rPr>
          <w:rFonts w:eastAsia="Calibri"/>
        </w:rPr>
        <w:t xml:space="preserve">The Act sets out detailed consultation requirements for developing the strategy and setting industry levy rates to pay for it. Consistent with these requirements, the Ministry is now using a consultation process to seek views on its draft </w:t>
      </w:r>
      <w:r>
        <w:rPr>
          <w:rFonts w:eastAsia="Calibri"/>
          <w:i/>
        </w:rPr>
        <w:t xml:space="preserve">Strategy </w:t>
      </w:r>
      <w:r>
        <w:rPr>
          <w:rFonts w:eastAsia="Calibri"/>
          <w:i/>
          <w:iCs/>
        </w:rPr>
        <w:t>to Prevent and Minimise Gambling Harm for 2025/2026 to 2027/2028</w:t>
      </w:r>
      <w:r>
        <w:rPr>
          <w:rFonts w:eastAsia="Calibri"/>
        </w:rPr>
        <w:t xml:space="preserve"> (the Strategy) and draft levy rates.</w:t>
      </w:r>
    </w:p>
    <w:p w14:paraId="3FF2F6AA" w14:textId="77777777" w:rsidR="002B32BD" w:rsidRDefault="002B32BD" w:rsidP="002B32BD">
      <w:pPr>
        <w:rPr>
          <w:rFonts w:eastAsia="Calibri"/>
        </w:rPr>
      </w:pPr>
    </w:p>
    <w:p w14:paraId="71E3F7F6" w14:textId="66EDB86A" w:rsidR="002B32BD" w:rsidRDefault="002B32BD" w:rsidP="002B32BD">
      <w:pPr>
        <w:rPr>
          <w:rFonts w:eastAsia="Calibri"/>
        </w:rPr>
      </w:pPr>
      <w:r>
        <w:rPr>
          <w:rFonts w:eastAsia="Calibri"/>
        </w:rPr>
        <w:t xml:space="preserve">The draft Strategy (this consultation document) and levy rates (tax on gambling activities) are the first the Ministry, as strategic lead, has developed in collaboration with Health New Zealand </w:t>
      </w:r>
      <w:r>
        <w:rPr>
          <w:rFonts w:ascii="Arial" w:eastAsia="Calibri" w:hAnsi="Arial" w:cs="Arial"/>
        </w:rPr>
        <w:t>|</w:t>
      </w:r>
      <w:r>
        <w:rPr>
          <w:rFonts w:eastAsia="Calibri"/>
        </w:rPr>
        <w:t xml:space="preserve"> Te </w:t>
      </w:r>
      <w:proofErr w:type="spellStart"/>
      <w:r>
        <w:rPr>
          <w:rFonts w:eastAsia="Calibri"/>
        </w:rPr>
        <w:t>Whatu</w:t>
      </w:r>
      <w:proofErr w:type="spellEnd"/>
      <w:r>
        <w:rPr>
          <w:rFonts w:eastAsia="Calibri"/>
        </w:rPr>
        <w:t xml:space="preserve"> Ora (Health New Zealand)</w:t>
      </w:r>
      <w:r w:rsidRPr="0FD73C6D">
        <w:rPr>
          <w:rFonts w:eastAsia="Calibri"/>
        </w:rPr>
        <w:t>.</w:t>
      </w:r>
      <w:r>
        <w:rPr>
          <w:rFonts w:eastAsia="Calibri"/>
        </w:rPr>
        <w:t xml:space="preserve"> Health New Zealand commissions and delivers the intervention and public health services contained in the service plan incorporated into the draft Strategy. This service plan includes the activities formerly delivered by Te </w:t>
      </w:r>
      <w:proofErr w:type="spellStart"/>
      <w:r>
        <w:rPr>
          <w:rFonts w:eastAsia="Calibri"/>
        </w:rPr>
        <w:t>Hiringa</w:t>
      </w:r>
      <w:proofErr w:type="spellEnd"/>
      <w:r>
        <w:rPr>
          <w:rFonts w:eastAsia="Calibri"/>
        </w:rPr>
        <w:t xml:space="preserve"> Hauora</w:t>
      </w:r>
      <w:r w:rsidRPr="00773633">
        <w:rPr>
          <w:rFonts w:eastAsia="Calibri"/>
        </w:rPr>
        <w:t xml:space="preserve"> </w:t>
      </w:r>
      <w:r>
        <w:rPr>
          <w:rFonts w:ascii="Arial" w:eastAsia="Calibri" w:hAnsi="Arial" w:cs="Arial"/>
        </w:rPr>
        <w:t>|</w:t>
      </w:r>
      <w:r>
        <w:rPr>
          <w:rFonts w:eastAsia="Calibri"/>
        </w:rPr>
        <w:t xml:space="preserve"> Health Promotion Agency, which is now part of Health New Zealand. </w:t>
      </w:r>
    </w:p>
    <w:p w14:paraId="48C8A07C" w14:textId="77777777" w:rsidR="002B32BD" w:rsidRDefault="002B32BD" w:rsidP="002B32BD">
      <w:pPr>
        <w:rPr>
          <w:rFonts w:eastAsia="Calibri"/>
        </w:rPr>
      </w:pPr>
    </w:p>
    <w:p w14:paraId="51AC7EA5" w14:textId="53C1970D" w:rsidR="002B32BD" w:rsidRDefault="002B32BD" w:rsidP="002B32BD">
      <w:pPr>
        <w:rPr>
          <w:rFonts w:eastAsia="Calibri"/>
        </w:rPr>
      </w:pPr>
      <w:r>
        <w:rPr>
          <w:rFonts w:eastAsia="Calibri"/>
        </w:rPr>
        <w:t>This draft Strategy is based on engagement, research and evidence, including engagement with gambling harm prevention and minimisation organisations, health and disability services and workers, and the gambling industry.</w:t>
      </w:r>
    </w:p>
    <w:p w14:paraId="44CCBE0A" w14:textId="77777777" w:rsidR="002B32BD" w:rsidRDefault="002B32BD" w:rsidP="002B32BD">
      <w:pPr>
        <w:rPr>
          <w:rFonts w:eastAsia="Calibri"/>
        </w:rPr>
      </w:pPr>
    </w:p>
    <w:p w14:paraId="61835788" w14:textId="7DA36A2F" w:rsidR="002B32BD" w:rsidRDefault="002B32BD" w:rsidP="002B32BD">
      <w:pPr>
        <w:rPr>
          <w:rFonts w:eastAsia="Calibri"/>
        </w:rPr>
      </w:pPr>
      <w:r>
        <w:rPr>
          <w:rFonts w:eastAsia="Calibri"/>
        </w:rPr>
        <w:t xml:space="preserve">The Act sets out the process the Ministry should follow in developing the Strategy. After independent analysis of feedback and submissions, the Ministry will make necessary revisions to the proposals contained in this consultation document and submit its proposed Strategy and levy rates to the New Zealand Gambling Commission (the Gambling Commission). The Gambling Commission will undertake an analysis, convene an independent consultation meeting with stakeholders and provide its own advice to the Minister for Mental Health and the Minister of Internal Affairs. Cabinet will subsequently make decisions on the shape of the Strategy and the levy. </w:t>
      </w:r>
    </w:p>
    <w:p w14:paraId="410CA048" w14:textId="77777777" w:rsidR="00C044FC" w:rsidRDefault="00C044FC" w:rsidP="002B32BD">
      <w:pPr>
        <w:rPr>
          <w:rFonts w:eastAsia="Calibri"/>
        </w:rPr>
      </w:pPr>
    </w:p>
    <w:p w14:paraId="1C6DC9EB" w14:textId="77777777" w:rsidR="00C044FC" w:rsidRDefault="00C044FC" w:rsidP="00C044FC">
      <w:pPr>
        <w:rPr>
          <w:rFonts w:eastAsia="Calibri"/>
        </w:rPr>
      </w:pPr>
      <w:r>
        <w:rPr>
          <w:rFonts w:eastAsia="Calibri"/>
        </w:rPr>
        <w:t>I encourage you to have your say to ensure we take an inclusive and comprehensive approach to preventing and minimising gambling harm.</w:t>
      </w:r>
    </w:p>
    <w:p w14:paraId="3AE7F518" w14:textId="77777777" w:rsidR="00C044FC" w:rsidRDefault="00C044FC" w:rsidP="00C044FC">
      <w:pPr>
        <w:rPr>
          <w:rFonts w:eastAsia="Calibri"/>
        </w:rPr>
      </w:pPr>
    </w:p>
    <w:p w14:paraId="4803963E" w14:textId="4855A8D3" w:rsidR="00C044FC" w:rsidRDefault="00C044FC" w:rsidP="002B32BD">
      <w:pPr>
        <w:rPr>
          <w:rFonts w:eastAsia="Calibri"/>
        </w:rPr>
        <w:sectPr w:rsidR="00C044FC" w:rsidSect="0078658E">
          <w:headerReference w:type="even" r:id="rId22"/>
          <w:headerReference w:type="default" r:id="rId23"/>
          <w:footerReference w:type="even" r:id="rId24"/>
          <w:footerReference w:type="default" r:id="rId25"/>
          <w:pgSz w:w="11907" w:h="16840" w:code="9"/>
          <w:pgMar w:top="1418" w:right="1701" w:bottom="1134" w:left="1843" w:header="284" w:footer="425" w:gutter="284"/>
          <w:pgNumType w:fmt="lowerRoman"/>
          <w:cols w:space="720"/>
        </w:sectPr>
      </w:pPr>
      <w:r>
        <w:t>Dr Diana Sarfati</w:t>
      </w:r>
      <w:r>
        <w:br/>
        <w:t>Director-General of Health</w:t>
      </w:r>
      <w:r>
        <w:br/>
        <w:t>Ministry of Health</w:t>
      </w:r>
    </w:p>
    <w:bookmarkEnd w:id="6"/>
    <w:p w14:paraId="648D4F84" w14:textId="4A32FE51" w:rsidR="00C86248" w:rsidRPr="00F43509" w:rsidRDefault="00C86248" w:rsidP="00172194">
      <w:pPr>
        <w:pStyle w:val="IntroHead"/>
        <w:rPr>
          <w:sz w:val="56"/>
          <w:szCs w:val="56"/>
        </w:rPr>
      </w:pPr>
      <w:r w:rsidRPr="00F43509">
        <w:rPr>
          <w:sz w:val="56"/>
          <w:szCs w:val="56"/>
        </w:rPr>
        <w:lastRenderedPageBreak/>
        <w:t>Contents</w:t>
      </w:r>
      <w:bookmarkEnd w:id="3"/>
      <w:bookmarkEnd w:id="4"/>
    </w:p>
    <w:p w14:paraId="65B97112" w14:textId="7D16D7FC" w:rsidR="00B657AF" w:rsidRDefault="00C86248">
      <w:pPr>
        <w:pStyle w:val="TOC1"/>
        <w:rPr>
          <w:rFonts w:asciiTheme="minorHAnsi" w:eastAsiaTheme="minorEastAsia" w:hAnsiTheme="minorHAnsi" w:cstheme="minorBidi"/>
          <w:noProof/>
          <w:sz w:val="22"/>
          <w:szCs w:val="22"/>
          <w:lang w:val="en-AU" w:eastAsia="en-AU"/>
        </w:rPr>
      </w:pPr>
      <w:r>
        <w:rPr>
          <w:b/>
        </w:rPr>
        <w:fldChar w:fldCharType="begin"/>
      </w:r>
      <w:r>
        <w:instrText xml:space="preserve"> TOC \o "1-2" </w:instrText>
      </w:r>
      <w:r>
        <w:rPr>
          <w:b/>
        </w:rPr>
        <w:fldChar w:fldCharType="separate"/>
      </w:r>
      <w:r w:rsidR="00B657AF">
        <w:rPr>
          <w:noProof/>
        </w:rPr>
        <w:t>Foreword from the Minister for Mental Health</w:t>
      </w:r>
      <w:r w:rsidR="00B657AF">
        <w:rPr>
          <w:noProof/>
        </w:rPr>
        <w:tab/>
      </w:r>
      <w:r w:rsidR="00B657AF">
        <w:rPr>
          <w:noProof/>
        </w:rPr>
        <w:fldChar w:fldCharType="begin"/>
      </w:r>
      <w:r w:rsidR="00B657AF">
        <w:rPr>
          <w:noProof/>
        </w:rPr>
        <w:instrText xml:space="preserve"> PAGEREF _Toc174634380 \h </w:instrText>
      </w:r>
      <w:r w:rsidR="00B657AF">
        <w:rPr>
          <w:noProof/>
        </w:rPr>
      </w:r>
      <w:r w:rsidR="00B657AF">
        <w:rPr>
          <w:noProof/>
        </w:rPr>
        <w:fldChar w:fldCharType="separate"/>
      </w:r>
      <w:r w:rsidR="009D28D8">
        <w:rPr>
          <w:noProof/>
        </w:rPr>
        <w:t>iii</w:t>
      </w:r>
      <w:r w:rsidR="00B657AF">
        <w:rPr>
          <w:noProof/>
        </w:rPr>
        <w:fldChar w:fldCharType="end"/>
      </w:r>
    </w:p>
    <w:p w14:paraId="1633B21B" w14:textId="7F7E9CCA" w:rsidR="00B657AF" w:rsidRDefault="00B657AF">
      <w:pPr>
        <w:pStyle w:val="TOC1"/>
        <w:rPr>
          <w:rFonts w:asciiTheme="minorHAnsi" w:eastAsiaTheme="minorEastAsia" w:hAnsiTheme="minorHAnsi" w:cstheme="minorBidi"/>
          <w:noProof/>
          <w:sz w:val="22"/>
          <w:szCs w:val="22"/>
          <w:lang w:val="en-AU" w:eastAsia="en-AU"/>
        </w:rPr>
      </w:pPr>
      <w:r>
        <w:rPr>
          <w:noProof/>
        </w:rPr>
        <w:t>Foreword from the Director-General of Health</w:t>
      </w:r>
      <w:r>
        <w:rPr>
          <w:noProof/>
        </w:rPr>
        <w:tab/>
      </w:r>
      <w:r>
        <w:rPr>
          <w:noProof/>
        </w:rPr>
        <w:fldChar w:fldCharType="begin"/>
      </w:r>
      <w:r>
        <w:rPr>
          <w:noProof/>
        </w:rPr>
        <w:instrText xml:space="preserve"> PAGEREF _Toc174634381 \h </w:instrText>
      </w:r>
      <w:r>
        <w:rPr>
          <w:noProof/>
        </w:rPr>
      </w:r>
      <w:r>
        <w:rPr>
          <w:noProof/>
        </w:rPr>
        <w:fldChar w:fldCharType="separate"/>
      </w:r>
      <w:r w:rsidR="009D28D8">
        <w:rPr>
          <w:noProof/>
        </w:rPr>
        <w:t>iv</w:t>
      </w:r>
      <w:r>
        <w:rPr>
          <w:noProof/>
        </w:rPr>
        <w:fldChar w:fldCharType="end"/>
      </w:r>
    </w:p>
    <w:p w14:paraId="5844853B" w14:textId="5EA50E1E" w:rsidR="00B657AF" w:rsidRDefault="00B657AF">
      <w:pPr>
        <w:pStyle w:val="TOC1"/>
        <w:rPr>
          <w:rFonts w:asciiTheme="minorHAnsi" w:eastAsiaTheme="minorEastAsia" w:hAnsiTheme="minorHAnsi" w:cstheme="minorBidi"/>
          <w:noProof/>
          <w:sz w:val="22"/>
          <w:szCs w:val="22"/>
          <w:lang w:val="en-AU" w:eastAsia="en-AU"/>
        </w:rPr>
      </w:pPr>
      <w:r>
        <w:rPr>
          <w:noProof/>
        </w:rPr>
        <w:t>A new Strategy to Prevent and Minimise Gambling Harm</w:t>
      </w:r>
      <w:r>
        <w:rPr>
          <w:noProof/>
        </w:rPr>
        <w:tab/>
      </w:r>
      <w:r>
        <w:rPr>
          <w:noProof/>
        </w:rPr>
        <w:fldChar w:fldCharType="begin"/>
      </w:r>
      <w:r>
        <w:rPr>
          <w:noProof/>
        </w:rPr>
        <w:instrText xml:space="preserve"> PAGEREF _Toc174634382 \h </w:instrText>
      </w:r>
      <w:r>
        <w:rPr>
          <w:noProof/>
        </w:rPr>
      </w:r>
      <w:r>
        <w:rPr>
          <w:noProof/>
        </w:rPr>
        <w:fldChar w:fldCharType="separate"/>
      </w:r>
      <w:r w:rsidR="009D28D8">
        <w:rPr>
          <w:noProof/>
        </w:rPr>
        <w:t>1</w:t>
      </w:r>
      <w:r>
        <w:rPr>
          <w:noProof/>
        </w:rPr>
        <w:fldChar w:fldCharType="end"/>
      </w:r>
    </w:p>
    <w:p w14:paraId="57B816F4" w14:textId="200F7EDC" w:rsidR="00B657AF" w:rsidRDefault="00B657AF">
      <w:pPr>
        <w:pStyle w:val="TOC2"/>
        <w:rPr>
          <w:rFonts w:asciiTheme="minorHAnsi" w:eastAsiaTheme="minorEastAsia" w:hAnsiTheme="minorHAnsi" w:cstheme="minorBidi"/>
          <w:noProof/>
          <w:szCs w:val="22"/>
          <w:lang w:val="en-AU" w:eastAsia="en-AU"/>
        </w:rPr>
      </w:pPr>
      <w:r>
        <w:rPr>
          <w:noProof/>
        </w:rPr>
        <w:t>Problem definition: Gambling harm is wide-reaching and services are under pressure to respond to a changing gambling environment</w:t>
      </w:r>
      <w:r>
        <w:rPr>
          <w:noProof/>
        </w:rPr>
        <w:tab/>
      </w:r>
      <w:r>
        <w:rPr>
          <w:noProof/>
        </w:rPr>
        <w:fldChar w:fldCharType="begin"/>
      </w:r>
      <w:r>
        <w:rPr>
          <w:noProof/>
        </w:rPr>
        <w:instrText xml:space="preserve"> PAGEREF _Toc174634383 \h </w:instrText>
      </w:r>
      <w:r>
        <w:rPr>
          <w:noProof/>
        </w:rPr>
      </w:r>
      <w:r>
        <w:rPr>
          <w:noProof/>
        </w:rPr>
        <w:fldChar w:fldCharType="separate"/>
      </w:r>
      <w:r w:rsidR="009D28D8">
        <w:rPr>
          <w:noProof/>
        </w:rPr>
        <w:t>2</w:t>
      </w:r>
      <w:r>
        <w:rPr>
          <w:noProof/>
        </w:rPr>
        <w:fldChar w:fldCharType="end"/>
      </w:r>
    </w:p>
    <w:p w14:paraId="4C556568" w14:textId="6494F610" w:rsidR="00B657AF" w:rsidRDefault="00B657AF">
      <w:pPr>
        <w:pStyle w:val="TOC2"/>
        <w:rPr>
          <w:rFonts w:asciiTheme="minorHAnsi" w:eastAsiaTheme="minorEastAsia" w:hAnsiTheme="minorHAnsi" w:cstheme="minorBidi"/>
          <w:noProof/>
          <w:szCs w:val="22"/>
          <w:lang w:val="en-AU" w:eastAsia="en-AU"/>
        </w:rPr>
      </w:pPr>
      <w:r>
        <w:rPr>
          <w:noProof/>
        </w:rPr>
        <w:t>Strategic plan: A focus on access, workforce, prevention and early intervention, and effectiveness</w:t>
      </w:r>
      <w:r>
        <w:rPr>
          <w:noProof/>
        </w:rPr>
        <w:tab/>
      </w:r>
      <w:r>
        <w:rPr>
          <w:noProof/>
        </w:rPr>
        <w:fldChar w:fldCharType="begin"/>
      </w:r>
      <w:r>
        <w:rPr>
          <w:noProof/>
        </w:rPr>
        <w:instrText xml:space="preserve"> PAGEREF _Toc174634384 \h </w:instrText>
      </w:r>
      <w:r>
        <w:rPr>
          <w:noProof/>
        </w:rPr>
      </w:r>
      <w:r>
        <w:rPr>
          <w:noProof/>
        </w:rPr>
        <w:fldChar w:fldCharType="separate"/>
      </w:r>
      <w:r w:rsidR="009D28D8">
        <w:rPr>
          <w:noProof/>
        </w:rPr>
        <w:t>3</w:t>
      </w:r>
      <w:r>
        <w:rPr>
          <w:noProof/>
        </w:rPr>
        <w:fldChar w:fldCharType="end"/>
      </w:r>
    </w:p>
    <w:p w14:paraId="03202DA9" w14:textId="33DB7075" w:rsidR="00B657AF" w:rsidRDefault="00B657AF">
      <w:pPr>
        <w:pStyle w:val="TOC2"/>
        <w:rPr>
          <w:rFonts w:asciiTheme="minorHAnsi" w:eastAsiaTheme="minorEastAsia" w:hAnsiTheme="minorHAnsi" w:cstheme="minorBidi"/>
          <w:noProof/>
          <w:szCs w:val="22"/>
          <w:lang w:val="en-AU" w:eastAsia="en-AU"/>
        </w:rPr>
      </w:pPr>
      <w:r>
        <w:rPr>
          <w:noProof/>
        </w:rPr>
        <w:t>Service Plan: Delivering a continuum of public health and clinical services supported by robust research and evaluation</w:t>
      </w:r>
      <w:r>
        <w:rPr>
          <w:noProof/>
        </w:rPr>
        <w:tab/>
      </w:r>
      <w:r>
        <w:rPr>
          <w:noProof/>
        </w:rPr>
        <w:fldChar w:fldCharType="begin"/>
      </w:r>
      <w:r>
        <w:rPr>
          <w:noProof/>
        </w:rPr>
        <w:instrText xml:space="preserve"> PAGEREF _Toc174634385 \h </w:instrText>
      </w:r>
      <w:r>
        <w:rPr>
          <w:noProof/>
        </w:rPr>
      </w:r>
      <w:r>
        <w:rPr>
          <w:noProof/>
        </w:rPr>
        <w:fldChar w:fldCharType="separate"/>
      </w:r>
      <w:r w:rsidR="009D28D8">
        <w:rPr>
          <w:noProof/>
        </w:rPr>
        <w:t>3</w:t>
      </w:r>
      <w:r>
        <w:rPr>
          <w:noProof/>
        </w:rPr>
        <w:fldChar w:fldCharType="end"/>
      </w:r>
    </w:p>
    <w:p w14:paraId="04846EEF" w14:textId="3D1E3482" w:rsidR="00B657AF" w:rsidRDefault="00B657AF">
      <w:pPr>
        <w:pStyle w:val="TOC2"/>
        <w:rPr>
          <w:rFonts w:asciiTheme="minorHAnsi" w:eastAsiaTheme="minorEastAsia" w:hAnsiTheme="minorHAnsi" w:cstheme="minorBidi"/>
          <w:noProof/>
          <w:szCs w:val="22"/>
          <w:lang w:val="en-AU" w:eastAsia="en-AU"/>
        </w:rPr>
      </w:pPr>
      <w:r>
        <w:rPr>
          <w:noProof/>
        </w:rPr>
        <w:t>Problem Gambling Levy: Funding to support gambling harm prevention and minimisation</w:t>
      </w:r>
      <w:r>
        <w:rPr>
          <w:noProof/>
        </w:rPr>
        <w:tab/>
      </w:r>
      <w:r>
        <w:rPr>
          <w:noProof/>
        </w:rPr>
        <w:fldChar w:fldCharType="begin"/>
      </w:r>
      <w:r>
        <w:rPr>
          <w:noProof/>
        </w:rPr>
        <w:instrText xml:space="preserve"> PAGEREF _Toc174634386 \h </w:instrText>
      </w:r>
      <w:r>
        <w:rPr>
          <w:noProof/>
        </w:rPr>
      </w:r>
      <w:r>
        <w:rPr>
          <w:noProof/>
        </w:rPr>
        <w:fldChar w:fldCharType="separate"/>
      </w:r>
      <w:r w:rsidR="009D28D8">
        <w:rPr>
          <w:noProof/>
        </w:rPr>
        <w:t>4</w:t>
      </w:r>
      <w:r>
        <w:rPr>
          <w:noProof/>
        </w:rPr>
        <w:fldChar w:fldCharType="end"/>
      </w:r>
    </w:p>
    <w:p w14:paraId="67A085B0" w14:textId="00498C71" w:rsidR="00B657AF" w:rsidRDefault="00B657AF">
      <w:pPr>
        <w:pStyle w:val="TOC2"/>
        <w:rPr>
          <w:rFonts w:asciiTheme="minorHAnsi" w:eastAsiaTheme="minorEastAsia" w:hAnsiTheme="minorHAnsi" w:cstheme="minorBidi"/>
          <w:noProof/>
          <w:szCs w:val="22"/>
          <w:lang w:val="en-AU" w:eastAsia="en-AU"/>
        </w:rPr>
      </w:pPr>
      <w:r>
        <w:rPr>
          <w:noProof/>
        </w:rPr>
        <w:t>Public consultation and next steps</w:t>
      </w:r>
      <w:r>
        <w:rPr>
          <w:noProof/>
        </w:rPr>
        <w:tab/>
      </w:r>
      <w:r w:rsidR="005E0B1E">
        <w:rPr>
          <w:noProof/>
        </w:rPr>
        <w:t>5</w:t>
      </w:r>
    </w:p>
    <w:p w14:paraId="1435B0FC" w14:textId="5725573E" w:rsidR="00B657AF" w:rsidRDefault="00B657AF">
      <w:pPr>
        <w:pStyle w:val="TOC1"/>
        <w:rPr>
          <w:rFonts w:asciiTheme="minorHAnsi" w:eastAsiaTheme="minorEastAsia" w:hAnsiTheme="minorHAnsi" w:cstheme="minorBidi"/>
          <w:noProof/>
          <w:sz w:val="22"/>
          <w:szCs w:val="22"/>
          <w:lang w:val="en-AU" w:eastAsia="en-AU"/>
        </w:rPr>
      </w:pPr>
      <w:r>
        <w:rPr>
          <w:noProof/>
        </w:rPr>
        <w:t>Problem definition</w:t>
      </w:r>
      <w:r>
        <w:rPr>
          <w:noProof/>
        </w:rPr>
        <w:tab/>
      </w:r>
      <w:r>
        <w:rPr>
          <w:noProof/>
        </w:rPr>
        <w:fldChar w:fldCharType="begin"/>
      </w:r>
      <w:r>
        <w:rPr>
          <w:noProof/>
        </w:rPr>
        <w:instrText xml:space="preserve"> PAGEREF _Toc174634388 \h </w:instrText>
      </w:r>
      <w:r>
        <w:rPr>
          <w:noProof/>
        </w:rPr>
      </w:r>
      <w:r>
        <w:rPr>
          <w:noProof/>
        </w:rPr>
        <w:fldChar w:fldCharType="separate"/>
      </w:r>
      <w:r w:rsidR="009D28D8">
        <w:rPr>
          <w:noProof/>
        </w:rPr>
        <w:t>6</w:t>
      </w:r>
      <w:r>
        <w:rPr>
          <w:noProof/>
        </w:rPr>
        <w:fldChar w:fldCharType="end"/>
      </w:r>
    </w:p>
    <w:p w14:paraId="6AD367FF" w14:textId="25B8FA0A" w:rsidR="00B657AF" w:rsidRDefault="00B657AF">
      <w:pPr>
        <w:pStyle w:val="TOC2"/>
        <w:rPr>
          <w:rFonts w:asciiTheme="minorHAnsi" w:eastAsiaTheme="minorEastAsia" w:hAnsiTheme="minorHAnsi" w:cstheme="minorBidi"/>
          <w:noProof/>
          <w:szCs w:val="22"/>
          <w:lang w:val="en-AU" w:eastAsia="en-AU"/>
        </w:rPr>
      </w:pPr>
      <w:r>
        <w:rPr>
          <w:noProof/>
        </w:rPr>
        <w:t>Participation and expenditure</w:t>
      </w:r>
      <w:r>
        <w:rPr>
          <w:noProof/>
        </w:rPr>
        <w:tab/>
      </w:r>
      <w:r>
        <w:rPr>
          <w:noProof/>
        </w:rPr>
        <w:fldChar w:fldCharType="begin"/>
      </w:r>
      <w:r>
        <w:rPr>
          <w:noProof/>
        </w:rPr>
        <w:instrText xml:space="preserve"> PAGEREF _Toc174634389 \h </w:instrText>
      </w:r>
      <w:r>
        <w:rPr>
          <w:noProof/>
        </w:rPr>
      </w:r>
      <w:r>
        <w:rPr>
          <w:noProof/>
        </w:rPr>
        <w:fldChar w:fldCharType="separate"/>
      </w:r>
      <w:r w:rsidR="009D28D8">
        <w:rPr>
          <w:noProof/>
        </w:rPr>
        <w:t>6</w:t>
      </w:r>
      <w:r>
        <w:rPr>
          <w:noProof/>
        </w:rPr>
        <w:fldChar w:fldCharType="end"/>
      </w:r>
    </w:p>
    <w:p w14:paraId="4B49812C" w14:textId="43EF62ED" w:rsidR="00B657AF" w:rsidRDefault="00B657AF">
      <w:pPr>
        <w:pStyle w:val="TOC2"/>
        <w:rPr>
          <w:rFonts w:asciiTheme="minorHAnsi" w:eastAsiaTheme="minorEastAsia" w:hAnsiTheme="minorHAnsi" w:cstheme="minorBidi"/>
          <w:noProof/>
          <w:szCs w:val="22"/>
          <w:lang w:val="en-AU" w:eastAsia="en-AU"/>
        </w:rPr>
      </w:pPr>
      <w:r>
        <w:rPr>
          <w:noProof/>
        </w:rPr>
        <w:t>Gambling harm</w:t>
      </w:r>
      <w:r>
        <w:rPr>
          <w:noProof/>
        </w:rPr>
        <w:tab/>
      </w:r>
      <w:r>
        <w:rPr>
          <w:noProof/>
        </w:rPr>
        <w:fldChar w:fldCharType="begin"/>
      </w:r>
      <w:r>
        <w:rPr>
          <w:noProof/>
        </w:rPr>
        <w:instrText xml:space="preserve"> PAGEREF _Toc174634390 \h </w:instrText>
      </w:r>
      <w:r>
        <w:rPr>
          <w:noProof/>
        </w:rPr>
      </w:r>
      <w:r>
        <w:rPr>
          <w:noProof/>
        </w:rPr>
        <w:fldChar w:fldCharType="separate"/>
      </w:r>
      <w:r w:rsidR="009D28D8">
        <w:rPr>
          <w:noProof/>
        </w:rPr>
        <w:t>7</w:t>
      </w:r>
      <w:r>
        <w:rPr>
          <w:noProof/>
        </w:rPr>
        <w:fldChar w:fldCharType="end"/>
      </w:r>
    </w:p>
    <w:p w14:paraId="5DED3F3D" w14:textId="5721236A" w:rsidR="00B657AF" w:rsidRDefault="00B657AF">
      <w:pPr>
        <w:pStyle w:val="TOC2"/>
        <w:rPr>
          <w:rFonts w:asciiTheme="minorHAnsi" w:eastAsiaTheme="minorEastAsia" w:hAnsiTheme="minorHAnsi" w:cstheme="minorBidi"/>
          <w:noProof/>
          <w:szCs w:val="22"/>
          <w:lang w:val="en-AU" w:eastAsia="en-AU"/>
        </w:rPr>
      </w:pPr>
      <w:r>
        <w:rPr>
          <w:noProof/>
        </w:rPr>
        <w:t>Current service delivery</w:t>
      </w:r>
      <w:r>
        <w:rPr>
          <w:noProof/>
        </w:rPr>
        <w:tab/>
      </w:r>
      <w:r>
        <w:rPr>
          <w:noProof/>
        </w:rPr>
        <w:fldChar w:fldCharType="begin"/>
      </w:r>
      <w:r>
        <w:rPr>
          <w:noProof/>
        </w:rPr>
        <w:instrText xml:space="preserve"> PAGEREF _Toc174634391 \h </w:instrText>
      </w:r>
      <w:r>
        <w:rPr>
          <w:noProof/>
        </w:rPr>
      </w:r>
      <w:r>
        <w:rPr>
          <w:noProof/>
        </w:rPr>
        <w:fldChar w:fldCharType="separate"/>
      </w:r>
      <w:r w:rsidR="009D28D8">
        <w:rPr>
          <w:noProof/>
        </w:rPr>
        <w:t>8</w:t>
      </w:r>
      <w:r>
        <w:rPr>
          <w:noProof/>
        </w:rPr>
        <w:fldChar w:fldCharType="end"/>
      </w:r>
    </w:p>
    <w:p w14:paraId="719FE139" w14:textId="367321D0" w:rsidR="00B657AF" w:rsidRDefault="00B657AF">
      <w:pPr>
        <w:pStyle w:val="TOC2"/>
        <w:rPr>
          <w:rFonts w:asciiTheme="minorHAnsi" w:eastAsiaTheme="minorEastAsia" w:hAnsiTheme="minorHAnsi" w:cstheme="minorBidi"/>
          <w:noProof/>
          <w:szCs w:val="22"/>
          <w:lang w:val="en-AU" w:eastAsia="en-AU"/>
        </w:rPr>
      </w:pPr>
      <w:r>
        <w:rPr>
          <w:noProof/>
        </w:rPr>
        <w:t>Needs assessment</w:t>
      </w:r>
      <w:r>
        <w:rPr>
          <w:noProof/>
        </w:rPr>
        <w:tab/>
      </w:r>
      <w:r>
        <w:rPr>
          <w:noProof/>
        </w:rPr>
        <w:fldChar w:fldCharType="begin"/>
      </w:r>
      <w:r>
        <w:rPr>
          <w:noProof/>
        </w:rPr>
        <w:instrText xml:space="preserve"> PAGEREF _Toc174634392 \h </w:instrText>
      </w:r>
      <w:r>
        <w:rPr>
          <w:noProof/>
        </w:rPr>
      </w:r>
      <w:r>
        <w:rPr>
          <w:noProof/>
        </w:rPr>
        <w:fldChar w:fldCharType="separate"/>
      </w:r>
      <w:r w:rsidR="009D28D8">
        <w:rPr>
          <w:noProof/>
        </w:rPr>
        <w:t>9</w:t>
      </w:r>
      <w:r>
        <w:rPr>
          <w:noProof/>
        </w:rPr>
        <w:fldChar w:fldCharType="end"/>
      </w:r>
    </w:p>
    <w:p w14:paraId="1D902E49" w14:textId="61C7F905" w:rsidR="00B657AF" w:rsidRDefault="00B657AF">
      <w:pPr>
        <w:pStyle w:val="TOC1"/>
        <w:rPr>
          <w:rFonts w:asciiTheme="minorHAnsi" w:eastAsiaTheme="minorEastAsia" w:hAnsiTheme="minorHAnsi" w:cstheme="minorBidi"/>
          <w:noProof/>
          <w:sz w:val="22"/>
          <w:szCs w:val="22"/>
          <w:lang w:val="en-AU" w:eastAsia="en-AU"/>
        </w:rPr>
      </w:pPr>
      <w:r>
        <w:rPr>
          <w:noProof/>
        </w:rPr>
        <w:t>Strategic plan</w:t>
      </w:r>
      <w:r>
        <w:rPr>
          <w:noProof/>
        </w:rPr>
        <w:tab/>
      </w:r>
      <w:r>
        <w:rPr>
          <w:noProof/>
        </w:rPr>
        <w:fldChar w:fldCharType="begin"/>
      </w:r>
      <w:r>
        <w:rPr>
          <w:noProof/>
        </w:rPr>
        <w:instrText xml:space="preserve"> PAGEREF _Toc174634393 \h </w:instrText>
      </w:r>
      <w:r>
        <w:rPr>
          <w:noProof/>
        </w:rPr>
      </w:r>
      <w:r>
        <w:rPr>
          <w:noProof/>
        </w:rPr>
        <w:fldChar w:fldCharType="separate"/>
      </w:r>
      <w:r w:rsidR="009D28D8">
        <w:rPr>
          <w:noProof/>
        </w:rPr>
        <w:t>10</w:t>
      </w:r>
      <w:r>
        <w:rPr>
          <w:noProof/>
        </w:rPr>
        <w:fldChar w:fldCharType="end"/>
      </w:r>
    </w:p>
    <w:p w14:paraId="3F4C739F" w14:textId="25368299" w:rsidR="00B657AF" w:rsidRDefault="00B657AF">
      <w:pPr>
        <w:pStyle w:val="TOC2"/>
        <w:rPr>
          <w:rFonts w:asciiTheme="minorHAnsi" w:eastAsiaTheme="minorEastAsia" w:hAnsiTheme="minorHAnsi" w:cstheme="minorBidi"/>
          <w:noProof/>
          <w:szCs w:val="22"/>
          <w:lang w:val="en-AU" w:eastAsia="en-AU"/>
        </w:rPr>
      </w:pPr>
      <w:r>
        <w:rPr>
          <w:noProof/>
        </w:rPr>
        <w:t>Priorities for the mental health and addiction sector</w:t>
      </w:r>
      <w:r>
        <w:rPr>
          <w:noProof/>
        </w:rPr>
        <w:tab/>
      </w:r>
      <w:r>
        <w:rPr>
          <w:noProof/>
        </w:rPr>
        <w:fldChar w:fldCharType="begin"/>
      </w:r>
      <w:r>
        <w:rPr>
          <w:noProof/>
        </w:rPr>
        <w:instrText xml:space="preserve"> PAGEREF _Toc174634394 \h </w:instrText>
      </w:r>
      <w:r>
        <w:rPr>
          <w:noProof/>
        </w:rPr>
      </w:r>
      <w:r>
        <w:rPr>
          <w:noProof/>
        </w:rPr>
        <w:fldChar w:fldCharType="separate"/>
      </w:r>
      <w:r w:rsidR="009D28D8">
        <w:rPr>
          <w:noProof/>
        </w:rPr>
        <w:t>10</w:t>
      </w:r>
      <w:r>
        <w:rPr>
          <w:noProof/>
        </w:rPr>
        <w:fldChar w:fldCharType="end"/>
      </w:r>
    </w:p>
    <w:p w14:paraId="72FC7114" w14:textId="3A21A145" w:rsidR="00B657AF" w:rsidRDefault="00B657AF">
      <w:pPr>
        <w:pStyle w:val="TOC2"/>
        <w:rPr>
          <w:rFonts w:asciiTheme="minorHAnsi" w:eastAsiaTheme="minorEastAsia" w:hAnsiTheme="minorHAnsi" w:cstheme="minorBidi"/>
          <w:noProof/>
          <w:szCs w:val="22"/>
          <w:lang w:val="en-AU" w:eastAsia="en-AU"/>
        </w:rPr>
      </w:pPr>
      <w:r>
        <w:rPr>
          <w:noProof/>
        </w:rPr>
        <w:t>Strategic framework for preventing and minimising gambling harm</w:t>
      </w:r>
      <w:r>
        <w:rPr>
          <w:noProof/>
        </w:rPr>
        <w:tab/>
      </w:r>
      <w:r>
        <w:rPr>
          <w:noProof/>
        </w:rPr>
        <w:fldChar w:fldCharType="begin"/>
      </w:r>
      <w:r>
        <w:rPr>
          <w:noProof/>
        </w:rPr>
        <w:instrText xml:space="preserve"> PAGEREF _Toc174634395 \h </w:instrText>
      </w:r>
      <w:r>
        <w:rPr>
          <w:noProof/>
        </w:rPr>
      </w:r>
      <w:r>
        <w:rPr>
          <w:noProof/>
        </w:rPr>
        <w:fldChar w:fldCharType="separate"/>
      </w:r>
      <w:r w:rsidR="009D28D8">
        <w:rPr>
          <w:noProof/>
        </w:rPr>
        <w:t>10</w:t>
      </w:r>
      <w:r>
        <w:rPr>
          <w:noProof/>
        </w:rPr>
        <w:fldChar w:fldCharType="end"/>
      </w:r>
    </w:p>
    <w:p w14:paraId="598AEFB2" w14:textId="79BE7D6F" w:rsidR="00B657AF" w:rsidRDefault="00B657AF">
      <w:pPr>
        <w:pStyle w:val="TOC1"/>
        <w:rPr>
          <w:rFonts w:asciiTheme="minorHAnsi" w:eastAsiaTheme="minorEastAsia" w:hAnsiTheme="minorHAnsi" w:cstheme="minorBidi"/>
          <w:noProof/>
          <w:sz w:val="22"/>
          <w:szCs w:val="22"/>
          <w:lang w:val="en-AU" w:eastAsia="en-AU"/>
        </w:rPr>
      </w:pPr>
      <w:r>
        <w:rPr>
          <w:noProof/>
        </w:rPr>
        <w:t>Service plan</w:t>
      </w:r>
      <w:r>
        <w:rPr>
          <w:noProof/>
        </w:rPr>
        <w:tab/>
      </w:r>
      <w:r>
        <w:rPr>
          <w:noProof/>
        </w:rPr>
        <w:fldChar w:fldCharType="begin"/>
      </w:r>
      <w:r>
        <w:rPr>
          <w:noProof/>
        </w:rPr>
        <w:instrText xml:space="preserve"> PAGEREF _Toc174634396 \h </w:instrText>
      </w:r>
      <w:r>
        <w:rPr>
          <w:noProof/>
        </w:rPr>
      </w:r>
      <w:r>
        <w:rPr>
          <w:noProof/>
        </w:rPr>
        <w:fldChar w:fldCharType="separate"/>
      </w:r>
      <w:r w:rsidR="009D28D8">
        <w:rPr>
          <w:noProof/>
        </w:rPr>
        <w:t>13</w:t>
      </w:r>
      <w:r>
        <w:rPr>
          <w:noProof/>
        </w:rPr>
        <w:fldChar w:fldCharType="end"/>
      </w:r>
    </w:p>
    <w:p w14:paraId="421A5B00" w14:textId="56E6CA7F" w:rsidR="00B657AF" w:rsidRDefault="00B657AF">
      <w:pPr>
        <w:pStyle w:val="TOC2"/>
        <w:rPr>
          <w:rFonts w:asciiTheme="minorHAnsi" w:eastAsiaTheme="minorEastAsia" w:hAnsiTheme="minorHAnsi" w:cstheme="minorBidi"/>
          <w:noProof/>
          <w:szCs w:val="22"/>
          <w:lang w:val="en-AU" w:eastAsia="en-AU"/>
        </w:rPr>
      </w:pPr>
      <w:r>
        <w:rPr>
          <w:noProof/>
        </w:rPr>
        <w:t>Indicative budget for 2025/26 to 2027/28</w:t>
      </w:r>
      <w:r>
        <w:rPr>
          <w:noProof/>
        </w:rPr>
        <w:tab/>
      </w:r>
      <w:r>
        <w:rPr>
          <w:noProof/>
        </w:rPr>
        <w:fldChar w:fldCharType="begin"/>
      </w:r>
      <w:r>
        <w:rPr>
          <w:noProof/>
        </w:rPr>
        <w:instrText xml:space="preserve"> PAGEREF _Toc174634397 \h </w:instrText>
      </w:r>
      <w:r>
        <w:rPr>
          <w:noProof/>
        </w:rPr>
      </w:r>
      <w:r>
        <w:rPr>
          <w:noProof/>
        </w:rPr>
        <w:fldChar w:fldCharType="separate"/>
      </w:r>
      <w:r w:rsidR="009D28D8">
        <w:rPr>
          <w:noProof/>
        </w:rPr>
        <w:t>13</w:t>
      </w:r>
      <w:r>
        <w:rPr>
          <w:noProof/>
        </w:rPr>
        <w:fldChar w:fldCharType="end"/>
      </w:r>
    </w:p>
    <w:p w14:paraId="0821F8F4" w14:textId="06107929" w:rsidR="00B657AF" w:rsidRDefault="00B657AF">
      <w:pPr>
        <w:pStyle w:val="TOC2"/>
        <w:rPr>
          <w:rFonts w:asciiTheme="minorHAnsi" w:eastAsiaTheme="minorEastAsia" w:hAnsiTheme="minorHAnsi" w:cstheme="minorBidi"/>
          <w:noProof/>
          <w:szCs w:val="22"/>
          <w:lang w:val="en-AU" w:eastAsia="en-AU"/>
        </w:rPr>
      </w:pPr>
      <w:r>
        <w:rPr>
          <w:noProof/>
        </w:rPr>
        <w:t>Service plan for 2025/26 to 2027/28</w:t>
      </w:r>
      <w:r>
        <w:rPr>
          <w:noProof/>
        </w:rPr>
        <w:tab/>
      </w:r>
      <w:r>
        <w:rPr>
          <w:noProof/>
        </w:rPr>
        <w:fldChar w:fldCharType="begin"/>
      </w:r>
      <w:r>
        <w:rPr>
          <w:noProof/>
        </w:rPr>
        <w:instrText xml:space="preserve"> PAGEREF _Toc174634398 \h </w:instrText>
      </w:r>
      <w:r>
        <w:rPr>
          <w:noProof/>
        </w:rPr>
      </w:r>
      <w:r>
        <w:rPr>
          <w:noProof/>
        </w:rPr>
        <w:fldChar w:fldCharType="separate"/>
      </w:r>
      <w:r w:rsidR="009D28D8">
        <w:rPr>
          <w:noProof/>
        </w:rPr>
        <w:t>14</w:t>
      </w:r>
      <w:r>
        <w:rPr>
          <w:noProof/>
        </w:rPr>
        <w:fldChar w:fldCharType="end"/>
      </w:r>
    </w:p>
    <w:p w14:paraId="1A5855FA" w14:textId="6EB51949" w:rsidR="00B657AF" w:rsidRDefault="00B657AF">
      <w:pPr>
        <w:pStyle w:val="TOC2"/>
        <w:rPr>
          <w:rFonts w:asciiTheme="minorHAnsi" w:eastAsiaTheme="minorEastAsia" w:hAnsiTheme="minorHAnsi" w:cstheme="minorBidi"/>
          <w:noProof/>
          <w:szCs w:val="22"/>
          <w:lang w:val="en-AU" w:eastAsia="en-AU"/>
        </w:rPr>
      </w:pPr>
      <w:r>
        <w:rPr>
          <w:noProof/>
        </w:rPr>
        <w:t>Research and evaluation</w:t>
      </w:r>
      <w:r>
        <w:rPr>
          <w:noProof/>
        </w:rPr>
        <w:tab/>
      </w:r>
      <w:r>
        <w:rPr>
          <w:noProof/>
        </w:rPr>
        <w:fldChar w:fldCharType="begin"/>
      </w:r>
      <w:r>
        <w:rPr>
          <w:noProof/>
        </w:rPr>
        <w:instrText xml:space="preserve"> PAGEREF _Toc174634399 \h </w:instrText>
      </w:r>
      <w:r>
        <w:rPr>
          <w:noProof/>
        </w:rPr>
      </w:r>
      <w:r>
        <w:rPr>
          <w:noProof/>
        </w:rPr>
        <w:fldChar w:fldCharType="separate"/>
      </w:r>
      <w:r w:rsidR="009D28D8">
        <w:rPr>
          <w:noProof/>
        </w:rPr>
        <w:t>16</w:t>
      </w:r>
      <w:r>
        <w:rPr>
          <w:noProof/>
        </w:rPr>
        <w:fldChar w:fldCharType="end"/>
      </w:r>
    </w:p>
    <w:p w14:paraId="49E7072D" w14:textId="47489A25" w:rsidR="00B657AF" w:rsidRDefault="00B657AF">
      <w:pPr>
        <w:pStyle w:val="TOC2"/>
        <w:rPr>
          <w:rFonts w:asciiTheme="minorHAnsi" w:eastAsiaTheme="minorEastAsia" w:hAnsiTheme="minorHAnsi" w:cstheme="minorBidi"/>
          <w:noProof/>
          <w:szCs w:val="22"/>
          <w:lang w:val="en-AU" w:eastAsia="en-AU"/>
        </w:rPr>
      </w:pPr>
      <w:r>
        <w:rPr>
          <w:noProof/>
        </w:rPr>
        <w:t>Agency operating costs</w:t>
      </w:r>
      <w:r>
        <w:rPr>
          <w:noProof/>
        </w:rPr>
        <w:tab/>
      </w:r>
      <w:r>
        <w:rPr>
          <w:noProof/>
        </w:rPr>
        <w:fldChar w:fldCharType="begin"/>
      </w:r>
      <w:r>
        <w:rPr>
          <w:noProof/>
        </w:rPr>
        <w:instrText xml:space="preserve"> PAGEREF _Toc174634400 \h </w:instrText>
      </w:r>
      <w:r>
        <w:rPr>
          <w:noProof/>
        </w:rPr>
      </w:r>
      <w:r>
        <w:rPr>
          <w:noProof/>
        </w:rPr>
        <w:fldChar w:fldCharType="separate"/>
      </w:r>
      <w:r w:rsidR="009D28D8">
        <w:rPr>
          <w:noProof/>
        </w:rPr>
        <w:t>17</w:t>
      </w:r>
      <w:r>
        <w:rPr>
          <w:noProof/>
        </w:rPr>
        <w:fldChar w:fldCharType="end"/>
      </w:r>
    </w:p>
    <w:p w14:paraId="3F0B1B65" w14:textId="11779565" w:rsidR="00B657AF" w:rsidRDefault="00B657AF">
      <w:pPr>
        <w:pStyle w:val="TOC1"/>
        <w:rPr>
          <w:rFonts w:asciiTheme="minorHAnsi" w:eastAsiaTheme="minorEastAsia" w:hAnsiTheme="minorHAnsi" w:cstheme="minorBidi"/>
          <w:noProof/>
          <w:sz w:val="22"/>
          <w:szCs w:val="22"/>
          <w:lang w:val="en-AU" w:eastAsia="en-AU"/>
        </w:rPr>
      </w:pPr>
      <w:r>
        <w:rPr>
          <w:noProof/>
        </w:rPr>
        <w:t>Problem gambling levy</w:t>
      </w:r>
      <w:r>
        <w:rPr>
          <w:noProof/>
        </w:rPr>
        <w:tab/>
      </w:r>
      <w:r w:rsidR="005E0B1E">
        <w:rPr>
          <w:noProof/>
        </w:rPr>
        <w:t>18</w:t>
      </w:r>
    </w:p>
    <w:p w14:paraId="2826C790" w14:textId="181E72AB" w:rsidR="00B657AF" w:rsidRDefault="00B657AF">
      <w:pPr>
        <w:pStyle w:val="TOC2"/>
        <w:rPr>
          <w:rFonts w:asciiTheme="minorHAnsi" w:eastAsiaTheme="minorEastAsia" w:hAnsiTheme="minorHAnsi" w:cstheme="minorBidi"/>
          <w:noProof/>
          <w:szCs w:val="22"/>
          <w:lang w:val="en-AU" w:eastAsia="en-AU"/>
        </w:rPr>
      </w:pPr>
      <w:r>
        <w:rPr>
          <w:noProof/>
        </w:rPr>
        <w:t>Setting the Problem Gambling Levy</w:t>
      </w:r>
      <w:r>
        <w:rPr>
          <w:noProof/>
        </w:rPr>
        <w:tab/>
      </w:r>
      <w:r w:rsidR="005E0B1E">
        <w:rPr>
          <w:noProof/>
        </w:rPr>
        <w:t>18</w:t>
      </w:r>
    </w:p>
    <w:p w14:paraId="72C298EE" w14:textId="35CC5808" w:rsidR="00B657AF" w:rsidRDefault="00B657AF">
      <w:pPr>
        <w:pStyle w:val="TOC2"/>
        <w:rPr>
          <w:rFonts w:asciiTheme="minorHAnsi" w:eastAsiaTheme="minorEastAsia" w:hAnsiTheme="minorHAnsi" w:cstheme="minorBidi"/>
          <w:noProof/>
          <w:szCs w:val="22"/>
          <w:lang w:val="en-AU" w:eastAsia="en-AU"/>
        </w:rPr>
      </w:pPr>
      <w:r>
        <w:rPr>
          <w:noProof/>
        </w:rPr>
        <w:t>Process for setting the levy rates</w:t>
      </w:r>
      <w:r>
        <w:rPr>
          <w:noProof/>
        </w:rPr>
        <w:tab/>
      </w:r>
      <w:r w:rsidR="005E0B1E">
        <w:rPr>
          <w:noProof/>
        </w:rPr>
        <w:t>18</w:t>
      </w:r>
    </w:p>
    <w:p w14:paraId="2E71D674" w14:textId="1F72D208" w:rsidR="00B657AF" w:rsidRDefault="00B657AF">
      <w:pPr>
        <w:pStyle w:val="TOC2"/>
        <w:rPr>
          <w:rFonts w:asciiTheme="minorHAnsi" w:eastAsiaTheme="minorEastAsia" w:hAnsiTheme="minorHAnsi" w:cstheme="minorBidi"/>
          <w:noProof/>
          <w:szCs w:val="22"/>
          <w:lang w:val="en-AU" w:eastAsia="en-AU"/>
        </w:rPr>
      </w:pPr>
      <w:r>
        <w:rPr>
          <w:noProof/>
        </w:rPr>
        <w:t>The levy formula</w:t>
      </w:r>
      <w:r>
        <w:rPr>
          <w:noProof/>
        </w:rPr>
        <w:tab/>
      </w:r>
      <w:r w:rsidR="005E0B1E">
        <w:rPr>
          <w:noProof/>
        </w:rPr>
        <w:t>18</w:t>
      </w:r>
    </w:p>
    <w:p w14:paraId="603CDA82" w14:textId="218BACF2" w:rsidR="00B657AF" w:rsidRDefault="00B657AF">
      <w:pPr>
        <w:pStyle w:val="TOC2"/>
        <w:rPr>
          <w:rFonts w:asciiTheme="minorHAnsi" w:eastAsiaTheme="minorEastAsia" w:hAnsiTheme="minorHAnsi" w:cstheme="minorBidi"/>
          <w:noProof/>
          <w:szCs w:val="22"/>
          <w:lang w:val="en-AU" w:eastAsia="en-AU"/>
        </w:rPr>
      </w:pPr>
      <w:r>
        <w:rPr>
          <w:noProof/>
        </w:rPr>
        <w:t>Options and levy calculations</w:t>
      </w:r>
      <w:r>
        <w:rPr>
          <w:noProof/>
        </w:rPr>
        <w:tab/>
      </w:r>
      <w:r>
        <w:rPr>
          <w:noProof/>
        </w:rPr>
        <w:fldChar w:fldCharType="begin"/>
      </w:r>
      <w:r>
        <w:rPr>
          <w:noProof/>
        </w:rPr>
        <w:instrText xml:space="preserve"> PAGEREF _Toc174634405 \h </w:instrText>
      </w:r>
      <w:r>
        <w:rPr>
          <w:noProof/>
        </w:rPr>
      </w:r>
      <w:r>
        <w:rPr>
          <w:noProof/>
        </w:rPr>
        <w:fldChar w:fldCharType="separate"/>
      </w:r>
      <w:r w:rsidR="009D28D8">
        <w:rPr>
          <w:noProof/>
        </w:rPr>
        <w:t>20</w:t>
      </w:r>
      <w:r>
        <w:rPr>
          <w:noProof/>
        </w:rPr>
        <w:fldChar w:fldCharType="end"/>
      </w:r>
    </w:p>
    <w:p w14:paraId="19979A2D" w14:textId="394AE48D" w:rsidR="00B657AF" w:rsidRDefault="00B657AF">
      <w:pPr>
        <w:pStyle w:val="TOC1"/>
        <w:rPr>
          <w:rFonts w:asciiTheme="minorHAnsi" w:eastAsiaTheme="minorEastAsia" w:hAnsiTheme="minorHAnsi" w:cstheme="minorBidi"/>
          <w:noProof/>
          <w:sz w:val="22"/>
          <w:szCs w:val="22"/>
          <w:lang w:val="en-AU" w:eastAsia="en-AU"/>
        </w:rPr>
      </w:pPr>
      <w:r>
        <w:rPr>
          <w:noProof/>
        </w:rPr>
        <w:t>Making a submission</w:t>
      </w:r>
      <w:r>
        <w:rPr>
          <w:noProof/>
        </w:rPr>
        <w:tab/>
      </w:r>
      <w:r w:rsidR="005E0B1E">
        <w:rPr>
          <w:noProof/>
        </w:rPr>
        <w:t>2</w:t>
      </w:r>
      <w:r w:rsidR="004B7C6B">
        <w:rPr>
          <w:noProof/>
        </w:rPr>
        <w:t>2</w:t>
      </w:r>
    </w:p>
    <w:p w14:paraId="133A9219" w14:textId="680267DE" w:rsidR="00C86248" w:rsidRDefault="00C86248">
      <w:r>
        <w:rPr>
          <w:b/>
        </w:rPr>
        <w:fldChar w:fldCharType="end"/>
      </w:r>
    </w:p>
    <w:p w14:paraId="49038387" w14:textId="77777777" w:rsidR="003A5FEA" w:rsidRDefault="003A5FEA" w:rsidP="001D3E4E">
      <w:pPr>
        <w:pStyle w:val="TOC1"/>
        <w:keepNext/>
      </w:pPr>
      <w:r>
        <w:lastRenderedPageBreak/>
        <w:t>List of Figures</w:t>
      </w:r>
    </w:p>
    <w:p w14:paraId="28F868A3" w14:textId="4C4E97C1" w:rsidR="00B657AF" w:rsidRDefault="003A5FEA">
      <w:pPr>
        <w:pStyle w:val="TOC3"/>
        <w:rPr>
          <w:rFonts w:asciiTheme="minorHAnsi" w:eastAsiaTheme="minorEastAsia" w:hAnsiTheme="minorHAnsi" w:cstheme="minorBidi"/>
          <w:noProof/>
          <w:sz w:val="22"/>
          <w:szCs w:val="22"/>
          <w:lang w:val="en-AU" w:eastAsia="en-AU"/>
        </w:rPr>
      </w:pPr>
      <w:r>
        <w:fldChar w:fldCharType="begin"/>
      </w:r>
      <w:r>
        <w:instrText xml:space="preserve"> TOC \t "Figure,3" </w:instrText>
      </w:r>
      <w:r>
        <w:fldChar w:fldCharType="separate"/>
      </w:r>
      <w:r w:rsidR="00B657AF">
        <w:rPr>
          <w:noProof/>
        </w:rPr>
        <w:t xml:space="preserve">Figure 1: </w:t>
      </w:r>
      <w:r w:rsidR="00B657AF" w:rsidRPr="00981D6A">
        <w:rPr>
          <w:rFonts w:eastAsia="Lucida Sans Unicode"/>
          <w:noProof/>
        </w:rPr>
        <w:t>Gambling by type, 2020 (% of population aged 15+)</w:t>
      </w:r>
      <w:r w:rsidR="00B657AF">
        <w:rPr>
          <w:noProof/>
        </w:rPr>
        <w:tab/>
      </w:r>
      <w:r w:rsidR="005E0B1E">
        <w:rPr>
          <w:noProof/>
        </w:rPr>
        <w:t>6</w:t>
      </w:r>
    </w:p>
    <w:p w14:paraId="5CD303E3" w14:textId="279CF1A9" w:rsidR="00B657AF" w:rsidRDefault="00B657AF">
      <w:pPr>
        <w:pStyle w:val="TOC3"/>
        <w:rPr>
          <w:rFonts w:asciiTheme="minorHAnsi" w:eastAsiaTheme="minorEastAsia" w:hAnsiTheme="minorHAnsi" w:cstheme="minorBidi"/>
          <w:noProof/>
          <w:sz w:val="22"/>
          <w:szCs w:val="22"/>
          <w:lang w:val="en-AU" w:eastAsia="en-AU"/>
        </w:rPr>
      </w:pPr>
      <w:r>
        <w:rPr>
          <w:noProof/>
        </w:rPr>
        <w:t>Figure 2: Strategic framework for preventing and minimising gambling harm in New Zealand</w:t>
      </w:r>
      <w:r>
        <w:rPr>
          <w:noProof/>
        </w:rPr>
        <w:tab/>
      </w:r>
      <w:r>
        <w:rPr>
          <w:noProof/>
        </w:rPr>
        <w:fldChar w:fldCharType="begin"/>
      </w:r>
      <w:r>
        <w:rPr>
          <w:noProof/>
        </w:rPr>
        <w:instrText xml:space="preserve"> PAGEREF _Toc174634411 \h </w:instrText>
      </w:r>
      <w:r>
        <w:rPr>
          <w:noProof/>
        </w:rPr>
      </w:r>
      <w:r>
        <w:rPr>
          <w:noProof/>
        </w:rPr>
        <w:fldChar w:fldCharType="separate"/>
      </w:r>
      <w:r w:rsidR="009D28D8">
        <w:rPr>
          <w:noProof/>
        </w:rPr>
        <w:t>12</w:t>
      </w:r>
      <w:r>
        <w:rPr>
          <w:noProof/>
        </w:rPr>
        <w:fldChar w:fldCharType="end"/>
      </w:r>
    </w:p>
    <w:p w14:paraId="05CC63FD" w14:textId="26491107" w:rsidR="003A5FEA" w:rsidRDefault="003A5FEA" w:rsidP="003A5FEA">
      <w:r>
        <w:fldChar w:fldCharType="end"/>
      </w:r>
    </w:p>
    <w:p w14:paraId="0D248541" w14:textId="77777777" w:rsidR="002B76A7" w:rsidRDefault="002B76A7" w:rsidP="002B76A7">
      <w:pPr>
        <w:pStyle w:val="TOC1"/>
        <w:keepNext/>
      </w:pPr>
      <w:r>
        <w:t>List of Tables</w:t>
      </w:r>
    </w:p>
    <w:p w14:paraId="4F6C6AAD" w14:textId="68D40C76" w:rsidR="00B657AF" w:rsidRDefault="002B76A7">
      <w:pPr>
        <w:pStyle w:val="TOC3"/>
        <w:rPr>
          <w:rFonts w:asciiTheme="minorHAnsi" w:eastAsiaTheme="minorEastAsia" w:hAnsiTheme="minorHAnsi" w:cstheme="minorBidi"/>
          <w:noProof/>
          <w:sz w:val="22"/>
          <w:szCs w:val="22"/>
          <w:lang w:val="en-AU" w:eastAsia="en-AU"/>
        </w:rPr>
      </w:pPr>
      <w:r>
        <w:rPr>
          <w:sz w:val="20"/>
        </w:rPr>
        <w:fldChar w:fldCharType="begin"/>
      </w:r>
      <w:r>
        <w:instrText xml:space="preserve"> TOC \t "Table,3" </w:instrText>
      </w:r>
      <w:r>
        <w:rPr>
          <w:sz w:val="20"/>
        </w:rPr>
        <w:fldChar w:fldCharType="separate"/>
      </w:r>
      <w:r w:rsidR="00B657AF">
        <w:rPr>
          <w:noProof/>
        </w:rPr>
        <w:t>Table 1: Summary of service plan and b</w:t>
      </w:r>
      <w:r w:rsidR="00B657AF" w:rsidRPr="00EB61EE">
        <w:rPr>
          <w:rFonts w:eastAsia="Lucida Sans Unicode"/>
          <w:noProof/>
        </w:rPr>
        <w:t>udget to prevent and minimise gambling harm (in $ millions – GST exclusive), 2025/26 to 2027/28</w:t>
      </w:r>
      <w:r w:rsidR="00B657AF">
        <w:rPr>
          <w:noProof/>
        </w:rPr>
        <w:tab/>
      </w:r>
      <w:r w:rsidR="00B657AF">
        <w:rPr>
          <w:noProof/>
        </w:rPr>
        <w:fldChar w:fldCharType="begin"/>
      </w:r>
      <w:r w:rsidR="00B657AF">
        <w:rPr>
          <w:noProof/>
        </w:rPr>
        <w:instrText xml:space="preserve"> PAGEREF _Toc174634412 \h </w:instrText>
      </w:r>
      <w:r w:rsidR="00B657AF">
        <w:rPr>
          <w:noProof/>
        </w:rPr>
      </w:r>
      <w:r w:rsidR="00B657AF">
        <w:rPr>
          <w:noProof/>
        </w:rPr>
        <w:fldChar w:fldCharType="separate"/>
      </w:r>
      <w:r w:rsidR="009D28D8">
        <w:rPr>
          <w:noProof/>
        </w:rPr>
        <w:t>15</w:t>
      </w:r>
      <w:r w:rsidR="00B657AF">
        <w:rPr>
          <w:noProof/>
        </w:rPr>
        <w:fldChar w:fldCharType="end"/>
      </w:r>
    </w:p>
    <w:p w14:paraId="0D4545FE" w14:textId="4D781D89" w:rsidR="00B657AF" w:rsidRDefault="00B657AF">
      <w:pPr>
        <w:pStyle w:val="TOC3"/>
        <w:rPr>
          <w:rFonts w:asciiTheme="minorHAnsi" w:eastAsiaTheme="minorEastAsia" w:hAnsiTheme="minorHAnsi" w:cstheme="minorBidi"/>
          <w:noProof/>
          <w:sz w:val="22"/>
          <w:szCs w:val="22"/>
          <w:lang w:val="en-AU" w:eastAsia="en-AU"/>
        </w:rPr>
      </w:pPr>
      <w:r>
        <w:rPr>
          <w:noProof/>
        </w:rPr>
        <w:t xml:space="preserve">Table 2: </w:t>
      </w:r>
      <w:r w:rsidRPr="00EB61EE">
        <w:rPr>
          <w:rFonts w:eastAsia="Calibri"/>
          <w:noProof/>
        </w:rPr>
        <w:t>Gambling harm research and evaluation framework</w:t>
      </w:r>
      <w:r>
        <w:rPr>
          <w:noProof/>
        </w:rPr>
        <w:tab/>
      </w:r>
      <w:r>
        <w:rPr>
          <w:noProof/>
        </w:rPr>
        <w:fldChar w:fldCharType="begin"/>
      </w:r>
      <w:r>
        <w:rPr>
          <w:noProof/>
        </w:rPr>
        <w:instrText xml:space="preserve"> PAGEREF _Toc174634413 \h </w:instrText>
      </w:r>
      <w:r>
        <w:rPr>
          <w:noProof/>
        </w:rPr>
      </w:r>
      <w:r>
        <w:rPr>
          <w:noProof/>
        </w:rPr>
        <w:fldChar w:fldCharType="separate"/>
      </w:r>
      <w:r w:rsidR="009D28D8">
        <w:rPr>
          <w:noProof/>
        </w:rPr>
        <w:t>16</w:t>
      </w:r>
      <w:r>
        <w:rPr>
          <w:noProof/>
        </w:rPr>
        <w:fldChar w:fldCharType="end"/>
      </w:r>
    </w:p>
    <w:p w14:paraId="359ADE44" w14:textId="10E33782" w:rsidR="00B657AF" w:rsidRDefault="00B657AF">
      <w:pPr>
        <w:pStyle w:val="TOC3"/>
        <w:rPr>
          <w:rFonts w:asciiTheme="minorHAnsi" w:eastAsiaTheme="minorEastAsia" w:hAnsiTheme="minorHAnsi" w:cstheme="minorBidi"/>
          <w:noProof/>
          <w:sz w:val="22"/>
          <w:szCs w:val="22"/>
          <w:lang w:val="en-AU" w:eastAsia="en-AU"/>
        </w:rPr>
      </w:pPr>
      <w:r>
        <w:rPr>
          <w:noProof/>
        </w:rPr>
        <w:t xml:space="preserve">Table 3: </w:t>
      </w:r>
      <w:r w:rsidRPr="00EB61EE">
        <w:rPr>
          <w:rFonts w:eastAsia="Segoe UI"/>
          <w:noProof/>
        </w:rPr>
        <w:t>Research and evaluation budget in millions (GST-exclusive), 2025/26 to 2027/28</w:t>
      </w:r>
      <w:r>
        <w:rPr>
          <w:noProof/>
        </w:rPr>
        <w:tab/>
      </w:r>
      <w:r>
        <w:rPr>
          <w:noProof/>
        </w:rPr>
        <w:fldChar w:fldCharType="begin"/>
      </w:r>
      <w:r>
        <w:rPr>
          <w:noProof/>
        </w:rPr>
        <w:instrText xml:space="preserve"> PAGEREF _Toc174634414 \h </w:instrText>
      </w:r>
      <w:r>
        <w:rPr>
          <w:noProof/>
        </w:rPr>
      </w:r>
      <w:r>
        <w:rPr>
          <w:noProof/>
        </w:rPr>
        <w:fldChar w:fldCharType="separate"/>
      </w:r>
      <w:r w:rsidR="009D28D8">
        <w:rPr>
          <w:noProof/>
        </w:rPr>
        <w:t>16</w:t>
      </w:r>
      <w:r>
        <w:rPr>
          <w:noProof/>
        </w:rPr>
        <w:fldChar w:fldCharType="end"/>
      </w:r>
    </w:p>
    <w:p w14:paraId="114DAB00" w14:textId="47DE8DDD" w:rsidR="00B657AF" w:rsidRDefault="00B657AF">
      <w:pPr>
        <w:pStyle w:val="TOC3"/>
        <w:rPr>
          <w:rFonts w:asciiTheme="minorHAnsi" w:eastAsiaTheme="minorEastAsia" w:hAnsiTheme="minorHAnsi" w:cstheme="minorBidi"/>
          <w:noProof/>
          <w:sz w:val="22"/>
          <w:szCs w:val="22"/>
          <w:lang w:val="en-AU" w:eastAsia="en-AU"/>
        </w:rPr>
      </w:pPr>
      <w:r>
        <w:rPr>
          <w:noProof/>
        </w:rPr>
        <w:t xml:space="preserve">Table 4: </w:t>
      </w:r>
      <w:r w:rsidRPr="00EB61EE">
        <w:rPr>
          <w:rFonts w:eastAsia="Lucida Sans Unicode"/>
          <w:noProof/>
        </w:rPr>
        <w:t>Budget agency operating costs in $ millions (GST exclusive), 2025/26 to 2027/28</w:t>
      </w:r>
      <w:r>
        <w:rPr>
          <w:noProof/>
        </w:rPr>
        <w:tab/>
      </w:r>
      <w:r>
        <w:rPr>
          <w:noProof/>
        </w:rPr>
        <w:fldChar w:fldCharType="begin"/>
      </w:r>
      <w:r>
        <w:rPr>
          <w:noProof/>
        </w:rPr>
        <w:instrText xml:space="preserve"> PAGEREF _Toc174634415 \h </w:instrText>
      </w:r>
      <w:r>
        <w:rPr>
          <w:noProof/>
        </w:rPr>
      </w:r>
      <w:r>
        <w:rPr>
          <w:noProof/>
        </w:rPr>
        <w:fldChar w:fldCharType="separate"/>
      </w:r>
      <w:r w:rsidR="009D28D8">
        <w:rPr>
          <w:noProof/>
        </w:rPr>
        <w:t>17</w:t>
      </w:r>
      <w:r>
        <w:rPr>
          <w:noProof/>
        </w:rPr>
        <w:fldChar w:fldCharType="end"/>
      </w:r>
    </w:p>
    <w:p w14:paraId="6BA5DFBC" w14:textId="3D5BDF6F" w:rsidR="00B657AF" w:rsidRDefault="00B657AF">
      <w:pPr>
        <w:pStyle w:val="TOC3"/>
        <w:rPr>
          <w:rFonts w:asciiTheme="minorHAnsi" w:eastAsiaTheme="minorEastAsia" w:hAnsiTheme="minorHAnsi" w:cstheme="minorBidi"/>
          <w:noProof/>
          <w:sz w:val="22"/>
          <w:szCs w:val="22"/>
          <w:lang w:val="en-AU" w:eastAsia="en-AU"/>
        </w:rPr>
      </w:pPr>
      <w:r>
        <w:rPr>
          <w:noProof/>
        </w:rPr>
        <w:t xml:space="preserve">Table 5: </w:t>
      </w:r>
      <w:r w:rsidRPr="00EB61EE">
        <w:rPr>
          <w:rFonts w:eastAsia="Segoe UI"/>
          <w:noProof/>
        </w:rPr>
        <w:t>Share of expenditure (2022/23) and presentations (2023) by levy-paying sector</w:t>
      </w:r>
      <w:r>
        <w:rPr>
          <w:noProof/>
        </w:rPr>
        <w:tab/>
      </w:r>
      <w:r>
        <w:rPr>
          <w:noProof/>
        </w:rPr>
        <w:fldChar w:fldCharType="begin"/>
      </w:r>
      <w:r>
        <w:rPr>
          <w:noProof/>
        </w:rPr>
        <w:instrText xml:space="preserve"> PAGEREF _Toc174634416 \h </w:instrText>
      </w:r>
      <w:r>
        <w:rPr>
          <w:noProof/>
        </w:rPr>
      </w:r>
      <w:r>
        <w:rPr>
          <w:noProof/>
        </w:rPr>
        <w:fldChar w:fldCharType="separate"/>
      </w:r>
      <w:r w:rsidR="009D28D8">
        <w:rPr>
          <w:noProof/>
        </w:rPr>
        <w:t>20</w:t>
      </w:r>
      <w:r>
        <w:rPr>
          <w:noProof/>
        </w:rPr>
        <w:fldChar w:fldCharType="end"/>
      </w:r>
    </w:p>
    <w:p w14:paraId="55852D1A" w14:textId="36C28242" w:rsidR="00B657AF" w:rsidRDefault="00B657AF">
      <w:pPr>
        <w:pStyle w:val="TOC3"/>
        <w:rPr>
          <w:rFonts w:asciiTheme="minorHAnsi" w:eastAsiaTheme="minorEastAsia" w:hAnsiTheme="minorHAnsi" w:cstheme="minorBidi"/>
          <w:noProof/>
          <w:sz w:val="22"/>
          <w:szCs w:val="22"/>
          <w:lang w:val="en-AU" w:eastAsia="en-AU"/>
        </w:rPr>
      </w:pPr>
      <w:r>
        <w:rPr>
          <w:noProof/>
        </w:rPr>
        <w:t xml:space="preserve">Table 6: </w:t>
      </w:r>
      <w:r w:rsidRPr="00EB61EE">
        <w:rPr>
          <w:rFonts w:eastAsia="Segoe UI"/>
          <w:noProof/>
        </w:rPr>
        <w:t>Estimated levy rates and payments ($m) per sector, 5/95 weighting</w:t>
      </w:r>
      <w:r>
        <w:rPr>
          <w:noProof/>
        </w:rPr>
        <w:tab/>
      </w:r>
      <w:r>
        <w:rPr>
          <w:noProof/>
        </w:rPr>
        <w:fldChar w:fldCharType="begin"/>
      </w:r>
      <w:r>
        <w:rPr>
          <w:noProof/>
        </w:rPr>
        <w:instrText xml:space="preserve"> PAGEREF _Toc174634417 \h </w:instrText>
      </w:r>
      <w:r>
        <w:rPr>
          <w:noProof/>
        </w:rPr>
      </w:r>
      <w:r>
        <w:rPr>
          <w:noProof/>
        </w:rPr>
        <w:fldChar w:fldCharType="separate"/>
      </w:r>
      <w:r w:rsidR="009D28D8">
        <w:rPr>
          <w:noProof/>
        </w:rPr>
        <w:t>20</w:t>
      </w:r>
      <w:r>
        <w:rPr>
          <w:noProof/>
        </w:rPr>
        <w:fldChar w:fldCharType="end"/>
      </w:r>
    </w:p>
    <w:p w14:paraId="71201762" w14:textId="3FAC0C3B" w:rsidR="00B657AF" w:rsidRDefault="00B657AF">
      <w:pPr>
        <w:pStyle w:val="TOC3"/>
        <w:rPr>
          <w:rFonts w:asciiTheme="minorHAnsi" w:eastAsiaTheme="minorEastAsia" w:hAnsiTheme="minorHAnsi" w:cstheme="minorBidi"/>
          <w:noProof/>
          <w:sz w:val="22"/>
          <w:szCs w:val="22"/>
          <w:lang w:val="en-AU" w:eastAsia="en-AU"/>
        </w:rPr>
      </w:pPr>
      <w:r>
        <w:rPr>
          <w:noProof/>
        </w:rPr>
        <w:t xml:space="preserve">Table 7: </w:t>
      </w:r>
      <w:r w:rsidRPr="00EB61EE">
        <w:rPr>
          <w:rFonts w:eastAsia="Segoe UI"/>
          <w:noProof/>
        </w:rPr>
        <w:t>Estimated levy rates and payments ($m) per sector, 10/90 weighting</w:t>
      </w:r>
      <w:r>
        <w:rPr>
          <w:noProof/>
        </w:rPr>
        <w:tab/>
      </w:r>
      <w:r w:rsidR="007D36D6">
        <w:rPr>
          <w:noProof/>
        </w:rPr>
        <w:t>20</w:t>
      </w:r>
    </w:p>
    <w:p w14:paraId="772DFBBE" w14:textId="68BBE3C5" w:rsidR="00B657AF" w:rsidRDefault="00B657AF">
      <w:pPr>
        <w:pStyle w:val="TOC3"/>
        <w:rPr>
          <w:rFonts w:asciiTheme="minorHAnsi" w:eastAsiaTheme="minorEastAsia" w:hAnsiTheme="minorHAnsi" w:cstheme="minorBidi"/>
          <w:noProof/>
          <w:sz w:val="22"/>
          <w:szCs w:val="22"/>
          <w:lang w:val="en-AU" w:eastAsia="en-AU"/>
        </w:rPr>
      </w:pPr>
      <w:r>
        <w:rPr>
          <w:noProof/>
        </w:rPr>
        <w:t xml:space="preserve">Table 8: </w:t>
      </w:r>
      <w:r w:rsidRPr="00EB61EE">
        <w:rPr>
          <w:rFonts w:eastAsia="Segoe UI"/>
          <w:noProof/>
        </w:rPr>
        <w:t>Estimated levy rates and payments ($m) per sector, 20/80 weighting</w:t>
      </w:r>
      <w:r>
        <w:rPr>
          <w:noProof/>
        </w:rPr>
        <w:tab/>
      </w:r>
      <w:r>
        <w:rPr>
          <w:noProof/>
        </w:rPr>
        <w:fldChar w:fldCharType="begin"/>
      </w:r>
      <w:r>
        <w:rPr>
          <w:noProof/>
        </w:rPr>
        <w:instrText xml:space="preserve"> PAGEREF _Toc174634419 \h </w:instrText>
      </w:r>
      <w:r>
        <w:rPr>
          <w:noProof/>
        </w:rPr>
      </w:r>
      <w:r>
        <w:rPr>
          <w:noProof/>
        </w:rPr>
        <w:fldChar w:fldCharType="separate"/>
      </w:r>
      <w:r w:rsidR="009D28D8">
        <w:rPr>
          <w:noProof/>
        </w:rPr>
        <w:t>21</w:t>
      </w:r>
      <w:r>
        <w:rPr>
          <w:noProof/>
        </w:rPr>
        <w:fldChar w:fldCharType="end"/>
      </w:r>
    </w:p>
    <w:p w14:paraId="3A1F8CA7" w14:textId="145AD293" w:rsidR="00B657AF" w:rsidRDefault="00B657AF">
      <w:pPr>
        <w:pStyle w:val="TOC3"/>
        <w:rPr>
          <w:rFonts w:asciiTheme="minorHAnsi" w:eastAsiaTheme="minorEastAsia" w:hAnsiTheme="minorHAnsi" w:cstheme="minorBidi"/>
          <w:noProof/>
          <w:sz w:val="22"/>
          <w:szCs w:val="22"/>
          <w:lang w:val="en-AU" w:eastAsia="en-AU"/>
        </w:rPr>
      </w:pPr>
      <w:r>
        <w:rPr>
          <w:noProof/>
        </w:rPr>
        <w:t xml:space="preserve">Table 9: </w:t>
      </w:r>
      <w:r w:rsidRPr="00EB61EE">
        <w:rPr>
          <w:rFonts w:eastAsia="Segoe UI"/>
          <w:noProof/>
        </w:rPr>
        <w:t>Estimated levy rates and payments ($m) per sector, 30/70 weighting</w:t>
      </w:r>
      <w:r>
        <w:rPr>
          <w:noProof/>
        </w:rPr>
        <w:tab/>
      </w:r>
      <w:r>
        <w:rPr>
          <w:noProof/>
        </w:rPr>
        <w:fldChar w:fldCharType="begin"/>
      </w:r>
      <w:r>
        <w:rPr>
          <w:noProof/>
        </w:rPr>
        <w:instrText xml:space="preserve"> PAGEREF _Toc174634420 \h </w:instrText>
      </w:r>
      <w:r>
        <w:rPr>
          <w:noProof/>
        </w:rPr>
      </w:r>
      <w:r>
        <w:rPr>
          <w:noProof/>
        </w:rPr>
        <w:fldChar w:fldCharType="separate"/>
      </w:r>
      <w:r w:rsidR="009D28D8">
        <w:rPr>
          <w:noProof/>
        </w:rPr>
        <w:t>21</w:t>
      </w:r>
      <w:r>
        <w:rPr>
          <w:noProof/>
        </w:rPr>
        <w:fldChar w:fldCharType="end"/>
      </w:r>
    </w:p>
    <w:p w14:paraId="4A6797B1" w14:textId="6763BA68" w:rsidR="002B76A7" w:rsidRDefault="002B76A7" w:rsidP="003A5FEA">
      <w:r>
        <w:fldChar w:fldCharType="end"/>
      </w:r>
    </w:p>
    <w:p w14:paraId="03333094" w14:textId="77777777" w:rsidR="001D3E4E" w:rsidRDefault="001D3E4E" w:rsidP="003A5FEA">
      <w:pPr>
        <w:sectPr w:rsidR="001D3E4E" w:rsidSect="0078658E">
          <w:pgSz w:w="11907" w:h="16840" w:code="9"/>
          <w:pgMar w:top="1418" w:right="1701" w:bottom="1134" w:left="1843" w:header="284" w:footer="425" w:gutter="284"/>
          <w:pgNumType w:fmt="lowerRoman"/>
          <w:cols w:space="720"/>
        </w:sectPr>
      </w:pPr>
    </w:p>
    <w:p w14:paraId="0A056DB8" w14:textId="75FB5D61" w:rsidR="009A42D5" w:rsidRPr="000705B2" w:rsidRDefault="00835945" w:rsidP="00172194">
      <w:pPr>
        <w:pStyle w:val="Heading1"/>
        <w:rPr>
          <w:sz w:val="56"/>
          <w:szCs w:val="56"/>
        </w:rPr>
      </w:pPr>
      <w:bookmarkStart w:id="7" w:name="_Toc174634382"/>
      <w:r w:rsidRPr="000705B2">
        <w:rPr>
          <w:sz w:val="56"/>
          <w:szCs w:val="56"/>
        </w:rPr>
        <w:lastRenderedPageBreak/>
        <w:t>A new Strategy to Prevent and Minimise Gambling Harm</w:t>
      </w:r>
      <w:bookmarkEnd w:id="7"/>
    </w:p>
    <w:p w14:paraId="6E816BDF" w14:textId="77777777" w:rsidR="002B32BD" w:rsidRDefault="002B32BD" w:rsidP="002B32BD">
      <w:r>
        <w:t>The Government has set a clear direction for mental health and addiction in New Zealand with a priority focus on:</w:t>
      </w:r>
    </w:p>
    <w:p w14:paraId="76143109" w14:textId="77777777" w:rsidR="002B32BD" w:rsidRPr="002B32BD" w:rsidRDefault="002B32BD" w:rsidP="002B32BD">
      <w:pPr>
        <w:pStyle w:val="Bullet"/>
      </w:pPr>
      <w:r w:rsidRPr="002B32BD">
        <w:t>increasing access to mental health and addiction support</w:t>
      </w:r>
    </w:p>
    <w:p w14:paraId="7FAA1D2D" w14:textId="77777777" w:rsidR="002B32BD" w:rsidRPr="002B32BD" w:rsidRDefault="002B32BD" w:rsidP="002B32BD">
      <w:pPr>
        <w:pStyle w:val="Bullet"/>
      </w:pPr>
      <w:r w:rsidRPr="002B32BD">
        <w:t>growing the mental health and addiction workforce</w:t>
      </w:r>
    </w:p>
    <w:p w14:paraId="3C2E51BE" w14:textId="77777777" w:rsidR="002B32BD" w:rsidRPr="002B32BD" w:rsidRDefault="002B32BD" w:rsidP="002B32BD">
      <w:pPr>
        <w:pStyle w:val="Bullet"/>
      </w:pPr>
      <w:r w:rsidRPr="002B32BD">
        <w:t xml:space="preserve">strengthening the focus on the prevention of and early intervention </w:t>
      </w:r>
    </w:p>
    <w:p w14:paraId="5802AC61" w14:textId="77777777" w:rsidR="002B32BD" w:rsidRPr="002B32BD" w:rsidRDefault="002B32BD" w:rsidP="002B32BD">
      <w:pPr>
        <w:pStyle w:val="Bullet"/>
      </w:pPr>
      <w:r w:rsidRPr="002B32BD">
        <w:t>improving the effectiveness of mental health and addiction support.</w:t>
      </w:r>
    </w:p>
    <w:p w14:paraId="0C7BC1DC" w14:textId="77777777" w:rsidR="002B32BD" w:rsidRDefault="002B32BD" w:rsidP="002B32BD"/>
    <w:p w14:paraId="799BF494" w14:textId="02C8BAB1" w:rsidR="002B32BD" w:rsidRDefault="002B32BD" w:rsidP="002B32BD">
      <w:r>
        <w:t>This direction, supported by available data, research and evidence of what works, has driven the development of this new draft</w:t>
      </w:r>
      <w:r w:rsidRPr="00B74D5B">
        <w:rPr>
          <w:i/>
          <w:iCs/>
        </w:rPr>
        <w:t xml:space="preserve"> </w:t>
      </w:r>
      <w:r w:rsidRPr="00AC24BD">
        <w:rPr>
          <w:i/>
          <w:iCs/>
        </w:rPr>
        <w:t xml:space="preserve">Strategy to Prevent and Minimise Gambling Harm </w:t>
      </w:r>
      <w:r>
        <w:rPr>
          <w:i/>
          <w:iCs/>
        </w:rPr>
        <w:t>2025/26 to 2027/28</w:t>
      </w:r>
      <w:r w:rsidRPr="006A5956">
        <w:t xml:space="preserve"> (the </w:t>
      </w:r>
      <w:r>
        <w:t>S</w:t>
      </w:r>
      <w:r w:rsidRPr="006A5956">
        <w:t>trategy).</w:t>
      </w:r>
      <w:r>
        <w:t xml:space="preserve"> </w:t>
      </w:r>
    </w:p>
    <w:p w14:paraId="69AEBA64" w14:textId="77777777" w:rsidR="002B32BD" w:rsidRDefault="002B32BD" w:rsidP="002B32BD"/>
    <w:p w14:paraId="6F02CED2" w14:textId="77777777" w:rsidR="002B32BD" w:rsidRDefault="002B32BD" w:rsidP="002B32BD">
      <w:r w:rsidRPr="006A5956">
        <w:t xml:space="preserve">This document seeks your comment on the proposed direction and content of the </w:t>
      </w:r>
      <w:r>
        <w:t>draft S</w:t>
      </w:r>
      <w:r w:rsidRPr="006A5956">
        <w:t>trategy.</w:t>
      </w:r>
      <w:r>
        <w:t xml:space="preserve"> It provides the full proposed Strategy for public consultation, and includes:</w:t>
      </w:r>
    </w:p>
    <w:p w14:paraId="59C52E45" w14:textId="77777777" w:rsidR="002B32BD" w:rsidRPr="002B32BD" w:rsidRDefault="002B32BD" w:rsidP="002B32BD">
      <w:pPr>
        <w:pStyle w:val="Bullet"/>
      </w:pPr>
      <w:r w:rsidRPr="002B32BD">
        <w:t xml:space="preserve">the </w:t>
      </w:r>
      <w:r w:rsidRPr="002B32BD">
        <w:rPr>
          <w:b/>
          <w:bCs/>
        </w:rPr>
        <w:t>problem definition and needs assessment</w:t>
      </w:r>
      <w:r w:rsidRPr="002B32BD">
        <w:t>, which informs the proposed Strategy as required under the Gambling Act 2003 (the Act)</w:t>
      </w:r>
      <w:r w:rsidRPr="002B32BD">
        <w:rPr>
          <w:rStyle w:val="FootnoteReference"/>
          <w:rFonts w:eastAsia="MS Gothic"/>
        </w:rPr>
        <w:footnoteReference w:id="2"/>
      </w:r>
    </w:p>
    <w:p w14:paraId="7C8D0121" w14:textId="77777777" w:rsidR="002B32BD" w:rsidRPr="002B32BD" w:rsidRDefault="002B32BD" w:rsidP="002B32BD">
      <w:pPr>
        <w:pStyle w:val="Bullet"/>
      </w:pPr>
      <w:r w:rsidRPr="002B32BD">
        <w:t xml:space="preserve">the </w:t>
      </w:r>
      <w:r w:rsidRPr="002B32BD">
        <w:rPr>
          <w:b/>
          <w:bCs/>
        </w:rPr>
        <w:t>strategic plan</w:t>
      </w:r>
      <w:r w:rsidRPr="002B32BD">
        <w:t>, including the strategic framework that sets out the goal, outcomes, priorities and actions for the Strategy</w:t>
      </w:r>
    </w:p>
    <w:p w14:paraId="487136B0" w14:textId="77777777" w:rsidR="002B32BD" w:rsidRPr="002B32BD" w:rsidRDefault="002B32BD" w:rsidP="002B32BD">
      <w:pPr>
        <w:pStyle w:val="Bullet"/>
      </w:pPr>
      <w:r w:rsidRPr="002B32BD">
        <w:t xml:space="preserve">the </w:t>
      </w:r>
      <w:r w:rsidRPr="002B32BD">
        <w:rPr>
          <w:b/>
          <w:bCs/>
        </w:rPr>
        <w:t>service plan</w:t>
      </w:r>
      <w:r w:rsidRPr="002B32BD">
        <w:t xml:space="preserve"> for the three years from 2025/26 to 2027/28, including the amount of funding required for the Ministry of Health | Manatū Hauora (the Ministry) and Health New Zealand | Te </w:t>
      </w:r>
      <w:proofErr w:type="spellStart"/>
      <w:r w:rsidRPr="002B32BD">
        <w:t>Whatu</w:t>
      </w:r>
      <w:proofErr w:type="spellEnd"/>
      <w:r w:rsidRPr="002B32BD">
        <w:t xml:space="preserve"> Ora (Health New Zealand) to deliver the gambling harm prevention and minimisation activities described in the Strategy</w:t>
      </w:r>
    </w:p>
    <w:p w14:paraId="3A4BE6C3" w14:textId="77777777" w:rsidR="002B32BD" w:rsidRPr="002B32BD" w:rsidRDefault="002B32BD" w:rsidP="002B32BD">
      <w:pPr>
        <w:pStyle w:val="Bullet"/>
      </w:pPr>
      <w:r w:rsidRPr="002B32BD">
        <w:t xml:space="preserve">the </w:t>
      </w:r>
      <w:r w:rsidRPr="002B32BD">
        <w:rPr>
          <w:b/>
          <w:bCs/>
        </w:rPr>
        <w:t>problem gambling levy</w:t>
      </w:r>
      <w:r w:rsidRPr="002B32BD">
        <w:t xml:space="preserve"> rates and weighting options per sector for the next three years.</w:t>
      </w:r>
    </w:p>
    <w:p w14:paraId="39195F4C" w14:textId="77777777" w:rsidR="002B32BD" w:rsidRDefault="002B32BD" w:rsidP="002B32BD">
      <w:pPr>
        <w:pStyle w:val="Heading2"/>
        <w:sectPr w:rsidR="002B32BD" w:rsidSect="00835945">
          <w:footerReference w:type="even" r:id="rId26"/>
          <w:footerReference w:type="default" r:id="rId27"/>
          <w:pgSz w:w="11907" w:h="16840" w:code="9"/>
          <w:pgMar w:top="1418" w:right="1701" w:bottom="1134" w:left="1843" w:header="284" w:footer="425" w:gutter="284"/>
          <w:pgNumType w:start="1"/>
          <w:cols w:space="720"/>
        </w:sectPr>
      </w:pPr>
    </w:p>
    <w:p w14:paraId="0CE0A51A" w14:textId="3AF08B36" w:rsidR="002B32BD" w:rsidRPr="009F2D90" w:rsidRDefault="002B32BD" w:rsidP="00B657AF">
      <w:pPr>
        <w:pStyle w:val="Heading3"/>
        <w:spacing w:before="0"/>
      </w:pPr>
      <w:bookmarkStart w:id="8" w:name="_Toc174634383"/>
      <w:r>
        <w:lastRenderedPageBreak/>
        <w:t xml:space="preserve">Problem definition: </w:t>
      </w:r>
      <w:r w:rsidRPr="006A106B">
        <w:t>Gambling harm is wide</w:t>
      </w:r>
      <w:r>
        <w:t>-</w:t>
      </w:r>
      <w:r w:rsidRPr="006A106B">
        <w:t xml:space="preserve">reaching and </w:t>
      </w:r>
      <w:r w:rsidRPr="009F2D90">
        <w:t>services are under pressure to respond to a changing gambling environment</w:t>
      </w:r>
      <w:bookmarkEnd w:id="8"/>
    </w:p>
    <w:p w14:paraId="212A9D41" w14:textId="1D69C7CB" w:rsidR="002B32BD" w:rsidRDefault="002B32BD" w:rsidP="002B32BD">
      <w:r w:rsidRPr="0FD73C6D" w:rsidDel="00562278">
        <w:t xml:space="preserve">About one in five people in New Zealand experience harm as a result of their </w:t>
      </w:r>
      <w:r w:rsidRPr="0FD73C6D">
        <w:t>own</w:t>
      </w:r>
      <w:r w:rsidRPr="0FD73C6D" w:rsidDel="00562278">
        <w:t xml:space="preserve"> or someone else’s gambling.</w:t>
      </w:r>
      <w:r w:rsidRPr="0FD73C6D">
        <w:t xml:space="preserve"> Harm is not experienced evenly across our communities, and Māori, Pacific, Asian and young people are at greater risk</w:t>
      </w:r>
      <w:r>
        <w:t>. Department of Internal Affairs data show</w:t>
      </w:r>
      <w:r w:rsidRPr="0FD73C6D">
        <w:t xml:space="preserve"> that in 2022/23, New Zealanders lost $2.76 billion gambling on the four regulated gambling sectors (Lotto</w:t>
      </w:r>
      <w:r>
        <w:t xml:space="preserve"> New Zealand</w:t>
      </w:r>
      <w:r w:rsidRPr="0FD73C6D">
        <w:t xml:space="preserve">, TAB NZ, casinos and non-casino gambling machines or class 4 gambling). </w:t>
      </w:r>
    </w:p>
    <w:p w14:paraId="7E2280C6" w14:textId="77777777" w:rsidR="002B32BD" w:rsidRPr="003E7731" w:rsidRDefault="002B32BD" w:rsidP="002B32BD"/>
    <w:p w14:paraId="7ADF9309" w14:textId="371C347E" w:rsidR="002B32BD" w:rsidRDefault="002B32BD" w:rsidP="002B32BD">
      <w:pPr>
        <w:rPr>
          <w:rFonts w:eastAsia="Segoe UI" w:cs="Segoe UI"/>
          <w:szCs w:val="21"/>
        </w:rPr>
      </w:pPr>
      <w:r w:rsidRPr="2A0389D6">
        <w:rPr>
          <w:rFonts w:cstheme="minorBidi"/>
        </w:rPr>
        <w:t xml:space="preserve">Most money spent on gambling comes from the relatively small number of people (around 11% of adults in 2020) who play electronic gaming machines (“pokies”). For the first time in 2022/23, New Zealanders lost over $1 billion on these machines, </w:t>
      </w:r>
      <w:r w:rsidRPr="2A0389D6">
        <w:rPr>
          <w:rFonts w:eastAsia="Segoe UI" w:cs="Segoe UI"/>
          <w:color w:val="212121"/>
          <w:szCs w:val="21"/>
        </w:rPr>
        <w:t xml:space="preserve">which are </w:t>
      </w:r>
      <w:r w:rsidR="10A25175" w:rsidRPr="2A0389D6">
        <w:rPr>
          <w:rFonts w:eastAsia="Segoe UI" w:cs="Segoe UI"/>
          <w:color w:val="212121"/>
          <w:szCs w:val="21"/>
        </w:rPr>
        <w:t xml:space="preserve">disproportionately </w:t>
      </w:r>
      <w:r w:rsidRPr="2A0389D6">
        <w:rPr>
          <w:rFonts w:eastAsia="Segoe UI" w:cs="Segoe UI"/>
          <w:color w:val="212121"/>
          <w:szCs w:val="21"/>
        </w:rPr>
        <w:t xml:space="preserve">located in higher deprivation </w:t>
      </w:r>
      <w:r w:rsidRPr="2A0389D6">
        <w:rPr>
          <w:rFonts w:eastAsia="Segoe UI" w:cs="Segoe UI"/>
          <w:color w:val="605E5C"/>
          <w:szCs w:val="21"/>
        </w:rPr>
        <w:t>areas</w:t>
      </w:r>
      <w:r w:rsidRPr="2A0389D6">
        <w:rPr>
          <w:rFonts w:eastAsia="Segoe UI" w:cs="Segoe UI"/>
          <w:color w:val="212121"/>
          <w:szCs w:val="21"/>
        </w:rPr>
        <w:t>.</w:t>
      </w:r>
    </w:p>
    <w:p w14:paraId="4D9789CB" w14:textId="77777777" w:rsidR="002B32BD" w:rsidRPr="003E7731" w:rsidRDefault="002B32BD" w:rsidP="002B32BD">
      <w:pPr>
        <w:rPr>
          <w:rFonts w:cstheme="minorHAnsi"/>
        </w:rPr>
      </w:pPr>
    </w:p>
    <w:p w14:paraId="6E18CAF6" w14:textId="498E039E" w:rsidR="002B32BD" w:rsidRDefault="002B32BD" w:rsidP="002B32BD">
      <w:pPr>
        <w:rPr>
          <w:rFonts w:cstheme="minorHAnsi"/>
        </w:rPr>
      </w:pPr>
      <w:r w:rsidRPr="003E7731">
        <w:rPr>
          <w:rFonts w:cstheme="minorHAnsi"/>
        </w:rPr>
        <w:t>In addition, online gambling</w:t>
      </w:r>
      <w:r>
        <w:rPr>
          <w:rFonts w:cstheme="minorHAnsi"/>
        </w:rPr>
        <w:t xml:space="preserve">, which has the potential to cause significant harm, is </w:t>
      </w:r>
      <w:r w:rsidRPr="003E7731">
        <w:rPr>
          <w:rFonts w:cstheme="minorHAnsi"/>
        </w:rPr>
        <w:t>expanding in</w:t>
      </w:r>
      <w:r>
        <w:rPr>
          <w:rFonts w:cstheme="minorHAnsi"/>
        </w:rPr>
        <w:t>to</w:t>
      </w:r>
      <w:r w:rsidRPr="003E7731">
        <w:rPr>
          <w:rFonts w:cstheme="minorHAnsi"/>
        </w:rPr>
        <w:t xml:space="preserve"> New Zealand. The unregulated offshore online gambling market has grown significantly in recent years, with higher participation, higher spend, and greater harm being reported by New Zealanders.</w:t>
      </w:r>
      <w:r>
        <w:rPr>
          <w:rFonts w:cstheme="minorHAnsi"/>
        </w:rPr>
        <w:t xml:space="preserve"> </w:t>
      </w:r>
      <w:r w:rsidRPr="00C511D4">
        <w:rPr>
          <w:rFonts w:cstheme="minorHAnsi"/>
        </w:rPr>
        <w:t xml:space="preserve">The </w:t>
      </w:r>
      <w:r w:rsidRPr="003912D9">
        <w:rPr>
          <w:rFonts w:cstheme="minorHAnsi"/>
        </w:rPr>
        <w:t>Government has agreed to</w:t>
      </w:r>
      <w:r w:rsidRPr="003912D9" w:rsidDel="009C3E08">
        <w:rPr>
          <w:rFonts w:cstheme="minorHAnsi"/>
        </w:rPr>
        <w:t xml:space="preserve"> </w:t>
      </w:r>
      <w:r w:rsidRPr="00DA0AAF">
        <w:rPr>
          <w:rFonts w:cstheme="minorHAnsi"/>
        </w:rPr>
        <w:t>regulate online casinos through a licensing system, which will be designed to minimise harm, support tax collection, and provide consumer protections to New Zealanders. This regime is expected to come into effect in 2026</w:t>
      </w:r>
      <w:r>
        <w:rPr>
          <w:rFonts w:cstheme="minorHAnsi"/>
        </w:rPr>
        <w:t xml:space="preserve">. </w:t>
      </w:r>
    </w:p>
    <w:p w14:paraId="682D9A30" w14:textId="77777777" w:rsidR="002B32BD" w:rsidRPr="003E7731" w:rsidRDefault="002B32BD" w:rsidP="002B32BD">
      <w:pPr>
        <w:rPr>
          <w:rFonts w:cstheme="minorHAnsi"/>
        </w:rPr>
      </w:pPr>
    </w:p>
    <w:p w14:paraId="482F2199" w14:textId="4D217DAC" w:rsidR="002B32BD" w:rsidRDefault="002B32BD" w:rsidP="002B32BD">
      <w:pPr>
        <w:rPr>
          <w:rFonts w:eastAsiaTheme="minorEastAsia"/>
        </w:rPr>
      </w:pPr>
      <w:r w:rsidRPr="0FD73C6D">
        <w:t>Whether an individual experiences harm from their own or someone else’s gambling, and how this harm is experienced at a whānau and community level, results from many factors. This includes the wider determinants of health and wellbeing and the nature of the gambling environment.</w:t>
      </w:r>
      <w:r>
        <w:t xml:space="preserve"> </w:t>
      </w:r>
      <w:r w:rsidRPr="0FD73C6D">
        <w:t xml:space="preserve">The </w:t>
      </w:r>
      <w:r w:rsidRPr="00024B71">
        <w:rPr>
          <w:rFonts w:eastAsiaTheme="minorEastAsia"/>
        </w:rPr>
        <w:t xml:space="preserve">Gambling Act </w:t>
      </w:r>
      <w:r w:rsidRPr="047A3989">
        <w:rPr>
          <w:rFonts w:eastAsiaTheme="minorEastAsia"/>
        </w:rPr>
        <w:t xml:space="preserve">2003 </w:t>
      </w:r>
      <w:r w:rsidRPr="00024B71">
        <w:rPr>
          <w:rFonts w:eastAsiaTheme="minorEastAsia"/>
        </w:rPr>
        <w:t xml:space="preserve">and associated </w:t>
      </w:r>
      <w:r w:rsidRPr="0FD73C6D">
        <w:t>regulations</w:t>
      </w:r>
      <w:r w:rsidRPr="00024B71">
        <w:rPr>
          <w:rFonts w:eastAsiaTheme="minorEastAsia"/>
        </w:rPr>
        <w:t>, as</w:t>
      </w:r>
      <w:r w:rsidRPr="0FD73C6D">
        <w:t xml:space="preserve"> administered by the </w:t>
      </w:r>
      <w:r w:rsidRPr="00024B71">
        <w:rPr>
          <w:rFonts w:eastAsiaTheme="minorEastAsia"/>
        </w:rPr>
        <w:t>Dept</w:t>
      </w:r>
      <w:r w:rsidRPr="0FD73C6D">
        <w:t xml:space="preserve"> of Internal Affairs</w:t>
      </w:r>
      <w:r w:rsidRPr="00024B71">
        <w:rPr>
          <w:rFonts w:eastAsiaTheme="minorEastAsia"/>
        </w:rPr>
        <w:t>, set the framework for legal gambling in New Zealand</w:t>
      </w:r>
      <w:r>
        <w:rPr>
          <w:rFonts w:eastAsiaTheme="minorEastAsia"/>
        </w:rPr>
        <w:t>.</w:t>
      </w:r>
    </w:p>
    <w:p w14:paraId="18DF0FD8" w14:textId="77777777" w:rsidR="002B32BD" w:rsidRDefault="002B32BD" w:rsidP="002B32BD"/>
    <w:p w14:paraId="5328C984" w14:textId="77777777" w:rsidR="002B32BD" w:rsidRPr="003E7731" w:rsidRDefault="002B32BD" w:rsidP="002B32BD">
      <w:r w:rsidRPr="0FD73C6D">
        <w:t xml:space="preserve">The Act requires a needs assessment be undertaken to inform each iteration of the Strategy. </w:t>
      </w:r>
      <w:r>
        <w:t>The 2024 needs assessment highlights a changing environment and gambling harm services under pressure</w:t>
      </w:r>
      <w:r>
        <w:rPr>
          <w:rStyle w:val="FootnoteReference"/>
        </w:rPr>
        <w:footnoteReference w:id="3"/>
      </w:r>
      <w:r>
        <w:t>. Key findings include</w:t>
      </w:r>
      <w:r w:rsidRPr="0FD73C6D">
        <w:t xml:space="preserve">: </w:t>
      </w:r>
    </w:p>
    <w:p w14:paraId="5EC7AC1C" w14:textId="77777777" w:rsidR="002B32BD" w:rsidRPr="002B32BD" w:rsidRDefault="002B32BD" w:rsidP="002B32BD">
      <w:pPr>
        <w:pStyle w:val="Bullet"/>
      </w:pPr>
      <w:r w:rsidRPr="002B32BD">
        <w:t>Gambling activity has remained relatively constant in New Zealand, with data indicating that most adults engage in gambling at some stage in their lives.</w:t>
      </w:r>
    </w:p>
    <w:p w14:paraId="2D22A23D" w14:textId="5C543E17" w:rsidR="002B32BD" w:rsidRPr="002B32BD" w:rsidRDefault="002B32BD" w:rsidP="002B32BD">
      <w:pPr>
        <w:pStyle w:val="Bullet"/>
      </w:pPr>
      <w:r w:rsidRPr="002B32BD">
        <w:t xml:space="preserve">While there has been a reduction in the number of pokies </w:t>
      </w:r>
      <w:r w:rsidR="00264DA8">
        <w:rPr>
          <w:rStyle w:val="ui-provider"/>
        </w:rPr>
        <w:t>the distribution and availability of these machines remains</w:t>
      </w:r>
      <w:r>
        <w:rPr>
          <w:rStyle w:val="ui-provider"/>
        </w:rPr>
        <w:t xml:space="preserve"> disproportionately </w:t>
      </w:r>
      <w:r w:rsidR="00264DA8">
        <w:rPr>
          <w:rStyle w:val="ui-provider"/>
        </w:rPr>
        <w:t>high</w:t>
      </w:r>
      <w:r>
        <w:rPr>
          <w:rStyle w:val="ui-provider"/>
        </w:rPr>
        <w:t xml:space="preserve"> in </w:t>
      </w:r>
      <w:r w:rsidR="00264DA8">
        <w:rPr>
          <w:rStyle w:val="ui-provider"/>
        </w:rPr>
        <w:t xml:space="preserve">areas of </w:t>
      </w:r>
      <w:r>
        <w:rPr>
          <w:rStyle w:val="ui-provider"/>
        </w:rPr>
        <w:t>high-deprivation</w:t>
      </w:r>
      <w:r w:rsidRPr="002B32BD">
        <w:t xml:space="preserve">. Expenditure on pokies has continued to increase. </w:t>
      </w:r>
    </w:p>
    <w:p w14:paraId="24B6BF80" w14:textId="77777777" w:rsidR="002B32BD" w:rsidRPr="002B32BD" w:rsidRDefault="002B32BD" w:rsidP="002B32BD">
      <w:pPr>
        <w:pStyle w:val="Bullet"/>
      </w:pPr>
      <w:r w:rsidRPr="002B32BD">
        <w:t xml:space="preserve">Online gambling, particularly with unregulated providers based overseas, continues to grow. This is revealing inconsistencies with the current levy funding regime and service provisions. </w:t>
      </w:r>
    </w:p>
    <w:p w14:paraId="11DD53F7" w14:textId="77777777" w:rsidR="002B32BD" w:rsidRPr="002B32BD" w:rsidRDefault="002B32BD" w:rsidP="002B32BD">
      <w:pPr>
        <w:pStyle w:val="Bullet"/>
      </w:pPr>
      <w:r w:rsidRPr="002B32BD">
        <w:t>The gambling harm minimisation sector is under pressure and has found the health reforms challenging. It seeks stronger government leadership and coordination.</w:t>
      </w:r>
    </w:p>
    <w:p w14:paraId="72EAE2A0" w14:textId="77777777" w:rsidR="002B32BD" w:rsidRPr="002B32BD" w:rsidRDefault="002B32BD" w:rsidP="002B32BD">
      <w:pPr>
        <w:pStyle w:val="Bullet"/>
      </w:pPr>
      <w:r w:rsidRPr="002B32BD">
        <w:lastRenderedPageBreak/>
        <w:t>There is a need to grow and support the gambling harm workforce – both clinical and peer.</w:t>
      </w:r>
    </w:p>
    <w:p w14:paraId="3805014C" w14:textId="77777777" w:rsidR="002B32BD" w:rsidRPr="004D4C7D" w:rsidRDefault="002B32BD" w:rsidP="00B657AF">
      <w:pPr>
        <w:pStyle w:val="Heading3"/>
      </w:pPr>
      <w:bookmarkStart w:id="9" w:name="_Toc174634384"/>
      <w:r w:rsidRPr="0039069B">
        <w:t>Strategic</w:t>
      </w:r>
      <w:r w:rsidRPr="004D4C7D">
        <w:t xml:space="preserve"> </w:t>
      </w:r>
      <w:r>
        <w:t>plan: A focus on access, workforce, prevention and early intervention, and effectiveness</w:t>
      </w:r>
      <w:bookmarkEnd w:id="9"/>
    </w:p>
    <w:p w14:paraId="330F8D1D" w14:textId="77777777" w:rsidR="002B32BD" w:rsidRDefault="002B32BD" w:rsidP="002B32BD">
      <w:r>
        <w:t>T</w:t>
      </w:r>
      <w:r w:rsidRPr="0FD73C6D">
        <w:t>o address changes to the gambling environment and respond to gambling harm</w:t>
      </w:r>
      <w:r>
        <w:t>, we must:</w:t>
      </w:r>
    </w:p>
    <w:p w14:paraId="76A55677" w14:textId="77777777" w:rsidR="002B32BD" w:rsidRPr="002B32BD" w:rsidRDefault="002B32BD" w:rsidP="002B32BD">
      <w:pPr>
        <w:pStyle w:val="Bullet"/>
      </w:pPr>
      <w:r w:rsidRPr="002B32BD">
        <w:t>increase access to gambling harm support</w:t>
      </w:r>
    </w:p>
    <w:p w14:paraId="3FF317A1" w14:textId="77777777" w:rsidR="002B32BD" w:rsidRPr="002B32BD" w:rsidRDefault="002B32BD" w:rsidP="002B32BD">
      <w:pPr>
        <w:pStyle w:val="Bullet"/>
      </w:pPr>
      <w:r w:rsidRPr="002B32BD">
        <w:t>grow the gambling harm workforce</w:t>
      </w:r>
    </w:p>
    <w:p w14:paraId="6BDE53D4" w14:textId="77777777" w:rsidR="002B32BD" w:rsidRPr="002B32BD" w:rsidRDefault="002B32BD" w:rsidP="002B32BD">
      <w:pPr>
        <w:pStyle w:val="Bullet"/>
      </w:pPr>
      <w:r w:rsidRPr="002B32BD">
        <w:t xml:space="preserve">strengthen the focus on the prevention of and early intervention in gambling harm </w:t>
      </w:r>
    </w:p>
    <w:p w14:paraId="4B42CBC6" w14:textId="77777777" w:rsidR="002B32BD" w:rsidRPr="002B32BD" w:rsidRDefault="002B32BD" w:rsidP="002B32BD">
      <w:pPr>
        <w:pStyle w:val="Bullet"/>
      </w:pPr>
      <w:r w:rsidRPr="002B32BD">
        <w:t>improve the effectiveness of gambling harm support.</w:t>
      </w:r>
    </w:p>
    <w:p w14:paraId="14B02288" w14:textId="77777777" w:rsidR="002B32BD" w:rsidRDefault="002B32BD" w:rsidP="002B32BD"/>
    <w:p w14:paraId="5C904A2A" w14:textId="406F9B93" w:rsidR="002B32BD" w:rsidRDefault="002B32BD" w:rsidP="002B32BD">
      <w:r>
        <w:t xml:space="preserve">These priorities align with the priorities of the Minister for Mental Health and underpin the proposed three-year strategic plan and outcomes sought for preventing and minimising gambling harm, as follows: </w:t>
      </w:r>
    </w:p>
    <w:p w14:paraId="267A01EE" w14:textId="77777777" w:rsidR="002B32BD" w:rsidRPr="002B32BD" w:rsidRDefault="002B32BD" w:rsidP="002B32BD">
      <w:pPr>
        <w:pStyle w:val="Bullet"/>
      </w:pPr>
      <w:r w:rsidRPr="002B32BD">
        <w:t>There is a spectrum of effective services and supports to prevent and minimise gambling harm - from prevention to early intervention to specialist support.</w:t>
      </w:r>
    </w:p>
    <w:p w14:paraId="31A8C4AE" w14:textId="77777777" w:rsidR="002B32BD" w:rsidRPr="002B32BD" w:rsidRDefault="002B32BD" w:rsidP="002B32BD">
      <w:pPr>
        <w:pStyle w:val="Bullet"/>
      </w:pPr>
      <w:r w:rsidRPr="002B32BD">
        <w:t>Social and cultural norms prevent and minimise harm from gambling.</w:t>
      </w:r>
    </w:p>
    <w:p w14:paraId="328E0A0C" w14:textId="77777777" w:rsidR="002B32BD" w:rsidRPr="002B32BD" w:rsidRDefault="002B32BD" w:rsidP="002B32BD">
      <w:pPr>
        <w:pStyle w:val="Bullet"/>
      </w:pPr>
      <w:r w:rsidRPr="002B32BD">
        <w:t xml:space="preserve">Strong leadership and accountability of the gambling harm prevention system supports decision making as close to communities as possible. </w:t>
      </w:r>
    </w:p>
    <w:p w14:paraId="0E24491A" w14:textId="77777777" w:rsidR="002B32BD" w:rsidRPr="002B32BD" w:rsidRDefault="002B32BD" w:rsidP="002B32BD">
      <w:pPr>
        <w:pStyle w:val="Bullet"/>
      </w:pPr>
      <w:r w:rsidRPr="002B32BD">
        <w:t>The system focuses on those who are most at risk of harm from gambling.</w:t>
      </w:r>
    </w:p>
    <w:p w14:paraId="07B48191" w14:textId="77777777" w:rsidR="002B32BD" w:rsidRDefault="002B32BD" w:rsidP="002B32BD"/>
    <w:p w14:paraId="21151CA6" w14:textId="2C2D73FF" w:rsidR="002B32BD" w:rsidRDefault="002B32BD" w:rsidP="00B657AF">
      <w:r w:rsidRPr="0FD73C6D">
        <w:t xml:space="preserve">The </w:t>
      </w:r>
      <w:r>
        <w:t xml:space="preserve">Strategy proposes a continued </w:t>
      </w:r>
      <w:r w:rsidRPr="0FD73C6D">
        <w:t xml:space="preserve">focus on </w:t>
      </w:r>
      <w:r>
        <w:t xml:space="preserve">supporting population groups who experience inequitable outcomes and gambling harm, in particular </w:t>
      </w:r>
      <w:r w:rsidRPr="0FD73C6D">
        <w:t xml:space="preserve">Māori, Pacific, Asian and young people. The harm and risk experienced by these groups has not reduced to the level where prioritisation is not required. </w:t>
      </w:r>
    </w:p>
    <w:p w14:paraId="41F8DA9B" w14:textId="32DB47B5" w:rsidR="002B32BD" w:rsidRPr="004D4C7D" w:rsidRDefault="002B32BD" w:rsidP="00B657AF">
      <w:pPr>
        <w:pStyle w:val="Heading3"/>
        <w:rPr>
          <w:bCs/>
        </w:rPr>
      </w:pPr>
      <w:bookmarkStart w:id="10" w:name="_Toc174634385"/>
      <w:r w:rsidRPr="00FD2568">
        <w:t>Service Plan</w:t>
      </w:r>
      <w:r>
        <w:t>: Delivering a continuum of public health and clinical services supported by robust research and evaluation</w:t>
      </w:r>
      <w:bookmarkEnd w:id="10"/>
      <w:r>
        <w:t xml:space="preserve"> </w:t>
      </w:r>
    </w:p>
    <w:p w14:paraId="02E73F09" w14:textId="559D0505" w:rsidR="002B32BD" w:rsidRDefault="002B32BD" w:rsidP="00B657AF">
      <w:r w:rsidRPr="0FD73C6D">
        <w:t xml:space="preserve">A new three-year service plan </w:t>
      </w:r>
      <w:r w:rsidRPr="047A3989">
        <w:t xml:space="preserve">for the period to 30 June 2028 </w:t>
      </w:r>
      <w:r>
        <w:t xml:space="preserve">will see expanded provision of </w:t>
      </w:r>
      <w:r w:rsidRPr="0FD73C6D">
        <w:t xml:space="preserve">clinical and public health approaches to gambling harm minimisation and prevention, </w:t>
      </w:r>
      <w:r>
        <w:t xml:space="preserve">as well as a prioritised research programme. </w:t>
      </w:r>
      <w:bookmarkStart w:id="11" w:name="_Hlk171428510"/>
      <w:r w:rsidRPr="0FD73C6D">
        <w:t>The plan will maintain investment in high quality public health and clinical services</w:t>
      </w:r>
      <w:r>
        <w:t xml:space="preserve"> to deliver on </w:t>
      </w:r>
      <w:r w:rsidRPr="0FD73C6D">
        <w:t xml:space="preserve">the Government’s priorities. </w:t>
      </w:r>
    </w:p>
    <w:p w14:paraId="03D673CD" w14:textId="77777777" w:rsidR="00B657AF" w:rsidRDefault="00B657AF" w:rsidP="00B657AF"/>
    <w:p w14:paraId="7C69DDC2" w14:textId="77777777" w:rsidR="002B32BD" w:rsidRDefault="002B32BD" w:rsidP="00B657AF">
      <w:r w:rsidRPr="0FD73C6D">
        <w:t xml:space="preserve">The </w:t>
      </w:r>
      <w:r>
        <w:t>proposed service plan</w:t>
      </w:r>
      <w:r w:rsidRPr="0FD73C6D">
        <w:t xml:space="preserve"> includes proposals to:</w:t>
      </w:r>
    </w:p>
    <w:p w14:paraId="046D631A" w14:textId="77777777" w:rsidR="002B32BD" w:rsidRPr="002B32BD" w:rsidRDefault="002B32BD" w:rsidP="002B32BD">
      <w:pPr>
        <w:pStyle w:val="Bullet"/>
      </w:pPr>
      <w:r w:rsidRPr="002B32BD">
        <w:rPr>
          <w:b/>
          <w:bCs/>
        </w:rPr>
        <w:t>increase access</w:t>
      </w:r>
      <w:r w:rsidRPr="002B32BD">
        <w:t xml:space="preserve"> by expanding clinical service provision, both in terms of the type of service/population served (for example additional high-intensity support) and of location (filling some areas that do not currently have face-to-face services)</w:t>
      </w:r>
    </w:p>
    <w:p w14:paraId="737F9E28" w14:textId="77777777" w:rsidR="002B32BD" w:rsidRPr="002B32BD" w:rsidRDefault="002B32BD" w:rsidP="002B32BD">
      <w:pPr>
        <w:pStyle w:val="Bullet"/>
      </w:pPr>
      <w:r w:rsidRPr="002B32BD">
        <w:rPr>
          <w:b/>
          <w:bCs/>
        </w:rPr>
        <w:t>grow the workforce</w:t>
      </w:r>
      <w:r w:rsidRPr="002B32BD">
        <w:t xml:space="preserve"> by supporting new entrants to the workforce and retain existing workers (for both the peer and clinical workforces)</w:t>
      </w:r>
    </w:p>
    <w:p w14:paraId="01E349D7" w14:textId="77777777" w:rsidR="002B32BD" w:rsidRPr="002B32BD" w:rsidRDefault="002B32BD" w:rsidP="002B32BD">
      <w:pPr>
        <w:pStyle w:val="Bullet"/>
      </w:pPr>
      <w:r w:rsidRPr="002B32BD">
        <w:rPr>
          <w:b/>
          <w:bCs/>
        </w:rPr>
        <w:lastRenderedPageBreak/>
        <w:t>prevent harm and intervene early</w:t>
      </w:r>
      <w:r w:rsidRPr="002B32BD">
        <w:t xml:space="preserve"> by delivering a range of community-focused health promotion activities to prevent gambling harm</w:t>
      </w:r>
    </w:p>
    <w:p w14:paraId="07946067" w14:textId="77777777" w:rsidR="002B32BD" w:rsidRPr="002B32BD" w:rsidRDefault="002B32BD" w:rsidP="002B32BD">
      <w:pPr>
        <w:pStyle w:val="Bullet"/>
      </w:pPr>
      <w:r w:rsidRPr="002B32BD">
        <w:rPr>
          <w:b/>
          <w:bCs/>
        </w:rPr>
        <w:t>improve effectiveness</w:t>
      </w:r>
      <w:r w:rsidRPr="002B32BD">
        <w:t xml:space="preserve"> by commissioning of a suite of research and evaluation projects, including evaluation of all clinical services and an impact evaluation of the Strategy itself.</w:t>
      </w:r>
    </w:p>
    <w:bookmarkEnd w:id="11"/>
    <w:p w14:paraId="549AC209" w14:textId="77777777" w:rsidR="002B32BD" w:rsidRDefault="002B32BD" w:rsidP="002B32BD"/>
    <w:p w14:paraId="6242F1BC" w14:textId="199C5D88" w:rsidR="002B32BD" w:rsidRDefault="002B32BD" w:rsidP="002B32BD">
      <w:r w:rsidRPr="187C96A3">
        <w:t>The package of investment has been costed at $8</w:t>
      </w:r>
      <w:r w:rsidR="00DD5718">
        <w:t>7.71</w:t>
      </w:r>
      <w:r w:rsidRPr="187C96A3">
        <w:t>8 million over the three years from 2025/26</w:t>
      </w:r>
      <w:r>
        <w:t xml:space="preserve"> to </w:t>
      </w:r>
      <w:r w:rsidRPr="187C96A3">
        <w:t>2027/28, an increase of $11.</w:t>
      </w:r>
      <w:r w:rsidR="00DD5718">
        <w:t>5</w:t>
      </w:r>
      <w:r w:rsidRPr="187C96A3">
        <w:t>95 million on the 2022/23</w:t>
      </w:r>
      <w:r>
        <w:t xml:space="preserve"> to </w:t>
      </w:r>
      <w:r w:rsidRPr="187C96A3">
        <w:t>2024/25 budget. The increase includes a proposed transfer of $3.412 million forecast cumulative underspend from the current levy period ending on 30 June 2025, so the proposed net additional funding is $8.</w:t>
      </w:r>
      <w:r w:rsidR="007830EA">
        <w:t>1</w:t>
      </w:r>
      <w:r w:rsidRPr="187C96A3">
        <w:t>83 million.</w:t>
      </w:r>
    </w:p>
    <w:p w14:paraId="76B32669" w14:textId="77777777" w:rsidR="002B32BD" w:rsidRPr="003E7731" w:rsidRDefault="002B32BD" w:rsidP="002B32BD"/>
    <w:p w14:paraId="3D40B179" w14:textId="77777777" w:rsidR="002B32BD" w:rsidRDefault="002B32BD" w:rsidP="002B32BD">
      <w:pPr>
        <w:rPr>
          <w:rFonts w:asciiTheme="majorHAnsi" w:eastAsiaTheme="majorEastAsia" w:hAnsiTheme="majorHAnsi" w:cstheme="majorBidi"/>
          <w:i/>
          <w:iCs/>
          <w:color w:val="365F91" w:themeColor="accent1" w:themeShade="BF"/>
        </w:rPr>
      </w:pPr>
      <w:r w:rsidRPr="003E7731">
        <w:t xml:space="preserve">Of this, approximately half is for new services and interventions required in response to changes in the gambling environment (such as service promotion, workforce development and an online gambling exclusion system) and half </w:t>
      </w:r>
      <w:r>
        <w:t xml:space="preserve">will be used </w:t>
      </w:r>
      <w:r w:rsidRPr="003E7731">
        <w:t>to address a range of cost and volume pressures (including service expansion and responses to wage pressures).</w:t>
      </w:r>
    </w:p>
    <w:p w14:paraId="75E546FF" w14:textId="77777777" w:rsidR="002B32BD" w:rsidRPr="002B32BD" w:rsidRDefault="002B32BD" w:rsidP="00B657AF">
      <w:pPr>
        <w:pStyle w:val="Heading3"/>
      </w:pPr>
      <w:bookmarkStart w:id="12" w:name="_Toc174634386"/>
      <w:r w:rsidRPr="002B32BD">
        <w:t>Problem Gambling Levy: Funding to support gambling harm prevention and minimisation</w:t>
      </w:r>
      <w:bookmarkEnd w:id="12"/>
    </w:p>
    <w:p w14:paraId="77E18EE2" w14:textId="6E785B17" w:rsidR="002B32BD" w:rsidRDefault="002B32BD" w:rsidP="002B32BD">
      <w:r>
        <w:t xml:space="preserve">This document </w:t>
      </w:r>
      <w:r w:rsidRPr="0FD73C6D">
        <w:t xml:space="preserve">contains a range of options for setting the </w:t>
      </w:r>
      <w:r>
        <w:t>p</w:t>
      </w:r>
      <w:r w:rsidRPr="0FD73C6D">
        <w:t xml:space="preserve">roblem </w:t>
      </w:r>
      <w:r>
        <w:t>g</w:t>
      </w:r>
      <w:r w:rsidRPr="0FD73C6D">
        <w:t xml:space="preserve">ambling </w:t>
      </w:r>
      <w:r>
        <w:t>l</w:t>
      </w:r>
      <w:r w:rsidRPr="0FD73C6D">
        <w:t xml:space="preserve">evy. The levy’s formula is </w:t>
      </w:r>
      <w:r>
        <w:t xml:space="preserve">prescribed </w:t>
      </w:r>
      <w:r w:rsidRPr="0FD73C6D">
        <w:t>in the Act</w:t>
      </w:r>
      <w:r>
        <w:t xml:space="preserve">. The </w:t>
      </w:r>
      <w:r w:rsidRPr="0FD73C6D">
        <w:t xml:space="preserve">Act </w:t>
      </w:r>
      <w:r>
        <w:t xml:space="preserve">also </w:t>
      </w:r>
      <w:r w:rsidRPr="0FD73C6D">
        <w:t>requires the Ministry to apply appropriate weighting</w:t>
      </w:r>
      <w:r>
        <w:t>s</w:t>
      </w:r>
      <w:r w:rsidRPr="0FD73C6D">
        <w:t xml:space="preserve"> </w:t>
      </w:r>
      <w:r>
        <w:t xml:space="preserve">within the formula </w:t>
      </w:r>
      <w:r w:rsidRPr="0FD73C6D">
        <w:t xml:space="preserve">to help determine each sector’s share of the cost that it is required to pay in levy. </w:t>
      </w:r>
    </w:p>
    <w:p w14:paraId="1A4B853B" w14:textId="77777777" w:rsidR="002B32BD" w:rsidRDefault="002B32BD" w:rsidP="002B32BD"/>
    <w:p w14:paraId="233363D2" w14:textId="5E42F648" w:rsidR="002B32BD" w:rsidRDefault="002B32BD" w:rsidP="002B32BD">
      <w:r>
        <w:t xml:space="preserve">Four possible weighting options for the proposed levy rates for each sector (Lotto NZ , TAB NZ, casinos and non-casino gambling machines known as class 4 gambling) are included for consultation. </w:t>
      </w:r>
    </w:p>
    <w:p w14:paraId="49EF1DCB" w14:textId="77777777" w:rsidR="002B32BD" w:rsidRDefault="002B32BD" w:rsidP="002B32BD"/>
    <w:p w14:paraId="0589428A" w14:textId="77777777" w:rsidR="002B32BD" w:rsidRPr="0016665F" w:rsidRDefault="002B32BD" w:rsidP="002B32BD">
      <w:pPr>
        <w:rPr>
          <w:rFonts w:eastAsia="Segoe UI"/>
        </w:rPr>
      </w:pPr>
      <w:r w:rsidRPr="0FD73C6D">
        <w:rPr>
          <w:rFonts w:eastAsia="Segoe UI"/>
        </w:rPr>
        <w:t>The proposed levy rates for each gambling sector, except the TAB NZ, would be higher under any weighting option for 2025/26 to 2027/28 than they are for the current levy period. This is due to a combination of the proposed increase in funding for services for 2025/26 to 2027/28 and sector payments received to date being less than predicted for the current levy period to 30 June 2025 when they were originally forecast in setting the levy in 2022. Details of these figures are discussed in this consultation document.</w:t>
      </w:r>
    </w:p>
    <w:p w14:paraId="7DCA540A" w14:textId="77777777" w:rsidR="002B32BD" w:rsidRDefault="002B32BD" w:rsidP="00B657AF">
      <w:pPr>
        <w:pStyle w:val="Heading3"/>
      </w:pPr>
      <w:bookmarkStart w:id="13" w:name="_Toc174634387"/>
      <w:r>
        <w:t>Public consultation and next steps</w:t>
      </w:r>
      <w:bookmarkEnd w:id="13"/>
    </w:p>
    <w:p w14:paraId="5606EE68" w14:textId="5B9D085E" w:rsidR="002B32BD" w:rsidRDefault="002B32BD" w:rsidP="002B32BD">
      <w:pPr>
        <w:keepNext/>
      </w:pPr>
      <w:r w:rsidRPr="0055455B">
        <w:rPr>
          <w:b/>
          <w:bCs/>
        </w:rPr>
        <w:t>Your feedback on our proposals is important</w:t>
      </w:r>
      <w:r>
        <w:t>. I</w:t>
      </w:r>
      <w:r w:rsidRPr="00C10A99">
        <w:t xml:space="preserve">t will </w:t>
      </w:r>
      <w:r>
        <w:t>inform</w:t>
      </w:r>
      <w:r w:rsidRPr="00C10A99">
        <w:t xml:space="preserve"> the </w:t>
      </w:r>
      <w:r w:rsidRPr="009D6760">
        <w:rPr>
          <w:i/>
          <w:iCs/>
        </w:rPr>
        <w:t xml:space="preserve">Strategy to Prevent and Minimise Gambling Harm for </w:t>
      </w:r>
      <w:r>
        <w:rPr>
          <w:i/>
          <w:iCs/>
        </w:rPr>
        <w:t>2025/26 to 2027/28</w:t>
      </w:r>
      <w:r w:rsidRPr="008021BF">
        <w:t xml:space="preserve"> </w:t>
      </w:r>
      <w:r w:rsidRPr="00C10A99">
        <w:t>and levy rates.</w:t>
      </w:r>
      <w:r>
        <w:t xml:space="preserve"> </w:t>
      </w:r>
    </w:p>
    <w:p w14:paraId="3256E374" w14:textId="77777777" w:rsidR="002B68B9" w:rsidRDefault="002B68B9" w:rsidP="002B32BD">
      <w:pPr>
        <w:keepNext/>
        <w:rPr>
          <w:highlight w:val="yellow"/>
        </w:rPr>
      </w:pPr>
    </w:p>
    <w:p w14:paraId="62F4DF79" w14:textId="77777777" w:rsidR="002B32BD" w:rsidRPr="00C9524D" w:rsidRDefault="002B32BD" w:rsidP="002B32BD">
      <w:r w:rsidRPr="00C9524D">
        <w:t>You can provide feedback by:</w:t>
      </w:r>
    </w:p>
    <w:p w14:paraId="672E2109" w14:textId="188E28CA" w:rsidR="002B32BD" w:rsidRPr="002B68B9" w:rsidRDefault="002B32BD" w:rsidP="002B68B9">
      <w:pPr>
        <w:pStyle w:val="Bullet"/>
      </w:pPr>
      <w:r w:rsidRPr="002B68B9">
        <w:t xml:space="preserve">making an online submission at </w:t>
      </w:r>
      <w:hyperlink r:id="rId28" w:history="1">
        <w:r w:rsidRPr="002B68B9">
          <w:rPr>
            <w:rStyle w:val="Hyperlink"/>
          </w:rPr>
          <w:t>https://consult.health.govt.nz</w:t>
        </w:r>
      </w:hyperlink>
      <w:r w:rsidR="002B68B9">
        <w:rPr>
          <w:rStyle w:val="Hyperlink"/>
          <w:b w:val="0"/>
          <w:color w:val="auto"/>
        </w:rPr>
        <w:t xml:space="preserve"> </w:t>
      </w:r>
    </w:p>
    <w:p w14:paraId="6FB64EAD" w14:textId="419E94FB" w:rsidR="002B32BD" w:rsidRPr="002B68B9" w:rsidRDefault="002B32BD" w:rsidP="002B68B9">
      <w:pPr>
        <w:pStyle w:val="Bullet"/>
      </w:pPr>
      <w:r w:rsidRPr="002B68B9">
        <w:t xml:space="preserve">using the </w:t>
      </w:r>
      <w:r w:rsidR="007254F9">
        <w:t>‘</w:t>
      </w:r>
      <w:r w:rsidRPr="002B68B9">
        <w:rPr>
          <w:b/>
          <w:bCs/>
        </w:rPr>
        <w:t>Making a submission</w:t>
      </w:r>
      <w:r w:rsidR="007254F9">
        <w:t>’</w:t>
      </w:r>
      <w:r w:rsidRPr="002B68B9">
        <w:t xml:space="preserve"> form at the end of this document and emailing it to </w:t>
      </w:r>
      <w:bookmarkStart w:id="14" w:name="_Hlk174997860"/>
      <w:r w:rsidR="00D46B4B">
        <w:fldChar w:fldCharType="begin"/>
      </w:r>
      <w:r w:rsidR="00D46B4B">
        <w:instrText>HYPERLINK "mailto:gamblingharm@health.govt.nz"</w:instrText>
      </w:r>
      <w:r w:rsidR="00D46B4B">
        <w:fldChar w:fldCharType="separate"/>
      </w:r>
      <w:r w:rsidRPr="002B68B9">
        <w:rPr>
          <w:rStyle w:val="Hyperlink"/>
        </w:rPr>
        <w:t>gamblingharm@health.govt.nz</w:t>
      </w:r>
      <w:r w:rsidR="00D46B4B">
        <w:rPr>
          <w:rStyle w:val="Hyperlink"/>
        </w:rPr>
        <w:fldChar w:fldCharType="end"/>
      </w:r>
      <w:r w:rsidRPr="002B68B9">
        <w:rPr>
          <w:rStyle w:val="Hyperlink"/>
          <w:b w:val="0"/>
          <w:color w:val="auto"/>
        </w:rPr>
        <w:t>.</w:t>
      </w:r>
      <w:bookmarkEnd w:id="14"/>
    </w:p>
    <w:p w14:paraId="3FF53F14" w14:textId="25802ED7" w:rsidR="002B32BD" w:rsidRDefault="002B32BD" w:rsidP="002B68B9">
      <w:pPr>
        <w:pStyle w:val="Bullet"/>
      </w:pPr>
      <w:r w:rsidRPr="002B68B9">
        <w:lastRenderedPageBreak/>
        <w:t xml:space="preserve">attending a consultation meeting – meeting details will be made available at </w:t>
      </w:r>
      <w:hyperlink r:id="rId29" w:history="1">
        <w:r w:rsidRPr="002B68B9">
          <w:rPr>
            <w:rStyle w:val="Hyperlink"/>
          </w:rPr>
          <w:t>https://consult.health.govt.nz</w:t>
        </w:r>
      </w:hyperlink>
      <w:r w:rsidRPr="002B68B9">
        <w:t>.</w:t>
      </w:r>
    </w:p>
    <w:p w14:paraId="15F2E4D4" w14:textId="159C11AF" w:rsidR="000A247B" w:rsidRPr="002B68B9" w:rsidRDefault="000A247B" w:rsidP="002B68B9">
      <w:pPr>
        <w:pStyle w:val="Bullet"/>
      </w:pPr>
      <w:bookmarkStart w:id="15" w:name="_Hlk174998386"/>
      <w:r>
        <w:t>emailing your thoughts to</w:t>
      </w:r>
      <w:r w:rsidR="00C047F3">
        <w:t xml:space="preserve"> </w:t>
      </w:r>
      <w:hyperlink r:id="rId30" w:history="1">
        <w:r w:rsidR="00C047F3" w:rsidRPr="002B68B9">
          <w:rPr>
            <w:rStyle w:val="Hyperlink"/>
          </w:rPr>
          <w:t>gamblingharm@health.govt.nz</w:t>
        </w:r>
      </w:hyperlink>
      <w:r w:rsidR="00C047F3" w:rsidRPr="002B68B9">
        <w:rPr>
          <w:rStyle w:val="Hyperlink"/>
          <w:b w:val="0"/>
          <w:color w:val="auto"/>
        </w:rPr>
        <w:t>.</w:t>
      </w:r>
    </w:p>
    <w:bookmarkEnd w:id="15"/>
    <w:p w14:paraId="05C0706A" w14:textId="77777777" w:rsidR="002B68B9" w:rsidRDefault="002B68B9" w:rsidP="002B32BD"/>
    <w:p w14:paraId="3E81C266" w14:textId="3D1A69B9" w:rsidR="002B32BD" w:rsidRDefault="002B32BD" w:rsidP="002B32BD">
      <w:pPr>
        <w:rPr>
          <w:b/>
        </w:rPr>
      </w:pPr>
      <w:r>
        <w:t>All s</w:t>
      </w:r>
      <w:r w:rsidRPr="00C10A99">
        <w:t xml:space="preserve">ubmissions are due with the Ministry by </w:t>
      </w:r>
      <w:r w:rsidRPr="004E2363">
        <w:rPr>
          <w:b/>
        </w:rPr>
        <w:t>5pm</w:t>
      </w:r>
      <w:r w:rsidR="00B94B8C">
        <w:rPr>
          <w:b/>
        </w:rPr>
        <w:t xml:space="preserve"> </w:t>
      </w:r>
      <w:r w:rsidR="006208F9">
        <w:rPr>
          <w:b/>
        </w:rPr>
        <w:t xml:space="preserve">6 </w:t>
      </w:r>
      <w:r w:rsidR="00B94B8C">
        <w:rPr>
          <w:b/>
        </w:rPr>
        <w:t>October 2024.</w:t>
      </w:r>
    </w:p>
    <w:p w14:paraId="5B1B7377" w14:textId="77777777" w:rsidR="002B68B9" w:rsidRDefault="002B68B9" w:rsidP="002B32BD">
      <w:pPr>
        <w:rPr>
          <w:b/>
        </w:rPr>
      </w:pPr>
    </w:p>
    <w:p w14:paraId="130B9E9F" w14:textId="472985E1" w:rsidR="002B32BD" w:rsidRDefault="002B32BD" w:rsidP="002B32BD">
      <w:pPr>
        <w:rPr>
          <w:bCs/>
        </w:rPr>
      </w:pPr>
      <w:r>
        <w:rPr>
          <w:bCs/>
        </w:rPr>
        <w:t xml:space="preserve">Once consultation has closed, the submissions will be analysed and the Ministry will make any adjustments to the </w:t>
      </w:r>
      <w:r>
        <w:t>Strategy</w:t>
      </w:r>
      <w:r>
        <w:rPr>
          <w:bCs/>
        </w:rPr>
        <w:t xml:space="preserve"> and proposed levy rates before referring the proposals to the New Zealand Gambling Commission, as required under the Act (section 318). </w:t>
      </w:r>
    </w:p>
    <w:p w14:paraId="1F01E6ED" w14:textId="77777777" w:rsidR="002B68B9" w:rsidRDefault="002B68B9" w:rsidP="002B32BD">
      <w:pPr>
        <w:rPr>
          <w:bCs/>
        </w:rPr>
      </w:pPr>
    </w:p>
    <w:p w14:paraId="3FD0EBE4" w14:textId="2704D1F0" w:rsidR="002B32BD" w:rsidRDefault="002B32BD" w:rsidP="002B32BD">
      <w:pPr>
        <w:rPr>
          <w:bCs/>
        </w:rPr>
      </w:pPr>
      <w:r>
        <w:rPr>
          <w:bCs/>
        </w:rPr>
        <w:t xml:space="preserve">The Gambling Commission will then conduct its own consultation and provide advice to the responsible Ministers under the Act (the Ministers for Mental Health and Internal Affairs) on the Strategy and </w:t>
      </w:r>
      <w:r>
        <w:t>proposed</w:t>
      </w:r>
      <w:r>
        <w:rPr>
          <w:bCs/>
        </w:rPr>
        <w:t xml:space="preserve"> levy rates. </w:t>
      </w:r>
    </w:p>
    <w:p w14:paraId="7EF6B4BB" w14:textId="77777777" w:rsidR="002B68B9" w:rsidRDefault="002B68B9" w:rsidP="002B32BD">
      <w:pPr>
        <w:rPr>
          <w:bCs/>
        </w:rPr>
      </w:pPr>
    </w:p>
    <w:p w14:paraId="4CF65129" w14:textId="77777777" w:rsidR="002B32BD" w:rsidRPr="004E4740" w:rsidRDefault="002B32BD" w:rsidP="002B32BD">
      <w:pPr>
        <w:rPr>
          <w:b/>
        </w:rPr>
      </w:pPr>
      <w:r>
        <w:rPr>
          <w:bCs/>
        </w:rPr>
        <w:t xml:space="preserve">Ministers will then finalise the </w:t>
      </w:r>
      <w:r>
        <w:t>Strategy</w:t>
      </w:r>
      <w:r>
        <w:rPr>
          <w:bCs/>
        </w:rPr>
        <w:t xml:space="preserve"> and seek Cabinet’s agreement to the strategy, funding and levy rates. The new </w:t>
      </w:r>
      <w:r>
        <w:t>Strategy</w:t>
      </w:r>
      <w:r>
        <w:rPr>
          <w:bCs/>
        </w:rPr>
        <w:t xml:space="preserve"> and levy rates will come into effect on </w:t>
      </w:r>
      <w:r w:rsidRPr="00AD7FE2">
        <w:rPr>
          <w:b/>
        </w:rPr>
        <w:t>1 July 2025</w:t>
      </w:r>
      <w:r w:rsidRPr="004E4740">
        <w:rPr>
          <w:b/>
        </w:rPr>
        <w:t>.</w:t>
      </w:r>
    </w:p>
    <w:p w14:paraId="0EDA88D2" w14:textId="77777777" w:rsidR="00D662F8" w:rsidRPr="00E53A9F" w:rsidRDefault="00D662F8" w:rsidP="0043478F">
      <w:pPr>
        <w:rPr>
          <w:rStyle w:val="Hyperlink"/>
        </w:rPr>
      </w:pPr>
    </w:p>
    <w:p w14:paraId="7EB0BBAF" w14:textId="77777777" w:rsidR="00835945" w:rsidRDefault="00835945" w:rsidP="00172194">
      <w:pPr>
        <w:pStyle w:val="Heading1"/>
        <w:sectPr w:rsidR="00835945" w:rsidSect="002B32BD">
          <w:pgSz w:w="11907" w:h="16840" w:code="9"/>
          <w:pgMar w:top="1418" w:right="1701" w:bottom="1134" w:left="1843" w:header="284" w:footer="425" w:gutter="284"/>
          <w:cols w:space="720"/>
        </w:sectPr>
      </w:pPr>
      <w:bookmarkStart w:id="16" w:name="_bookmark4"/>
      <w:bookmarkEnd w:id="16"/>
    </w:p>
    <w:p w14:paraId="57B7DED8" w14:textId="77777777" w:rsidR="009A3779" w:rsidRDefault="00835945" w:rsidP="00B657AF">
      <w:pPr>
        <w:pStyle w:val="Heading1"/>
        <w:ind w:right="-143"/>
        <w:rPr>
          <w:sz w:val="56"/>
          <w:szCs w:val="56"/>
        </w:rPr>
      </w:pPr>
      <w:bookmarkStart w:id="17" w:name="_Toc174634388"/>
      <w:r w:rsidRPr="009A3779">
        <w:rPr>
          <w:sz w:val="56"/>
          <w:szCs w:val="56"/>
        </w:rPr>
        <w:lastRenderedPageBreak/>
        <w:t>Problem definition</w:t>
      </w:r>
    </w:p>
    <w:bookmarkEnd w:id="17"/>
    <w:p w14:paraId="3BDF8116" w14:textId="77777777" w:rsidR="00D14910" w:rsidRDefault="00260F25" w:rsidP="002B68B9">
      <w:pPr>
        <w:spacing w:after="120"/>
      </w:pPr>
      <w:r w:rsidRPr="00D14910">
        <w:rPr>
          <w:b/>
          <w:bCs/>
        </w:rPr>
        <w:t>Gambling harm is wide-reaching and services are under</w:t>
      </w:r>
      <w:r w:rsidR="00D14910" w:rsidRPr="00D14910">
        <w:rPr>
          <w:b/>
          <w:bCs/>
        </w:rPr>
        <w:t xml:space="preserve"> pressure to respond to a changing gambling environment.</w:t>
      </w:r>
      <w:r w:rsidR="00D14910">
        <w:t xml:space="preserve"> </w:t>
      </w:r>
    </w:p>
    <w:p w14:paraId="1480CB35" w14:textId="5F14CBE9" w:rsidR="002B68B9" w:rsidRDefault="002B68B9" w:rsidP="002B68B9">
      <w:pPr>
        <w:spacing w:after="120"/>
      </w:pPr>
      <w:r>
        <w:t xml:space="preserve">This section briefly covers the current state of gambling in New Zealand, with further detail provided in </w:t>
      </w:r>
      <w:r w:rsidRPr="003A6F51">
        <w:rPr>
          <w:b/>
          <w:bCs/>
        </w:rPr>
        <w:t>Appendix One</w:t>
      </w:r>
      <w:r w:rsidRPr="001065FF">
        <w:t xml:space="preserve"> in the Appendices document</w:t>
      </w:r>
      <w:r>
        <w:rPr>
          <w:b/>
          <w:bCs/>
        </w:rPr>
        <w:t>.</w:t>
      </w:r>
    </w:p>
    <w:p w14:paraId="2C006860" w14:textId="77777777" w:rsidR="002B68B9" w:rsidRDefault="002B68B9" w:rsidP="002B68B9">
      <w:pPr>
        <w:pStyle w:val="Heading2"/>
      </w:pPr>
      <w:bookmarkStart w:id="18" w:name="_Toc173848522"/>
      <w:bookmarkStart w:id="19" w:name="_Toc1430539677"/>
      <w:bookmarkStart w:id="20" w:name="_Toc174634389"/>
      <w:r>
        <w:t>Participation and expenditure</w:t>
      </w:r>
      <w:bookmarkEnd w:id="18"/>
      <w:bookmarkEnd w:id="19"/>
      <w:bookmarkEnd w:id="20"/>
    </w:p>
    <w:p w14:paraId="26B10697" w14:textId="290E4EDD" w:rsidR="002B68B9" w:rsidRDefault="002B68B9" w:rsidP="002B68B9">
      <w:r>
        <w:t xml:space="preserve">Most New Zealanders gamble at least occasionally. </w:t>
      </w:r>
    </w:p>
    <w:p w14:paraId="24F42D62" w14:textId="77777777" w:rsidR="002B68B9" w:rsidRDefault="002B68B9" w:rsidP="002B68B9"/>
    <w:p w14:paraId="7192D161" w14:textId="77777777" w:rsidR="00EB271D" w:rsidRDefault="002B68B9" w:rsidP="00EB271D">
      <w:pPr>
        <w:pStyle w:val="Bullet"/>
      </w:pPr>
      <w:r>
        <w:t>Estimates suggest that, in 2020 (most recent data available),</w:t>
      </w:r>
      <w:r w:rsidRPr="006249DF">
        <w:rPr>
          <w:rStyle w:val="FootnoteReference"/>
          <w:rFonts w:eastAsia="Lucida Sans Unicode"/>
        </w:rPr>
        <w:footnoteReference w:id="4"/>
      </w:r>
      <w:r>
        <w:t xml:space="preserve"> </w:t>
      </w:r>
      <w:r w:rsidRPr="00076D0D">
        <w:rPr>
          <w:b/>
          <w:bCs/>
          <w:color w:val="0070C0"/>
        </w:rPr>
        <w:t>69.3%</w:t>
      </w:r>
      <w:r>
        <w:t xml:space="preserve"> (about 2.8 million New Zealanders aged 15 years and older) had </w:t>
      </w:r>
      <w:r w:rsidRPr="00EB271D">
        <w:rPr>
          <w:b/>
          <w:bCs/>
        </w:rPr>
        <w:t>participated in at least one gambling activity in the previous 12 months</w:t>
      </w:r>
      <w:r w:rsidRPr="002B68B9">
        <w:t>.</w:t>
      </w:r>
      <w:r w:rsidRPr="00EB271D">
        <w:rPr>
          <w:b/>
          <w:bCs/>
        </w:rPr>
        <w:t xml:space="preserve"> </w:t>
      </w:r>
      <w:r>
        <w:t>Figure 1 shows the types of gambling people engaged in.</w:t>
      </w:r>
    </w:p>
    <w:p w14:paraId="0686C727" w14:textId="77777777" w:rsidR="00EB271D" w:rsidRDefault="00EB271D" w:rsidP="00EB271D">
      <w:pPr>
        <w:pStyle w:val="Bullet"/>
        <w:numPr>
          <w:ilvl w:val="0"/>
          <w:numId w:val="0"/>
        </w:numPr>
        <w:ind w:left="284"/>
      </w:pPr>
    </w:p>
    <w:p w14:paraId="43B5B2D3" w14:textId="28775F11" w:rsidR="002B68B9" w:rsidRDefault="002B68B9" w:rsidP="00EB271D">
      <w:pPr>
        <w:pStyle w:val="Bullet"/>
      </w:pPr>
      <w:r>
        <w:t xml:space="preserve">While there was no statistically significant increase in overall gambling participation between 2018 and 2020, </w:t>
      </w:r>
      <w:r w:rsidRPr="00EB271D">
        <w:rPr>
          <w:b/>
          <w:bCs/>
        </w:rPr>
        <w:t xml:space="preserve">participation in online gambling doubled to </w:t>
      </w:r>
      <w:r w:rsidRPr="00076D0D">
        <w:rPr>
          <w:b/>
          <w:bCs/>
          <w:color w:val="0070C0"/>
        </w:rPr>
        <w:t>27%</w:t>
      </w:r>
      <w:r w:rsidRPr="00EB271D">
        <w:rPr>
          <w:b/>
          <w:bCs/>
        </w:rPr>
        <w:t xml:space="preserve"> in 2020</w:t>
      </w:r>
      <w:r>
        <w:rPr>
          <w:rStyle w:val="FootnoteReference"/>
          <w:b/>
          <w:bCs/>
        </w:rPr>
        <w:footnoteReference w:id="5"/>
      </w:r>
      <w:r>
        <w:t>.</w:t>
      </w:r>
    </w:p>
    <w:p w14:paraId="3636DA16" w14:textId="77777777" w:rsidR="00EB271D" w:rsidRDefault="00EB271D" w:rsidP="00EB271D">
      <w:pPr>
        <w:pStyle w:val="Bullet"/>
        <w:numPr>
          <w:ilvl w:val="0"/>
          <w:numId w:val="0"/>
        </w:numPr>
        <w:ind w:left="284"/>
      </w:pPr>
    </w:p>
    <w:p w14:paraId="2C9A2065" w14:textId="302C7FFD" w:rsidR="002B68B9" w:rsidRDefault="002B68B9" w:rsidP="002B68B9">
      <w:pPr>
        <w:pStyle w:val="Bullet"/>
      </w:pPr>
      <w:r w:rsidRPr="00EB271D">
        <w:rPr>
          <w:b/>
          <w:bCs/>
        </w:rPr>
        <w:t>Total gambling expenditure (net player losses)</w:t>
      </w:r>
      <w:r w:rsidRPr="006249DF">
        <w:t xml:space="preserve"> in 2022/23 was </w:t>
      </w:r>
      <w:r w:rsidRPr="00076D0D">
        <w:rPr>
          <w:b/>
          <w:bCs/>
          <w:color w:val="0070C0"/>
        </w:rPr>
        <w:t>$2.76 billion</w:t>
      </w:r>
      <w:r w:rsidRPr="00076D0D">
        <w:rPr>
          <w:color w:val="0070C0"/>
        </w:rPr>
        <w:t xml:space="preserve"> </w:t>
      </w:r>
      <w:r w:rsidRPr="006249DF">
        <w:t xml:space="preserve">for the four regulated sectors (Lotto </w:t>
      </w:r>
      <w:r>
        <w:t>NZ</w:t>
      </w:r>
      <w:r w:rsidRPr="006249DF">
        <w:t>, TAB</w:t>
      </w:r>
      <w:r>
        <w:t xml:space="preserve"> NZ</w:t>
      </w:r>
      <w:r w:rsidRPr="006249DF">
        <w:t>, casinos and non-casino gambling machines or class 4</w:t>
      </w:r>
      <w:r>
        <w:t xml:space="preserve"> gambling</w:t>
      </w:r>
      <w:r w:rsidRPr="006249DF">
        <w:t>) combined, an increase from $2.25 billion in 2021/22</w:t>
      </w:r>
      <w:r>
        <w:t>.</w:t>
      </w:r>
      <w:r w:rsidRPr="006249DF">
        <w:rPr>
          <w:rStyle w:val="FootnoteReference"/>
          <w:rFonts w:eastAsia="Lucida Sans Unicode"/>
        </w:rPr>
        <w:footnoteReference w:id="6"/>
      </w:r>
    </w:p>
    <w:p w14:paraId="545446A2" w14:textId="77777777" w:rsidR="002B68B9" w:rsidRDefault="002B68B9" w:rsidP="002B68B9"/>
    <w:p w14:paraId="44634384" w14:textId="50D7089A" w:rsidR="001B5703" w:rsidRPr="00391521" w:rsidRDefault="001B5703" w:rsidP="001B5703">
      <w:pPr>
        <w:pStyle w:val="Figure"/>
      </w:pPr>
      <w:r w:rsidRPr="00B657AF">
        <w:t xml:space="preserve">Figure </w:t>
      </w:r>
      <w:r>
        <w:fldChar w:fldCharType="begin"/>
      </w:r>
      <w:r>
        <w:instrText xml:space="preserve"> SEQ Figure \* ARABIC </w:instrText>
      </w:r>
      <w:r>
        <w:fldChar w:fldCharType="separate"/>
      </w:r>
      <w:r w:rsidR="009D28D8">
        <w:rPr>
          <w:noProof/>
        </w:rPr>
        <w:t>1</w:t>
      </w:r>
      <w:r>
        <w:fldChar w:fldCharType="end"/>
      </w:r>
      <w:r w:rsidRPr="00B657AF">
        <w:t xml:space="preserve">: </w:t>
      </w:r>
      <w:r w:rsidRPr="00B657AF">
        <w:rPr>
          <w:rFonts w:eastAsia="Lucida Sans Unicode"/>
        </w:rPr>
        <w:t>Gambling by type, 2020 (% of population aged 15+)</w:t>
      </w:r>
      <w:r w:rsidRPr="00B657AF">
        <w:t xml:space="preserve"> </w:t>
      </w:r>
    </w:p>
    <w:p w14:paraId="1FE4E596" w14:textId="64631C52" w:rsidR="002B68B9" w:rsidRDefault="001B5703">
      <w:pPr>
        <w:sectPr w:rsidR="002B68B9" w:rsidSect="00835945">
          <w:pgSz w:w="11907" w:h="16840" w:code="9"/>
          <w:pgMar w:top="1418" w:right="1701" w:bottom="1134" w:left="1843" w:header="284" w:footer="425" w:gutter="284"/>
          <w:cols w:space="720"/>
        </w:sectPr>
      </w:pPr>
      <w:r>
        <w:rPr>
          <w:noProof/>
        </w:rPr>
        <w:drawing>
          <wp:inline distT="0" distB="0" distL="0" distR="0" wp14:anchorId="494253D3" wp14:editId="0590010C">
            <wp:extent cx="3939540" cy="225361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99792" cy="2288082"/>
                    </a:xfrm>
                    <a:prstGeom prst="rect">
                      <a:avLst/>
                    </a:prstGeom>
                    <a:noFill/>
                  </pic:spPr>
                </pic:pic>
              </a:graphicData>
            </a:graphic>
          </wp:inline>
        </w:drawing>
      </w:r>
    </w:p>
    <w:p w14:paraId="717972D9" w14:textId="30395102" w:rsidR="002B68B9" w:rsidRPr="002B68B9" w:rsidRDefault="002B68B9" w:rsidP="00B657AF">
      <w:pPr>
        <w:pStyle w:val="Heading2"/>
      </w:pPr>
      <w:bookmarkStart w:id="21" w:name="_Toc173848523"/>
      <w:bookmarkStart w:id="22" w:name="_Toc1414547940"/>
      <w:bookmarkStart w:id="23" w:name="_Toc174634390"/>
      <w:r>
        <w:lastRenderedPageBreak/>
        <w:t>Gambling harm</w:t>
      </w:r>
      <w:bookmarkEnd w:id="21"/>
      <w:bookmarkEnd w:id="22"/>
      <w:bookmarkEnd w:id="23"/>
    </w:p>
    <w:p w14:paraId="5B37DCFA" w14:textId="6FED4542" w:rsidR="002B68B9" w:rsidRPr="00BC0605" w:rsidRDefault="002B68B9" w:rsidP="002B68B9">
      <w:pPr>
        <w:pStyle w:val="Bullet"/>
      </w:pPr>
      <w:r w:rsidRPr="00BC0605">
        <w:rPr>
          <w:rFonts w:eastAsia="Lucida Sans Unicode"/>
        </w:rPr>
        <w:t xml:space="preserve">Research shows that </w:t>
      </w:r>
      <w:r w:rsidRPr="00076D0D">
        <w:rPr>
          <w:rFonts w:eastAsia="Lucida Sans Unicode"/>
          <w:b/>
          <w:bCs/>
          <w:color w:val="0070C0"/>
        </w:rPr>
        <w:t>one in five</w:t>
      </w:r>
      <w:r w:rsidRPr="00076D0D">
        <w:rPr>
          <w:rFonts w:eastAsia="Lucida Sans Unicode"/>
          <w:color w:val="0070C0"/>
        </w:rPr>
        <w:t xml:space="preserve"> </w:t>
      </w:r>
      <w:r w:rsidRPr="00BC0605">
        <w:rPr>
          <w:rFonts w:eastAsia="Lucida Sans Unicode"/>
        </w:rPr>
        <w:t xml:space="preserve">New Zealand adults (22%) are </w:t>
      </w:r>
      <w:r w:rsidRPr="00BC0605">
        <w:rPr>
          <w:rFonts w:eastAsia="Lucida Sans Unicode"/>
          <w:b/>
          <w:bCs/>
        </w:rPr>
        <w:t>affected at some time in their lives by their own or others’ gambling</w:t>
      </w:r>
      <w:r w:rsidRPr="00BC0605">
        <w:rPr>
          <w:rFonts w:eastAsia="Lucida Sans Unicode"/>
        </w:rPr>
        <w:t>.</w:t>
      </w:r>
      <w:r w:rsidRPr="006249DF">
        <w:rPr>
          <w:rStyle w:val="FootnoteReference"/>
          <w:rFonts w:eastAsia="Lucida Sans Unicode"/>
        </w:rPr>
        <w:footnoteReference w:id="7"/>
      </w:r>
      <w:r w:rsidRPr="00BC0605">
        <w:rPr>
          <w:rFonts w:eastAsia="Lucida Sans Unicode"/>
        </w:rPr>
        <w:t xml:space="preserve"> This includes financial harm; relationship disruption; conflict and breakdown; psychological distress; damage to health; cultural harm; reduced involvement at work or study; and criminal activity.</w:t>
      </w:r>
    </w:p>
    <w:p w14:paraId="5080506D" w14:textId="77777777" w:rsidR="002B68B9" w:rsidRPr="006249DF" w:rsidRDefault="002B68B9" w:rsidP="002B68B9">
      <w:pPr>
        <w:rPr>
          <w:rFonts w:eastAsia="Lucida Sans Unicode"/>
        </w:rPr>
      </w:pPr>
    </w:p>
    <w:p w14:paraId="09253D43" w14:textId="525304D9" w:rsidR="002B68B9" w:rsidRPr="00FD6A66" w:rsidRDefault="002B68B9" w:rsidP="002B68B9">
      <w:pPr>
        <w:pStyle w:val="Bullet"/>
      </w:pPr>
      <w:r w:rsidRPr="00076D0D">
        <w:rPr>
          <w:rFonts w:eastAsia="Lucida Sans Unicode"/>
          <w:b/>
          <w:bCs/>
          <w:color w:val="0070C0"/>
        </w:rPr>
        <w:t>Nearly 50%</w:t>
      </w:r>
      <w:r w:rsidRPr="00076D0D">
        <w:rPr>
          <w:rFonts w:eastAsia="Lucida Sans Unicode"/>
          <w:color w:val="0070C0"/>
        </w:rPr>
        <w:t xml:space="preserve"> </w:t>
      </w:r>
      <w:r w:rsidRPr="00FD6A66">
        <w:rPr>
          <w:rFonts w:eastAsia="Lucida Sans Unicode"/>
        </w:rPr>
        <w:t xml:space="preserve">of all </w:t>
      </w:r>
      <w:r w:rsidRPr="00FD6A66">
        <w:rPr>
          <w:rFonts w:eastAsia="Lucida Sans Unicode"/>
          <w:b/>
          <w:bCs/>
        </w:rPr>
        <w:t>gambling harm is experienced by people who participate in low-risk gambling</w:t>
      </w:r>
      <w:r w:rsidRPr="00FD6A66">
        <w:rPr>
          <w:rFonts w:eastAsia="Lucida Sans Unicode"/>
        </w:rPr>
        <w:t xml:space="preserve"> (harms include damage to relationships, emotional distress, financial impacts and disruptions to work or study).</w:t>
      </w:r>
      <w:r w:rsidRPr="006249DF">
        <w:rPr>
          <w:rStyle w:val="FootnoteReference"/>
          <w:rFonts w:eastAsia="Lucida Sans Unicode"/>
        </w:rPr>
        <w:footnoteReference w:id="8"/>
      </w:r>
      <w:r w:rsidRPr="00FD6A66">
        <w:rPr>
          <w:rFonts w:eastAsia="Lucida Sans Unicode"/>
        </w:rPr>
        <w:t xml:space="preserve"> This suggests we need to focus on reducing gambling harm at the whole-of-population level.</w:t>
      </w:r>
    </w:p>
    <w:p w14:paraId="6B6087C2" w14:textId="77777777" w:rsidR="002B68B9" w:rsidRPr="006249DF" w:rsidRDefault="002B68B9" w:rsidP="002B68B9">
      <w:pPr>
        <w:rPr>
          <w:rFonts w:eastAsia="Lucida Sans Unicode"/>
        </w:rPr>
      </w:pPr>
    </w:p>
    <w:p w14:paraId="74ABF007" w14:textId="4898A93D" w:rsidR="002B68B9" w:rsidRPr="00FD6A66" w:rsidRDefault="002B68B9" w:rsidP="002B68B9">
      <w:pPr>
        <w:pStyle w:val="Bullet"/>
      </w:pPr>
      <w:r w:rsidRPr="00076D0D">
        <w:rPr>
          <w:rFonts w:eastAsia="Lucida Sans Unicode"/>
          <w:b/>
          <w:bCs/>
          <w:color w:val="0070C0"/>
        </w:rPr>
        <w:t>183,000 adults</w:t>
      </w:r>
      <w:r w:rsidRPr="00076D0D">
        <w:rPr>
          <w:rFonts w:eastAsia="Lucida Sans Unicode"/>
          <w:color w:val="0070C0"/>
        </w:rPr>
        <w:t xml:space="preserve"> </w:t>
      </w:r>
      <w:r w:rsidRPr="00FD6A66">
        <w:rPr>
          <w:rFonts w:eastAsia="Lucida Sans Unicode"/>
        </w:rPr>
        <w:t xml:space="preserve">reported </w:t>
      </w:r>
      <w:r w:rsidRPr="00FD6A66">
        <w:rPr>
          <w:rFonts w:eastAsia="Lucida Sans Unicode"/>
          <w:b/>
          <w:bCs/>
        </w:rPr>
        <w:t>second-hand gambling harm</w:t>
      </w:r>
      <w:r w:rsidRPr="00FD6A66">
        <w:rPr>
          <w:rFonts w:eastAsia="Lucida Sans Unicode"/>
        </w:rPr>
        <w:t xml:space="preserve"> in their wider families or households in the past year, for example, arguments or ‘going without’ because of gambling.</w:t>
      </w:r>
      <w:r w:rsidRPr="006249DF">
        <w:rPr>
          <w:rStyle w:val="FootnoteReference"/>
          <w:rFonts w:eastAsia="Lucida Sans Unicode"/>
        </w:rPr>
        <w:footnoteReference w:id="9"/>
      </w:r>
      <w:bookmarkStart w:id="24" w:name="_Hlk173140670"/>
      <w:r w:rsidRPr="00FD6A66">
        <w:rPr>
          <w:rFonts w:eastAsia="Lucida Sans Unicode"/>
          <w:vertAlign w:val="superscript"/>
        </w:rPr>
        <w:t xml:space="preserve">, </w:t>
      </w:r>
      <w:r>
        <w:rPr>
          <w:rStyle w:val="FootnoteReference"/>
          <w:rFonts w:eastAsia="Lucida Sans Unicode"/>
        </w:rPr>
        <w:footnoteReference w:id="10"/>
      </w:r>
    </w:p>
    <w:bookmarkEnd w:id="24"/>
    <w:p w14:paraId="4F4D3811" w14:textId="4BD0AF60" w:rsidR="00835945" w:rsidRDefault="00835945"/>
    <w:p w14:paraId="44DF86DA" w14:textId="77777777" w:rsidR="00835945" w:rsidRDefault="00835945"/>
    <w:p w14:paraId="544CB518" w14:textId="27F89434" w:rsidR="002B68B9" w:rsidRDefault="002B68B9" w:rsidP="002B68B9">
      <w:pPr>
        <w:rPr>
          <w:rFonts w:eastAsia="Lucida Sans Unicode"/>
        </w:rPr>
      </w:pPr>
      <w:r w:rsidRPr="00841142">
        <w:rPr>
          <w:rFonts w:eastAsia="Lucida Sans Unicode"/>
        </w:rPr>
        <w:t>Although the latest survey data available (Healthy Lifestyles Survey 2020</w:t>
      </w:r>
      <w:r>
        <w:rPr>
          <w:rFonts w:eastAsia="Lucida Sans Unicode"/>
        </w:rPr>
        <w:t xml:space="preserve"> - HLS</w:t>
      </w:r>
      <w:r w:rsidRPr="00841142">
        <w:rPr>
          <w:rFonts w:eastAsia="Lucida Sans Unicode"/>
        </w:rPr>
        <w:t xml:space="preserve">) shows that the proportion of New Zealanders at risk of harm in the past 12 months has remained relatively stable, with </w:t>
      </w:r>
      <w:r w:rsidRPr="00EB404B">
        <w:rPr>
          <w:rFonts w:eastAsia="Lucida Sans Unicode"/>
        </w:rPr>
        <w:t>4.2% at low risk of harm</w:t>
      </w:r>
      <w:r>
        <w:rPr>
          <w:rFonts w:eastAsia="Lucida Sans Unicode"/>
        </w:rPr>
        <w:t xml:space="preserve"> and </w:t>
      </w:r>
      <w:r w:rsidRPr="00EB404B">
        <w:rPr>
          <w:rFonts w:eastAsia="Lucida Sans Unicode"/>
        </w:rPr>
        <w:t>2.3%</w:t>
      </w:r>
      <w:r>
        <w:rPr>
          <w:rFonts w:eastAsia="Lucida Sans Unicode"/>
        </w:rPr>
        <w:t xml:space="preserve"> </w:t>
      </w:r>
      <w:r w:rsidRPr="00EB404B">
        <w:rPr>
          <w:rFonts w:eastAsia="Lucida Sans Unicode"/>
        </w:rPr>
        <w:t>at moderate or high risk of harm;</w:t>
      </w:r>
      <w:r>
        <w:rPr>
          <w:rFonts w:eastAsia="Lucida Sans Unicode"/>
        </w:rPr>
        <w:t xml:space="preserve"> the numbers of New Zealanders </w:t>
      </w:r>
      <w:r w:rsidRPr="000009DB">
        <w:rPr>
          <w:rFonts w:eastAsia="Lucida Sans Unicode"/>
        </w:rPr>
        <w:t xml:space="preserve">experiencing gambling-related harm has </w:t>
      </w:r>
      <w:r w:rsidRPr="006A7A1C">
        <w:rPr>
          <w:rFonts w:eastAsia="Lucida Sans Unicode"/>
        </w:rPr>
        <w:t xml:space="preserve">increased </w:t>
      </w:r>
      <w:r w:rsidR="00D3214C" w:rsidRPr="006A7A1C">
        <w:rPr>
          <w:rFonts w:eastAsia="Lucida Sans Unicode"/>
        </w:rPr>
        <w:t xml:space="preserve">in line with </w:t>
      </w:r>
      <w:r w:rsidRPr="006A7A1C">
        <w:rPr>
          <w:rFonts w:eastAsia="Lucida Sans Unicode"/>
        </w:rPr>
        <w:t>population growth.</w:t>
      </w:r>
      <w:r>
        <w:rPr>
          <w:rFonts w:eastAsia="Lucida Sans Unicode"/>
        </w:rPr>
        <w:t xml:space="preserve"> </w:t>
      </w:r>
    </w:p>
    <w:p w14:paraId="644ED69B" w14:textId="77777777" w:rsidR="002B68B9" w:rsidRDefault="002B68B9" w:rsidP="002B68B9">
      <w:pPr>
        <w:rPr>
          <w:rFonts w:eastAsia="Lucida Sans Unicode"/>
        </w:rPr>
      </w:pPr>
    </w:p>
    <w:p w14:paraId="1DCC36DB" w14:textId="77777777" w:rsidR="002B68B9" w:rsidRDefault="002B68B9" w:rsidP="002B68B9">
      <w:pPr>
        <w:rPr>
          <w:rFonts w:eastAsia="Lucida Sans Unicode"/>
        </w:rPr>
      </w:pPr>
      <w:r>
        <w:rPr>
          <w:rFonts w:eastAsia="Lucida Sans Unicode"/>
        </w:rPr>
        <w:t>Some population groups are experiencing more gambling harm than others. For example, the HLS found</w:t>
      </w:r>
      <w:r w:rsidRPr="53E53BB2">
        <w:rPr>
          <w:rFonts w:eastAsia="Lucida Sans Unicode"/>
        </w:rPr>
        <w:t>, asking</w:t>
      </w:r>
      <w:r>
        <w:rPr>
          <w:rFonts w:eastAsia="Lucida Sans Unicode"/>
        </w:rPr>
        <w:t xml:space="preserve"> </w:t>
      </w:r>
      <w:r w:rsidRPr="57DB8D48">
        <w:rPr>
          <w:rFonts w:eastAsia="Lucida Sans Unicode"/>
        </w:rPr>
        <w:t xml:space="preserve">about the past 12 months, </w:t>
      </w:r>
      <w:r>
        <w:rPr>
          <w:rFonts w:eastAsia="Lucida Sans Unicode"/>
        </w:rPr>
        <w:t>that:</w:t>
      </w:r>
    </w:p>
    <w:p w14:paraId="3E6140EE" w14:textId="77777777" w:rsidR="002B68B9" w:rsidRPr="002B68B9" w:rsidRDefault="002B68B9" w:rsidP="002B68B9">
      <w:pPr>
        <w:pStyle w:val="Bullet"/>
        <w:rPr>
          <w:rFonts w:eastAsia="Lucida Sans Unicode"/>
        </w:rPr>
      </w:pPr>
      <w:r w:rsidRPr="00830F66">
        <w:rPr>
          <w:rFonts w:eastAsia="Lucida Sans Unicode"/>
          <w:b/>
          <w:bCs/>
          <w:color w:val="0A6AB4"/>
        </w:rPr>
        <w:t xml:space="preserve">Māori </w:t>
      </w:r>
      <w:r w:rsidRPr="002B68B9">
        <w:rPr>
          <w:rFonts w:eastAsia="Lucida Sans Unicode"/>
        </w:rPr>
        <w:t xml:space="preserve">were 3.13 times more likely to be moderate-risk or problem gamblers than non-Māori and non-Pacific peoples. </w:t>
      </w:r>
    </w:p>
    <w:p w14:paraId="3404CE57" w14:textId="77777777" w:rsidR="002B68B9" w:rsidRPr="002B68B9" w:rsidRDefault="002B68B9" w:rsidP="002B68B9">
      <w:pPr>
        <w:pStyle w:val="Bullet"/>
        <w:rPr>
          <w:rFonts w:eastAsia="Lucida Sans Unicode"/>
        </w:rPr>
      </w:pPr>
      <w:r w:rsidRPr="00830F66">
        <w:rPr>
          <w:rFonts w:eastAsia="Lucida Sans Unicode"/>
          <w:b/>
          <w:bCs/>
          <w:color w:val="0A6AB4"/>
        </w:rPr>
        <w:t>Pacific peoples</w:t>
      </w:r>
      <w:r w:rsidRPr="002B68B9">
        <w:rPr>
          <w:rFonts w:eastAsia="Lucida Sans Unicode"/>
        </w:rPr>
        <w:t xml:space="preserve"> were 2.56 times more likely to be moderate-risk or problem gamblers than non-Māori and non-Pacific peoples. </w:t>
      </w:r>
    </w:p>
    <w:p w14:paraId="376CBE51" w14:textId="77777777" w:rsidR="002B68B9" w:rsidRPr="002B68B9" w:rsidRDefault="002B68B9" w:rsidP="002B68B9">
      <w:pPr>
        <w:pStyle w:val="Bullet"/>
        <w:rPr>
          <w:rFonts w:eastAsia="Lucida Sans Unicode"/>
        </w:rPr>
      </w:pPr>
      <w:r w:rsidRPr="002B68B9">
        <w:rPr>
          <w:rFonts w:eastAsia="Lucida Sans Unicode"/>
        </w:rPr>
        <w:t xml:space="preserve">While the proportion of </w:t>
      </w:r>
      <w:r w:rsidRPr="00830F66">
        <w:rPr>
          <w:rFonts w:eastAsia="Lucida Sans Unicode"/>
          <w:b/>
          <w:bCs/>
          <w:color w:val="0A6AB4"/>
        </w:rPr>
        <w:t>Asian peoples</w:t>
      </w:r>
      <w:r w:rsidRPr="002B68B9">
        <w:rPr>
          <w:rFonts w:eastAsia="Lucida Sans Unicode"/>
          <w:b/>
          <w:bCs/>
        </w:rPr>
        <w:t xml:space="preserve"> </w:t>
      </w:r>
      <w:r w:rsidRPr="002B68B9">
        <w:rPr>
          <w:rFonts w:eastAsia="Lucida Sans Unicode"/>
        </w:rPr>
        <w:t>who gamble is relatively low when compared other population groups, those who do gamble are more likely to experience gambling harm compared with the European/Other population group.</w:t>
      </w:r>
    </w:p>
    <w:p w14:paraId="61CDF3AE" w14:textId="77777777" w:rsidR="002B68B9" w:rsidRPr="002B68B9" w:rsidRDefault="002B68B9" w:rsidP="002B68B9">
      <w:pPr>
        <w:pStyle w:val="Bullet"/>
        <w:rPr>
          <w:rFonts w:eastAsia="Lucida Sans Unicode"/>
        </w:rPr>
      </w:pPr>
      <w:r w:rsidRPr="002B68B9">
        <w:rPr>
          <w:rFonts w:eastAsia="Lucida Sans Unicode"/>
        </w:rPr>
        <w:lastRenderedPageBreak/>
        <w:t xml:space="preserve">About 45.7% of </w:t>
      </w:r>
      <w:r w:rsidRPr="00830F66">
        <w:rPr>
          <w:rFonts w:eastAsia="Lucida Sans Unicode"/>
          <w:b/>
          <w:bCs/>
          <w:color w:val="0A6AB4"/>
        </w:rPr>
        <w:t>youth</w:t>
      </w:r>
      <w:r w:rsidRPr="002B68B9">
        <w:rPr>
          <w:rFonts w:eastAsia="Lucida Sans Unicode"/>
        </w:rPr>
        <w:t xml:space="preserve"> aged 16–24 had gambled in the past year. Young people make up approximately 14% (9,000 people) of moderate- and high-risk gamblers (1.6% of all adults or 65,000 people).</w:t>
      </w:r>
    </w:p>
    <w:p w14:paraId="5D8F5E0E" w14:textId="77777777" w:rsidR="002B68B9" w:rsidRDefault="002B68B9" w:rsidP="002B68B9">
      <w:pPr>
        <w:rPr>
          <w:rFonts w:eastAsia="Lucida Sans Unicode"/>
        </w:rPr>
      </w:pPr>
    </w:p>
    <w:p w14:paraId="350A3447" w14:textId="601825E3" w:rsidR="002B68B9" w:rsidRDefault="002B68B9" w:rsidP="002B68B9">
      <w:pPr>
        <w:rPr>
          <w:rFonts w:eastAsia="Lucida Sans Unicode"/>
        </w:rPr>
      </w:pPr>
      <w:r>
        <w:rPr>
          <w:rFonts w:eastAsia="Lucida Sans Unicode"/>
        </w:rPr>
        <w:t>Some forms of gambling are also higher risk than others, with e</w:t>
      </w:r>
      <w:r w:rsidRPr="00A67AC4">
        <w:rPr>
          <w:rFonts w:eastAsia="Lucida Sans Unicode"/>
        </w:rPr>
        <w:t>vidence show</w:t>
      </w:r>
      <w:r>
        <w:rPr>
          <w:rFonts w:eastAsia="Lucida Sans Unicode"/>
        </w:rPr>
        <w:t>ing</w:t>
      </w:r>
      <w:r w:rsidRPr="00A67AC4">
        <w:rPr>
          <w:rFonts w:eastAsia="Lucida Sans Unicode"/>
        </w:rPr>
        <w:t xml:space="preserve"> that harm is far more likely to be associated with continuous forms of gambling (those in which a gambler can immediately ‘reinvest’ their winnings in further gambling) than other modes of gambling. The common forms of continuous gambling are gaming machines </w:t>
      </w:r>
      <w:r>
        <w:rPr>
          <w:rFonts w:eastAsia="Lucida Sans Unicode"/>
        </w:rPr>
        <w:t xml:space="preserve">or ‘pokies’ </w:t>
      </w:r>
      <w:r w:rsidRPr="00A67AC4">
        <w:rPr>
          <w:rFonts w:eastAsia="Lucida Sans Unicode"/>
        </w:rPr>
        <w:t>(in or out of a casino), casino table games, scratchies (Instant Kiwi) and sports/race betting</w:t>
      </w:r>
      <w:r>
        <w:rPr>
          <w:rFonts w:eastAsia="Lucida Sans Unicode"/>
        </w:rPr>
        <w:t>.</w:t>
      </w:r>
    </w:p>
    <w:p w14:paraId="19725766" w14:textId="77777777" w:rsidR="002B68B9" w:rsidRDefault="002B68B9" w:rsidP="002B68B9">
      <w:pPr>
        <w:rPr>
          <w:rFonts w:eastAsia="Lucida Sans Unicode"/>
        </w:rPr>
      </w:pPr>
    </w:p>
    <w:p w14:paraId="63844801" w14:textId="15E88B3B" w:rsidR="002B68B9" w:rsidRDefault="002B68B9" w:rsidP="002B68B9">
      <w:pPr>
        <w:rPr>
          <w:rFonts w:eastAsia="Lucida Sans Unicode"/>
        </w:rPr>
      </w:pPr>
      <w:r w:rsidRPr="746121A3">
        <w:rPr>
          <w:rFonts w:eastAsia="Lucida Sans Unicode"/>
        </w:rPr>
        <w:t xml:space="preserve">A large amount of the money spent on gambling in New Zealand comes from the </w:t>
      </w:r>
      <w:r w:rsidRPr="006A7A1C">
        <w:rPr>
          <w:rFonts w:eastAsia="Lucida Sans Unicode"/>
        </w:rPr>
        <w:t>relatively small number of people</w:t>
      </w:r>
      <w:r w:rsidRPr="746121A3">
        <w:rPr>
          <w:rFonts w:eastAsia="Lucida Sans Unicode"/>
          <w:vertAlign w:val="superscript"/>
        </w:rPr>
        <w:t xml:space="preserve"> </w:t>
      </w:r>
      <w:r w:rsidRPr="746121A3">
        <w:rPr>
          <w:rFonts w:eastAsia="Lucida Sans Unicode"/>
        </w:rPr>
        <w:t>who play gaming machines. Most people accessing gambling-harm intervention services cite pub or club pokies as the primary problem gambling mode. The offshore online gambling market has grown significantly in recent years, with higher participation, higher spend, and greater harm being reported by New Zealanders.</w:t>
      </w:r>
    </w:p>
    <w:p w14:paraId="64CB41C0" w14:textId="77777777" w:rsidR="002B68B9" w:rsidRPr="002B68B9" w:rsidRDefault="002B68B9" w:rsidP="002B68B9">
      <w:pPr>
        <w:pStyle w:val="Heading2"/>
      </w:pPr>
      <w:bookmarkStart w:id="25" w:name="_Toc173848524"/>
      <w:bookmarkStart w:id="26" w:name="_Toc338636991"/>
      <w:bookmarkStart w:id="27" w:name="_Toc174634391"/>
      <w:r w:rsidRPr="002B68B9">
        <w:t>Current service delivery</w:t>
      </w:r>
      <w:bookmarkEnd w:id="25"/>
      <w:bookmarkEnd w:id="26"/>
      <w:bookmarkEnd w:id="27"/>
    </w:p>
    <w:p w14:paraId="64A65876" w14:textId="77777777" w:rsidR="002B68B9" w:rsidRDefault="002B68B9" w:rsidP="002B68B9">
      <w:pPr>
        <w:rPr>
          <w:highlight w:val="yellow"/>
        </w:rPr>
      </w:pPr>
      <w:r>
        <w:t xml:space="preserve">Current services are under pressure and needing to adapt to a changing gambling environment. Service access is also lower than expected based on known levels of gambling harm. Refer to </w:t>
      </w:r>
      <w:r w:rsidRPr="003A6F51">
        <w:rPr>
          <w:b/>
          <w:bCs/>
        </w:rPr>
        <w:t>Appendix Three</w:t>
      </w:r>
      <w:r w:rsidRPr="00706C85">
        <w:t xml:space="preserve"> </w:t>
      </w:r>
      <w:r>
        <w:t>in</w:t>
      </w:r>
      <w:r w:rsidRPr="00706C85">
        <w:t xml:space="preserve"> the </w:t>
      </w:r>
      <w:r>
        <w:t>A</w:t>
      </w:r>
      <w:r w:rsidRPr="00706C85">
        <w:t>ppendices document</w:t>
      </w:r>
      <w:r>
        <w:rPr>
          <w:b/>
          <w:bCs/>
        </w:rPr>
        <w:t xml:space="preserve"> </w:t>
      </w:r>
      <w:r w:rsidRPr="00DB5117">
        <w:t>for m</w:t>
      </w:r>
      <w:r>
        <w:t>ore</w:t>
      </w:r>
      <w:r w:rsidRPr="0FD73C6D">
        <w:t xml:space="preserve"> information about </w:t>
      </w:r>
      <w:r>
        <w:t xml:space="preserve">current services and </w:t>
      </w:r>
      <w:r w:rsidRPr="0FD73C6D">
        <w:t>activity under</w:t>
      </w:r>
      <w:r w:rsidRPr="009E3069">
        <w:t xml:space="preserve"> the </w:t>
      </w:r>
      <w:r w:rsidRPr="0FD73C6D">
        <w:t>current Strategy</w:t>
      </w:r>
      <w:r w:rsidRPr="00377EEC">
        <w:t>.</w:t>
      </w:r>
      <w:r w:rsidRPr="00A2324C">
        <w:t xml:space="preserve"> </w:t>
      </w:r>
    </w:p>
    <w:p w14:paraId="5C9C8E6B" w14:textId="77777777" w:rsidR="002B68B9" w:rsidRDefault="002B68B9" w:rsidP="002B68B9">
      <w:pPr>
        <w:pStyle w:val="Heading3"/>
        <w:rPr>
          <w:rFonts w:eastAsia="Lucida Sans Unicode"/>
        </w:rPr>
      </w:pPr>
      <w:r>
        <w:rPr>
          <w:rFonts w:eastAsia="Lucida Sans Unicode"/>
        </w:rPr>
        <w:t>Public health approach to addressing gambling harm</w:t>
      </w:r>
    </w:p>
    <w:p w14:paraId="7D1079C1" w14:textId="77777777" w:rsidR="002B68B9" w:rsidRDefault="002B68B9" w:rsidP="002B68B9">
      <w:r w:rsidRPr="44644BCA">
        <w:rPr>
          <w:rFonts w:eastAsia="Lucida Sans Unicode"/>
        </w:rPr>
        <w:t>T</w:t>
      </w:r>
      <w:r w:rsidRPr="55012244">
        <w:t>he Act (section 317) requires an integrated harm prevention and minimisation strategy and a public health focus.</w:t>
      </w:r>
      <w:r>
        <w:t xml:space="preserve"> Public health service providers work within communities to encourage adoption of healthy gambling policies by local authorities; increase awareness and resiliency; and engage with gambling venues to support gambling harm minimisation practices. They also deliver a wide range of health promotion and awareness raising activities. </w:t>
      </w:r>
    </w:p>
    <w:p w14:paraId="7C1BEDFA" w14:textId="77777777" w:rsidR="002B68B9" w:rsidRPr="00172ABA" w:rsidRDefault="002B68B9" w:rsidP="002B68B9">
      <w:pPr>
        <w:pStyle w:val="Heading3"/>
        <w:rPr>
          <w:rFonts w:eastAsia="Lucida Sans Unicode"/>
        </w:rPr>
      </w:pPr>
      <w:r>
        <w:rPr>
          <w:rFonts w:eastAsia="Lucida Sans Unicode"/>
        </w:rPr>
        <w:t>Clinical intervention s</w:t>
      </w:r>
      <w:r w:rsidRPr="00172ABA">
        <w:rPr>
          <w:rFonts w:eastAsia="Lucida Sans Unicode"/>
        </w:rPr>
        <w:t xml:space="preserve">ervice </w:t>
      </w:r>
      <w:r>
        <w:rPr>
          <w:rFonts w:eastAsia="Lucida Sans Unicode"/>
        </w:rPr>
        <w:t>delivery</w:t>
      </w:r>
    </w:p>
    <w:p w14:paraId="56857C3E" w14:textId="456E2F06" w:rsidR="002B68B9" w:rsidRDefault="002B68B9" w:rsidP="002B68B9">
      <w:r>
        <w:t>T</w:t>
      </w:r>
      <w:r w:rsidRPr="002E6BFF">
        <w:t xml:space="preserve">he number of gamblers seeking treatment </w:t>
      </w:r>
      <w:r>
        <w:t>has remained static</w:t>
      </w:r>
      <w:r>
        <w:rPr>
          <w:rStyle w:val="FootnoteReference"/>
          <w:rFonts w:eastAsia="Lucida Sans Unicode"/>
        </w:rPr>
        <w:footnoteReference w:id="11"/>
      </w:r>
      <w:r w:rsidRPr="002E6BFF">
        <w:t xml:space="preserve">, despite the increase in real numbers of people experiencing gambling harm. </w:t>
      </w:r>
    </w:p>
    <w:p w14:paraId="2F0EE30E" w14:textId="77777777" w:rsidR="002B68B9" w:rsidRDefault="002B68B9" w:rsidP="002B68B9"/>
    <w:p w14:paraId="59FC2A11" w14:textId="69295CCF" w:rsidR="002B68B9" w:rsidRDefault="002B68B9" w:rsidP="00076D0D">
      <w:pPr>
        <w:pStyle w:val="ListParagraph"/>
        <w:numPr>
          <w:ilvl w:val="0"/>
          <w:numId w:val="43"/>
        </w:numPr>
      </w:pPr>
      <w:r w:rsidRPr="00076D0D">
        <w:rPr>
          <w:rFonts w:eastAsia="Lucida Sans Unicode"/>
        </w:rPr>
        <w:t>In the 2022</w:t>
      </w:r>
      <w:r w:rsidRPr="00CA0F11">
        <w:t xml:space="preserve">/23 year, </w:t>
      </w:r>
      <w:r w:rsidRPr="00076D0D">
        <w:rPr>
          <w:b/>
          <w:bCs/>
          <w:color w:val="0070C0"/>
        </w:rPr>
        <w:t>6,516</w:t>
      </w:r>
      <w:r w:rsidRPr="00076D0D">
        <w:rPr>
          <w:color w:val="0070C0"/>
        </w:rPr>
        <w:t xml:space="preserve"> </w:t>
      </w:r>
      <w:r w:rsidRPr="00076D0D">
        <w:rPr>
          <w:b/>
          <w:bCs/>
        </w:rPr>
        <w:t>‘gambler’ clients received gambling harm treatment services</w:t>
      </w:r>
      <w:r w:rsidRPr="00CA0F11">
        <w:t xml:space="preserve"> from a provider funded by the Strategy.</w:t>
      </w:r>
    </w:p>
    <w:p w14:paraId="72DA7166" w14:textId="77777777" w:rsidR="002B68B9" w:rsidRPr="00CA0F11" w:rsidRDefault="002B68B9" w:rsidP="002B68B9"/>
    <w:p w14:paraId="39E6BC52" w14:textId="413D4E17" w:rsidR="002B68B9" w:rsidRDefault="002B68B9" w:rsidP="00076D0D">
      <w:pPr>
        <w:pStyle w:val="ListParagraph"/>
        <w:numPr>
          <w:ilvl w:val="0"/>
          <w:numId w:val="43"/>
        </w:numPr>
      </w:pPr>
      <w:r w:rsidRPr="00CA0F11">
        <w:lastRenderedPageBreak/>
        <w:t xml:space="preserve">In the 2022/23 year, </w:t>
      </w:r>
      <w:r w:rsidRPr="00076D0D">
        <w:rPr>
          <w:b/>
          <w:bCs/>
          <w:color w:val="0070C0"/>
        </w:rPr>
        <w:t>3,870</w:t>
      </w:r>
      <w:r w:rsidRPr="00076D0D">
        <w:rPr>
          <w:color w:val="0070C0"/>
        </w:rPr>
        <w:t xml:space="preserve"> </w:t>
      </w:r>
      <w:r w:rsidRPr="00076D0D">
        <w:rPr>
          <w:b/>
          <w:bCs/>
        </w:rPr>
        <w:t>‘family / affected other’ clients received gambling harm treatment services</w:t>
      </w:r>
      <w:r w:rsidRPr="00CA0F11">
        <w:t xml:space="preserve"> from a provider funded by the Strategy. </w:t>
      </w:r>
    </w:p>
    <w:p w14:paraId="67E9A1E5" w14:textId="77777777" w:rsidR="002B68B9" w:rsidRPr="00CA0F11" w:rsidRDefault="002B68B9" w:rsidP="002B68B9"/>
    <w:p w14:paraId="63D37013" w14:textId="77777777" w:rsidR="002B68B9" w:rsidRPr="00CA0F11" w:rsidRDefault="002B68B9" w:rsidP="00076D0D">
      <w:pPr>
        <w:pStyle w:val="ListParagraph"/>
        <w:numPr>
          <w:ilvl w:val="0"/>
          <w:numId w:val="43"/>
        </w:numPr>
      </w:pPr>
      <w:r>
        <w:t xml:space="preserve">In addition to the </w:t>
      </w:r>
      <w:r w:rsidRPr="00076D0D">
        <w:rPr>
          <w:b/>
          <w:bCs/>
          <w:color w:val="0070C0"/>
        </w:rPr>
        <w:t>6,516</w:t>
      </w:r>
      <w:r>
        <w:t xml:space="preserve"> people who sought help for their own gambling in 2022/23, the national Gambling Helpline reported a total of 2,706 people </w:t>
      </w:r>
      <w:r w:rsidRPr="00076D0D">
        <w:rPr>
          <w:b/>
          <w:bCs/>
        </w:rPr>
        <w:t xml:space="preserve">accessing support from the telehealth service </w:t>
      </w:r>
      <w:r w:rsidRPr="00024B71">
        <w:t xml:space="preserve">in the </w:t>
      </w:r>
      <w:r>
        <w:t xml:space="preserve">same year. </w:t>
      </w:r>
    </w:p>
    <w:p w14:paraId="417F8462" w14:textId="77777777" w:rsidR="002B68B9" w:rsidRPr="002B68B9" w:rsidRDefault="002B68B9" w:rsidP="002B68B9">
      <w:pPr>
        <w:pStyle w:val="Heading2"/>
      </w:pPr>
      <w:bookmarkStart w:id="28" w:name="_Toc173154244"/>
      <w:bookmarkStart w:id="29" w:name="_Toc173848525"/>
      <w:bookmarkStart w:id="30" w:name="_Toc134044952"/>
      <w:bookmarkStart w:id="31" w:name="_Toc174634392"/>
      <w:r w:rsidRPr="002B68B9">
        <w:t>Needs assessment</w:t>
      </w:r>
      <w:bookmarkEnd w:id="28"/>
      <w:bookmarkEnd w:id="29"/>
      <w:bookmarkEnd w:id="30"/>
      <w:bookmarkEnd w:id="31"/>
    </w:p>
    <w:p w14:paraId="54068AA1" w14:textId="7E60C07F" w:rsidR="002B68B9" w:rsidRDefault="002B68B9" w:rsidP="002B68B9">
      <w:pPr>
        <w:rPr>
          <w:i/>
          <w:iCs/>
        </w:rPr>
      </w:pPr>
      <w:r>
        <w:t xml:space="preserve">Under the Act, the Ministry is required to undertake a Needs Assessment to inform the development of the Strategy. The Needs Assessment for the 2025/26 to 2027/28 Strategy is available </w:t>
      </w:r>
      <w:r w:rsidR="009B485E">
        <w:t xml:space="preserve">on the </w:t>
      </w:r>
      <w:hyperlink r:id="rId32" w:history="1">
        <w:r w:rsidR="009B485E" w:rsidRPr="00FE6578">
          <w:rPr>
            <w:rStyle w:val="Hyperlink"/>
          </w:rPr>
          <w:t>Consultation</w:t>
        </w:r>
        <w:r w:rsidR="00FE6578" w:rsidRPr="00FE6578">
          <w:rPr>
            <w:rStyle w:val="Hyperlink"/>
          </w:rPr>
          <w:t xml:space="preserve"> page on the Ministry website</w:t>
        </w:r>
      </w:hyperlink>
      <w:r w:rsidR="00FE6578">
        <w:t>.</w:t>
      </w:r>
      <w:r w:rsidR="009B485E">
        <w:t xml:space="preserve"> </w:t>
      </w:r>
    </w:p>
    <w:p w14:paraId="2D382892" w14:textId="77777777" w:rsidR="002B68B9" w:rsidRDefault="002B68B9" w:rsidP="002B68B9">
      <w:pPr>
        <w:rPr>
          <w:i/>
          <w:iCs/>
        </w:rPr>
      </w:pPr>
    </w:p>
    <w:p w14:paraId="1A0112F7" w14:textId="5E7935C4" w:rsidR="002B68B9" w:rsidRDefault="002B68B9" w:rsidP="002B68B9">
      <w:r>
        <w:t>Key findings and views from the Needs Assessment are outlined below.</w:t>
      </w:r>
    </w:p>
    <w:p w14:paraId="6B107A0A" w14:textId="77777777" w:rsidR="002B68B9" w:rsidRDefault="002B68B9" w:rsidP="002B68B9"/>
    <w:p w14:paraId="3641445B" w14:textId="09903588" w:rsidR="002B68B9" w:rsidRDefault="002B68B9" w:rsidP="002B68B9">
      <w:pPr>
        <w:pStyle w:val="Bullet"/>
      </w:pPr>
      <w:r w:rsidRPr="00E069F3">
        <w:rPr>
          <w:b/>
          <w:bCs/>
        </w:rPr>
        <w:t>Service provision</w:t>
      </w:r>
      <w:r>
        <w:t>:</w:t>
      </w:r>
      <w:r w:rsidRPr="00221EB1">
        <w:t xml:space="preserve"> </w:t>
      </w:r>
      <w:r>
        <w:t>S</w:t>
      </w:r>
      <w:r w:rsidRPr="00E069F3">
        <w:rPr>
          <w:rFonts w:eastAsia="Calibri"/>
        </w:rPr>
        <w:t xml:space="preserve">trong communication and coordination is needed across the mental health and addiction service sector and related government agencies, led by government. </w:t>
      </w:r>
      <w:r>
        <w:t>T</w:t>
      </w:r>
      <w:r w:rsidRPr="00E069F3">
        <w:rPr>
          <w:rFonts w:eastAsia="Calibri"/>
        </w:rPr>
        <w:t>ime is needed to bed in new services procured in 2023.</w:t>
      </w:r>
      <w:r>
        <w:t xml:space="preserve"> The </w:t>
      </w:r>
      <w:r w:rsidRPr="00E069F3">
        <w:rPr>
          <w:rFonts w:eastAsia="Calibri"/>
        </w:rPr>
        <w:t>clinical response to online gambling needs to be improved</w:t>
      </w:r>
      <w:r>
        <w:t>.</w:t>
      </w:r>
    </w:p>
    <w:p w14:paraId="55137EA9" w14:textId="77777777" w:rsidR="002B68B9" w:rsidRDefault="002B68B9" w:rsidP="002B68B9"/>
    <w:p w14:paraId="00E81A80" w14:textId="5CE80E17" w:rsidR="002B68B9" w:rsidRPr="00E069F3" w:rsidRDefault="002B68B9" w:rsidP="002B68B9">
      <w:pPr>
        <w:pStyle w:val="Bullet"/>
      </w:pPr>
      <w:r w:rsidRPr="00E069F3">
        <w:rPr>
          <w:b/>
          <w:bCs/>
        </w:rPr>
        <w:t>Lived experience</w:t>
      </w:r>
      <w:r>
        <w:t>:</w:t>
      </w:r>
      <w:r w:rsidRPr="00AB1E7B">
        <w:t xml:space="preserve"> </w:t>
      </w:r>
      <w:r>
        <w:t>L</w:t>
      </w:r>
      <w:r w:rsidRPr="00E069F3">
        <w:rPr>
          <w:rFonts w:eastAsia="Calibri"/>
        </w:rPr>
        <w:t xml:space="preserve">ived experience voices </w:t>
      </w:r>
      <w:r>
        <w:t>n</w:t>
      </w:r>
      <w:r w:rsidRPr="00E069F3">
        <w:rPr>
          <w:rFonts w:eastAsia="Calibri"/>
        </w:rPr>
        <w:t>eed to be integrated across the mental health and addiction workforce and research, clinical and specialist services, and collaboration needs to be strengthened.</w:t>
      </w:r>
      <w:r>
        <w:t xml:space="preserve"> L</w:t>
      </w:r>
      <w:r w:rsidRPr="00E069F3">
        <w:rPr>
          <w:rFonts w:eastAsia="Calibri"/>
        </w:rPr>
        <w:t>ived experience voices should inform harm minimisation training and service design and enhance gambling venue staff’s understanding of gambling harm, harm reduction and support services.</w:t>
      </w:r>
    </w:p>
    <w:p w14:paraId="024CAE59" w14:textId="77777777" w:rsidR="00844E4A" w:rsidRDefault="00844E4A" w:rsidP="002B68B9">
      <w:pPr>
        <w:rPr>
          <w:rFonts w:eastAsia="Calibri"/>
          <w:b/>
          <w:bCs/>
        </w:rPr>
      </w:pPr>
    </w:p>
    <w:p w14:paraId="634D3FE5" w14:textId="1F0DEAAC" w:rsidR="002B68B9" w:rsidRPr="00E069F3" w:rsidRDefault="002B68B9" w:rsidP="002B68B9">
      <w:pPr>
        <w:pStyle w:val="Bullet"/>
      </w:pPr>
      <w:r w:rsidRPr="00E069F3">
        <w:rPr>
          <w:rFonts w:eastAsia="Calibri"/>
          <w:b/>
          <w:bCs/>
        </w:rPr>
        <w:t>Workforce</w:t>
      </w:r>
      <w:r w:rsidRPr="00E069F3">
        <w:rPr>
          <w:rFonts w:eastAsia="Calibri"/>
        </w:rPr>
        <w:t xml:space="preserve">: </w:t>
      </w:r>
      <w:r>
        <w:t>T</w:t>
      </w:r>
      <w:r w:rsidRPr="00E069F3">
        <w:rPr>
          <w:rFonts w:eastAsia="Calibri"/>
        </w:rPr>
        <w:t xml:space="preserve">he gambling harm clinical workforce needs to grow, but there are persistent issues in recruitment, retention and pay disparity. </w:t>
      </w:r>
      <w:r>
        <w:t>There is the p</w:t>
      </w:r>
      <w:r w:rsidRPr="00E069F3">
        <w:rPr>
          <w:rFonts w:eastAsia="Calibri"/>
        </w:rPr>
        <w:t>otential to increase peer support services, but care is needed to ensure this is not at the cost of the clinical workforce capacity. Clinical supervision and oversight are needed. Clinical capacity is not meeting the level of need, which is impacting timely access.</w:t>
      </w:r>
    </w:p>
    <w:p w14:paraId="55521254" w14:textId="77777777" w:rsidR="002B68B9" w:rsidRDefault="002B68B9" w:rsidP="002B68B9">
      <w:pPr>
        <w:rPr>
          <w:rFonts w:eastAsia="Calibri"/>
        </w:rPr>
      </w:pPr>
    </w:p>
    <w:p w14:paraId="25991228" w14:textId="233139AF" w:rsidR="002B68B9" w:rsidRPr="00E069F3" w:rsidRDefault="002B68B9" w:rsidP="002B68B9">
      <w:pPr>
        <w:pStyle w:val="Bullet"/>
      </w:pPr>
      <w:r w:rsidRPr="00E069F3">
        <w:rPr>
          <w:rFonts w:eastAsia="Calibri"/>
          <w:b/>
          <w:bCs/>
        </w:rPr>
        <w:t>Other</w:t>
      </w:r>
      <w:r w:rsidRPr="00E069F3">
        <w:rPr>
          <w:rFonts w:eastAsia="Calibri"/>
        </w:rPr>
        <w:t xml:space="preserve">: </w:t>
      </w:r>
      <w:r>
        <w:t>The</w:t>
      </w:r>
      <w:r w:rsidRPr="00E069F3">
        <w:rPr>
          <w:rFonts w:eastAsia="Calibri"/>
        </w:rPr>
        <w:t xml:space="preserve"> prevalence of online gambling promotion is impossible to restrain, and there is an urgent need to regulate online gambling. </w:t>
      </w:r>
      <w:r>
        <w:t>There is m</w:t>
      </w:r>
      <w:r w:rsidRPr="00E069F3">
        <w:rPr>
          <w:rFonts w:eastAsia="Calibri"/>
        </w:rPr>
        <w:t xml:space="preserve">ixed understanding about the quality and availability of prevalence data. </w:t>
      </w:r>
      <w:r>
        <w:t>R</w:t>
      </w:r>
      <w:r w:rsidRPr="00E069F3">
        <w:rPr>
          <w:rFonts w:eastAsia="Calibri"/>
        </w:rPr>
        <w:t>esearch and data need to be translated into policy and action.</w:t>
      </w:r>
    </w:p>
    <w:p w14:paraId="3FDCE243" w14:textId="77777777" w:rsidR="00835945" w:rsidRDefault="00835945"/>
    <w:p w14:paraId="7ACCF8A0" w14:textId="48960F7C" w:rsidR="002B68B9" w:rsidRDefault="002B68B9">
      <w:pPr>
        <w:sectPr w:rsidR="002B68B9" w:rsidSect="00835945">
          <w:pgSz w:w="11907" w:h="16840" w:code="9"/>
          <w:pgMar w:top="1418" w:right="1701" w:bottom="1134" w:left="1843" w:header="284" w:footer="425" w:gutter="284"/>
          <w:cols w:space="720"/>
        </w:sectPr>
      </w:pPr>
    </w:p>
    <w:p w14:paraId="39410B50" w14:textId="5FF58FB1" w:rsidR="00835945" w:rsidRDefault="00835945" w:rsidP="00172194">
      <w:pPr>
        <w:pStyle w:val="Heading1"/>
        <w:rPr>
          <w:sz w:val="56"/>
          <w:szCs w:val="56"/>
        </w:rPr>
      </w:pPr>
      <w:bookmarkStart w:id="32" w:name="_Toc174634393"/>
      <w:r w:rsidRPr="002255C1">
        <w:rPr>
          <w:sz w:val="56"/>
          <w:szCs w:val="56"/>
        </w:rPr>
        <w:lastRenderedPageBreak/>
        <w:t>Strategic plan</w:t>
      </w:r>
      <w:r w:rsidR="009E470C">
        <w:rPr>
          <w:sz w:val="56"/>
          <w:szCs w:val="56"/>
        </w:rPr>
        <w:t xml:space="preserve"> </w:t>
      </w:r>
      <w:bookmarkEnd w:id="32"/>
    </w:p>
    <w:p w14:paraId="17B61EEF" w14:textId="6A965E01" w:rsidR="009E470C" w:rsidRPr="009E470C" w:rsidRDefault="009E470C" w:rsidP="009E470C">
      <w:pPr>
        <w:rPr>
          <w:b/>
          <w:bCs/>
          <w:lang w:val="en-GB"/>
        </w:rPr>
      </w:pPr>
      <w:r w:rsidRPr="009E470C">
        <w:rPr>
          <w:b/>
          <w:bCs/>
          <w:lang w:val="en-GB"/>
        </w:rPr>
        <w:t>A focus on access, workforce, prevention and early intervention, and effectiveness</w:t>
      </w:r>
      <w:r>
        <w:rPr>
          <w:b/>
          <w:bCs/>
          <w:lang w:val="en-GB"/>
        </w:rPr>
        <w:t>.</w:t>
      </w:r>
    </w:p>
    <w:p w14:paraId="6DA22D7B" w14:textId="77777777" w:rsidR="00830F66" w:rsidRPr="00830F66" w:rsidRDefault="00830F66" w:rsidP="00830F66">
      <w:pPr>
        <w:pStyle w:val="Heading2"/>
      </w:pPr>
      <w:bookmarkStart w:id="33" w:name="_Toc173154246"/>
      <w:bookmarkStart w:id="34" w:name="_Toc173848527"/>
      <w:bookmarkStart w:id="35" w:name="_Toc467296263"/>
      <w:bookmarkStart w:id="36" w:name="_Toc174634394"/>
      <w:r w:rsidRPr="00830F66">
        <w:t>Priorities for the mental health and addiction sector</w:t>
      </w:r>
      <w:bookmarkEnd w:id="33"/>
      <w:bookmarkEnd w:id="34"/>
      <w:bookmarkEnd w:id="35"/>
      <w:bookmarkEnd w:id="36"/>
    </w:p>
    <w:p w14:paraId="01B7AC64" w14:textId="77777777" w:rsidR="00830F66" w:rsidRDefault="00830F66" w:rsidP="00830F66">
      <w:r w:rsidRPr="00C56740">
        <w:t>Over the next three years</w:t>
      </w:r>
      <w:r>
        <w:t>,</w:t>
      </w:r>
      <w:r w:rsidRPr="00C56740">
        <w:t xml:space="preserve"> there will be a focus on</w:t>
      </w:r>
      <w:r>
        <w:t xml:space="preserve"> the Minister for Mental Health’s Government priorities of: </w:t>
      </w:r>
    </w:p>
    <w:p w14:paraId="7E5D3099" w14:textId="77AE1135" w:rsidR="00830F66" w:rsidRPr="00830F66" w:rsidRDefault="00830F66" w:rsidP="00830F66">
      <w:pPr>
        <w:pStyle w:val="Bullet"/>
      </w:pPr>
      <w:r w:rsidRPr="00830F66">
        <w:rPr>
          <w:rFonts w:eastAsia="Lucida Sans Unicode"/>
          <w:b/>
          <w:bCs/>
        </w:rPr>
        <w:t xml:space="preserve">Increasing </w:t>
      </w:r>
      <w:r w:rsidRPr="00830F66">
        <w:rPr>
          <w:rFonts w:eastAsia="Lucida Sans Unicode"/>
          <w:b/>
          <w:bCs/>
          <w:color w:val="0A6AB4"/>
        </w:rPr>
        <w:t>access to gambling harm support</w:t>
      </w:r>
      <w:r w:rsidRPr="00830F66">
        <w:rPr>
          <w:rFonts w:eastAsia="Lucida Sans Unicode"/>
        </w:rPr>
        <w:t xml:space="preserve">: </w:t>
      </w:r>
      <w:r w:rsidRPr="00830F66">
        <w:t xml:space="preserve">In New Zealand, </w:t>
      </w:r>
      <w:r w:rsidRPr="00CC0B1F">
        <w:t>as internationally,</w:t>
      </w:r>
      <w:r w:rsidRPr="00830F66">
        <w:t xml:space="preserve"> a relatively small proportion of people who are suffering from gambling harm seek formal help. Increasing access to gambling harm services will require multiple approaches including de-stigmatisation, digital tools, access to gambling harm support in primary care, and service promotion.</w:t>
      </w:r>
    </w:p>
    <w:p w14:paraId="581E473B" w14:textId="77777777" w:rsidR="00830F66" w:rsidRPr="00830F66" w:rsidRDefault="00830F66" w:rsidP="00830F66">
      <w:pPr>
        <w:pStyle w:val="Bullet"/>
      </w:pPr>
      <w:r w:rsidRPr="00830F66">
        <w:rPr>
          <w:rFonts w:eastAsia="Lucida Sans Unicode"/>
          <w:b/>
          <w:bCs/>
        </w:rPr>
        <w:t>Growing</w:t>
      </w:r>
      <w:r w:rsidRPr="00830F66">
        <w:rPr>
          <w:rFonts w:eastAsia="Lucida Sans Unicode"/>
        </w:rPr>
        <w:t xml:space="preserve"> </w:t>
      </w:r>
      <w:r w:rsidRPr="00830F66">
        <w:rPr>
          <w:rFonts w:eastAsia="Lucida Sans Unicode"/>
          <w:b/>
          <w:bCs/>
          <w:color w:val="0A6AB4"/>
        </w:rPr>
        <w:t>the gambling harm workforce</w:t>
      </w:r>
      <w:r w:rsidRPr="00830F66">
        <w:rPr>
          <w:rFonts w:eastAsia="Lucida Sans Unicode"/>
        </w:rPr>
        <w:t xml:space="preserve">: There is a need to grow </w:t>
      </w:r>
      <w:r w:rsidRPr="00830F66">
        <w:t xml:space="preserve">both clinical and consumer, peer and lived experience workforces. Measures are needed both to train and recruit new workers and also to retain current workers. </w:t>
      </w:r>
    </w:p>
    <w:p w14:paraId="1C9F97B3" w14:textId="77777777" w:rsidR="00830F66" w:rsidRPr="00830F66" w:rsidRDefault="00830F66" w:rsidP="00830F66">
      <w:pPr>
        <w:pStyle w:val="Bullet"/>
        <w:rPr>
          <w:rFonts w:eastAsia="Lucida Sans Unicode"/>
        </w:rPr>
      </w:pPr>
      <w:r w:rsidRPr="00830F66">
        <w:rPr>
          <w:rFonts w:eastAsia="Lucida Sans Unicode"/>
          <w:b/>
          <w:bCs/>
        </w:rPr>
        <w:t xml:space="preserve">Strengthening </w:t>
      </w:r>
      <w:r w:rsidRPr="00830F66">
        <w:rPr>
          <w:rFonts w:eastAsia="Lucida Sans Unicode"/>
          <w:b/>
          <w:bCs/>
          <w:color w:val="0A6AB4"/>
        </w:rPr>
        <w:t>the focus on the prevention of and early intervention in gambling harm</w:t>
      </w:r>
      <w:r w:rsidRPr="00830F66">
        <w:rPr>
          <w:rFonts w:eastAsia="Lucida Sans Unicode"/>
        </w:rPr>
        <w:t>: I</w:t>
      </w:r>
      <w:r w:rsidRPr="00830F66">
        <w:t xml:space="preserve">nvestment into health promotion, de-stigmatisation, awareness, and education activities are important to prevent harm at the population level and can also minimise harm by equipping people to support their own wellbeing and to seek help when needed. </w:t>
      </w:r>
    </w:p>
    <w:p w14:paraId="318B6BC5" w14:textId="77777777" w:rsidR="00830F66" w:rsidRPr="00830F66" w:rsidRDefault="00830F66" w:rsidP="00830F66">
      <w:pPr>
        <w:pStyle w:val="Bullet"/>
      </w:pPr>
      <w:r w:rsidRPr="00830F66">
        <w:rPr>
          <w:b/>
          <w:bCs/>
        </w:rPr>
        <w:t xml:space="preserve">Improving </w:t>
      </w:r>
      <w:r w:rsidRPr="00830F66">
        <w:rPr>
          <w:rFonts w:eastAsia="Lucida Sans Unicode"/>
          <w:b/>
          <w:bCs/>
          <w:color w:val="0A6AB4"/>
        </w:rPr>
        <w:t>the effectiveness of gambling harm support</w:t>
      </w:r>
      <w:r w:rsidRPr="00830F66">
        <w:t xml:space="preserve">: There will be a strong focus on research and evaluation to ensure we are taking an evidence-based and effective approach. </w:t>
      </w:r>
    </w:p>
    <w:p w14:paraId="4CB231D1" w14:textId="77777777" w:rsidR="00830F66" w:rsidRPr="00830F66" w:rsidRDefault="00830F66" w:rsidP="00830F66">
      <w:pPr>
        <w:pStyle w:val="Heading2"/>
      </w:pPr>
      <w:bookmarkStart w:id="37" w:name="_Toc173154247"/>
      <w:bookmarkStart w:id="38" w:name="_Toc173848528"/>
      <w:bookmarkStart w:id="39" w:name="_Toc1045674296"/>
      <w:bookmarkStart w:id="40" w:name="_Toc174634395"/>
      <w:r w:rsidRPr="00830F66">
        <w:t>Strategic framework for preventing and minimising gambling harm</w:t>
      </w:r>
      <w:bookmarkEnd w:id="37"/>
      <w:bookmarkEnd w:id="38"/>
      <w:bookmarkEnd w:id="39"/>
      <w:bookmarkEnd w:id="40"/>
      <w:r w:rsidRPr="00830F66">
        <w:t xml:space="preserve"> </w:t>
      </w:r>
    </w:p>
    <w:p w14:paraId="6B2E032D" w14:textId="28C4CFBD" w:rsidR="00830F66" w:rsidRDefault="00830F66" w:rsidP="00830F66">
      <w:r>
        <w:t xml:space="preserve">Figure 2 sets out the proposed strategic framework that will drive progress against these </w:t>
      </w:r>
      <w:r w:rsidRPr="00406548">
        <w:rPr>
          <w:b/>
          <w:color w:val="0A6AB4"/>
        </w:rPr>
        <w:t>four priorities</w:t>
      </w:r>
      <w:r>
        <w:rPr>
          <w:b/>
          <w:color w:val="0A6AB4"/>
        </w:rPr>
        <w:t>.</w:t>
      </w:r>
      <w:r>
        <w:t xml:space="preserve"> </w:t>
      </w:r>
    </w:p>
    <w:p w14:paraId="216240EE" w14:textId="77777777" w:rsidR="0012551A" w:rsidRDefault="0012551A" w:rsidP="00830F66"/>
    <w:p w14:paraId="5F3CD6E6" w14:textId="77777777" w:rsidR="00830F66" w:rsidRDefault="00830F66" w:rsidP="00830F66">
      <w:r>
        <w:t xml:space="preserve">The framework outlines </w:t>
      </w:r>
      <w:r w:rsidRPr="009806CB">
        <w:rPr>
          <w:b/>
          <w:color w:val="0A6AB4"/>
        </w:rPr>
        <w:t>12 action areas</w:t>
      </w:r>
      <w:r w:rsidRPr="009806CB">
        <w:rPr>
          <w:color w:val="0A6AB4"/>
        </w:rPr>
        <w:t xml:space="preserve"> </w:t>
      </w:r>
      <w:r w:rsidRPr="00205B8A">
        <w:t>across the priorities</w:t>
      </w:r>
      <w:r>
        <w:rPr>
          <w:color w:val="0A6AB4"/>
        </w:rPr>
        <w:t xml:space="preserve"> </w:t>
      </w:r>
      <w:r w:rsidRPr="0D00788D">
        <w:t>–</w:t>
      </w:r>
      <w:r>
        <w:t xml:space="preserve"> </w:t>
      </w:r>
      <w:r w:rsidRPr="0D00788D">
        <w:t xml:space="preserve">taken together, these action areas describe a well-functioning gambling harm prevention and minimisation system. </w:t>
      </w:r>
    </w:p>
    <w:p w14:paraId="3C0D11A4" w14:textId="77777777" w:rsidR="00830F66" w:rsidRDefault="00830F66" w:rsidP="00830F66">
      <w:r>
        <w:t xml:space="preserve">Delivery of these actions against the priorities will shift us closer to the </w:t>
      </w:r>
      <w:r w:rsidRPr="009806CB">
        <w:rPr>
          <w:b/>
          <w:color w:val="0A6AB4"/>
        </w:rPr>
        <w:t>four strategic outcomes</w:t>
      </w:r>
      <w:r>
        <w:t xml:space="preserve">: </w:t>
      </w:r>
    </w:p>
    <w:p w14:paraId="5C6AA37B" w14:textId="77777777" w:rsidR="00830F66" w:rsidRPr="00830F66" w:rsidRDefault="00830F66" w:rsidP="00830F66">
      <w:pPr>
        <w:pStyle w:val="Bullet"/>
        <w:rPr>
          <w:rFonts w:eastAsia="Lucida Sans Unicode"/>
        </w:rPr>
      </w:pPr>
      <w:r w:rsidRPr="00830F66">
        <w:rPr>
          <w:rFonts w:eastAsia="Lucida Sans Unicode"/>
        </w:rPr>
        <w:t>There is a full spectrum of services and support to prevent and minimise gambling harm - from prevention to early intervention to specialist support.</w:t>
      </w:r>
    </w:p>
    <w:p w14:paraId="020E9CE6" w14:textId="77777777" w:rsidR="00830F66" w:rsidRPr="00830F66" w:rsidRDefault="00830F66" w:rsidP="00830F66">
      <w:pPr>
        <w:pStyle w:val="Bullet"/>
        <w:rPr>
          <w:rFonts w:eastAsia="Lucida Sans Unicode"/>
        </w:rPr>
      </w:pPr>
      <w:r w:rsidRPr="00830F66">
        <w:rPr>
          <w:rFonts w:eastAsia="Lucida Sans Unicode"/>
        </w:rPr>
        <w:t>Social and cultural norms prevent and minimise harm from gambling.</w:t>
      </w:r>
    </w:p>
    <w:p w14:paraId="05A5D6A9" w14:textId="77777777" w:rsidR="00830F66" w:rsidRPr="00830F66" w:rsidRDefault="00830F66" w:rsidP="00830F66">
      <w:pPr>
        <w:pStyle w:val="Bullet"/>
        <w:rPr>
          <w:rFonts w:eastAsia="Lucida Sans Unicode"/>
        </w:rPr>
      </w:pPr>
      <w:r w:rsidRPr="00830F66">
        <w:rPr>
          <w:rFonts w:eastAsia="Lucida Sans Unicode"/>
        </w:rPr>
        <w:lastRenderedPageBreak/>
        <w:t>Strong leadership and accountability of the gambling harm prevention system, with decision-making as close to communities as possible.</w:t>
      </w:r>
    </w:p>
    <w:p w14:paraId="4628C03A" w14:textId="77777777" w:rsidR="00830F66" w:rsidRPr="00830F66" w:rsidRDefault="00830F66" w:rsidP="00830F66">
      <w:pPr>
        <w:pStyle w:val="Bullet"/>
        <w:rPr>
          <w:rFonts w:eastAsia="Lucida Sans Unicode"/>
        </w:rPr>
      </w:pPr>
      <w:r w:rsidRPr="00830F66">
        <w:rPr>
          <w:rFonts w:eastAsia="Lucida Sans Unicode"/>
        </w:rPr>
        <w:t>There is a system focus on those who are most at risk of harm from gambling.</w:t>
      </w:r>
    </w:p>
    <w:p w14:paraId="14A8A054" w14:textId="77777777" w:rsidR="00830F66" w:rsidRDefault="00830F66" w:rsidP="00830F66"/>
    <w:p w14:paraId="24634FB3" w14:textId="241B637A" w:rsidR="00830F66" w:rsidRDefault="00830F66" w:rsidP="00830F66">
      <w:r>
        <w:t xml:space="preserve">The framework sets a strong direction of travel towards a </w:t>
      </w:r>
      <w:r w:rsidRPr="00A579FA">
        <w:rPr>
          <w:b/>
          <w:color w:val="0A6AB4"/>
        </w:rPr>
        <w:t>goal</w:t>
      </w:r>
      <w:r w:rsidRPr="00A579FA">
        <w:rPr>
          <w:color w:val="0A6AB4"/>
        </w:rPr>
        <w:t xml:space="preserve"> </w:t>
      </w:r>
      <w:r>
        <w:t xml:space="preserve">where New </w:t>
      </w:r>
      <w:r w:rsidRPr="00F53E3A">
        <w:t xml:space="preserve">Zealanders' quality of life and </w:t>
      </w:r>
      <w:r>
        <w:t>mental health outcomes</w:t>
      </w:r>
      <w:r w:rsidRPr="00F53E3A">
        <w:t xml:space="preserve"> are not affected by gambling harm</w:t>
      </w:r>
      <w:r>
        <w:t>.</w:t>
      </w:r>
    </w:p>
    <w:p w14:paraId="49C3F232" w14:textId="77777777" w:rsidR="00830F66" w:rsidRDefault="00830F66" w:rsidP="00830F66"/>
    <w:p w14:paraId="10F53A08" w14:textId="77777777" w:rsidR="00830F66" w:rsidRPr="006A3FE0" w:rsidRDefault="00830F66" w:rsidP="00830F66">
      <w:r w:rsidRPr="003A6F51">
        <w:rPr>
          <w:b/>
          <w:bCs/>
        </w:rPr>
        <w:t>Appendix Four</w:t>
      </w:r>
      <w:r w:rsidRPr="009F1E4A">
        <w:t xml:space="preserve"> </w:t>
      </w:r>
      <w:r>
        <w:t>in</w:t>
      </w:r>
      <w:r w:rsidRPr="009F1E4A">
        <w:t xml:space="preserve"> the </w:t>
      </w:r>
      <w:r>
        <w:t>A</w:t>
      </w:r>
      <w:r w:rsidRPr="009F1E4A">
        <w:t>ppendices document provides further details on the different components of the proposed strategic framework, which is shown</w:t>
      </w:r>
      <w:r>
        <w:t xml:space="preserve"> in</w:t>
      </w:r>
      <w:r w:rsidRPr="00A579FA">
        <w:t xml:space="preserve"> </w:t>
      </w:r>
      <w:r>
        <w:t xml:space="preserve">summary form below. </w:t>
      </w:r>
    </w:p>
    <w:p w14:paraId="4339FA4C" w14:textId="77777777" w:rsidR="008D5AF1" w:rsidRDefault="008D5AF1" w:rsidP="00835945">
      <w:pPr>
        <w:sectPr w:rsidR="008D5AF1" w:rsidSect="00835945">
          <w:pgSz w:w="11907" w:h="16840" w:code="9"/>
          <w:pgMar w:top="1418" w:right="1701" w:bottom="1134" w:left="1843" w:header="284" w:footer="425" w:gutter="284"/>
          <w:cols w:space="720"/>
        </w:sectPr>
      </w:pPr>
    </w:p>
    <w:p w14:paraId="29F80DE5" w14:textId="439496C7" w:rsidR="008D5AF1" w:rsidRPr="008D5AF1" w:rsidRDefault="008D5AF1" w:rsidP="008D5AF1">
      <w:pPr>
        <w:pStyle w:val="Figure"/>
      </w:pPr>
      <w:bookmarkStart w:id="41" w:name="_Toc174634411"/>
      <w:r w:rsidRPr="008D5AF1">
        <w:lastRenderedPageBreak/>
        <w:t xml:space="preserve">Figure </w:t>
      </w:r>
      <w:r w:rsidR="00D46B4B">
        <w:fldChar w:fldCharType="begin"/>
      </w:r>
      <w:r w:rsidR="00D46B4B">
        <w:instrText xml:space="preserve"> SEQ Figure \* ARABIC </w:instrText>
      </w:r>
      <w:r w:rsidR="00D46B4B">
        <w:fldChar w:fldCharType="separate"/>
      </w:r>
      <w:r w:rsidR="009D28D8">
        <w:rPr>
          <w:noProof/>
        </w:rPr>
        <w:t>2</w:t>
      </w:r>
      <w:r w:rsidR="00D46B4B">
        <w:rPr>
          <w:noProof/>
        </w:rPr>
        <w:fldChar w:fldCharType="end"/>
      </w:r>
      <w:r w:rsidRPr="008D5AF1">
        <w:t>: Strategic framework for preventing and minimising gambling harm in New Zealand</w:t>
      </w:r>
      <w:bookmarkEnd w:id="41"/>
    </w:p>
    <w:p w14:paraId="2C39C6E3" w14:textId="77777777" w:rsidR="008D5AF1" w:rsidRPr="008D5AF1" w:rsidRDefault="008D5AF1" w:rsidP="008D5AF1">
      <w:pPr>
        <w:spacing w:before="360" w:after="120"/>
        <w:rPr>
          <w:b/>
          <w:bCs/>
          <w:sz w:val="24"/>
          <w:szCs w:val="24"/>
        </w:rPr>
      </w:pPr>
      <w:r w:rsidRPr="008D5AF1">
        <w:rPr>
          <w:b/>
          <w:bCs/>
          <w:sz w:val="24"/>
          <w:szCs w:val="24"/>
        </w:rPr>
        <w:t>GOAL: New Zealanders' quality of life and life expectancy are not affected by gambling harm</w:t>
      </w:r>
    </w:p>
    <w:tbl>
      <w:tblPr>
        <w:tblW w:w="13892" w:type="dxa"/>
        <w:tblBorders>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3123"/>
        <w:gridCol w:w="2552"/>
        <w:gridCol w:w="2976"/>
        <w:gridCol w:w="2552"/>
      </w:tblGrid>
      <w:tr w:rsidR="008D5AF1" w:rsidRPr="008D5AF1" w14:paraId="3D1710E1" w14:textId="77777777" w:rsidTr="00BA32CA">
        <w:tc>
          <w:tcPr>
            <w:tcW w:w="2689" w:type="dxa"/>
            <w:shd w:val="clear" w:color="auto" w:fill="auto"/>
            <w:vAlign w:val="center"/>
            <w:hideMark/>
          </w:tcPr>
          <w:p w14:paraId="3F8FAAE3" w14:textId="77777777" w:rsidR="008D5AF1" w:rsidRPr="008D5AF1" w:rsidRDefault="008D5AF1" w:rsidP="008D5AF1">
            <w:pPr>
              <w:pStyle w:val="TableText"/>
            </w:pPr>
          </w:p>
        </w:tc>
        <w:tc>
          <w:tcPr>
            <w:tcW w:w="11203" w:type="dxa"/>
            <w:gridSpan w:val="4"/>
            <w:shd w:val="clear" w:color="auto" w:fill="595959" w:themeFill="text1" w:themeFillTint="A6"/>
            <w:vAlign w:val="center"/>
            <w:hideMark/>
          </w:tcPr>
          <w:p w14:paraId="059B97B1" w14:textId="77777777" w:rsidR="008D5AF1" w:rsidRPr="008D5AF1" w:rsidRDefault="008D5AF1" w:rsidP="008D5AF1">
            <w:pPr>
              <w:pStyle w:val="TableText"/>
              <w:jc w:val="center"/>
              <w:rPr>
                <w:b/>
                <w:bCs/>
                <w:color w:val="FFFFFF" w:themeColor="background1"/>
              </w:rPr>
            </w:pPr>
            <w:r w:rsidRPr="008D5AF1">
              <w:rPr>
                <w:b/>
                <w:bCs/>
                <w:color w:val="FFFFFF" w:themeColor="background1"/>
              </w:rPr>
              <w:t>Strategic Outcomes</w:t>
            </w:r>
          </w:p>
        </w:tc>
      </w:tr>
      <w:tr w:rsidR="008D5AF1" w:rsidRPr="008D5AF1" w14:paraId="4321B7A6" w14:textId="77777777" w:rsidTr="00BA32CA">
        <w:tc>
          <w:tcPr>
            <w:tcW w:w="2689" w:type="dxa"/>
            <w:shd w:val="clear" w:color="auto" w:fill="23305D"/>
            <w:vAlign w:val="center"/>
            <w:hideMark/>
          </w:tcPr>
          <w:p w14:paraId="38EF6EB1" w14:textId="77777777" w:rsidR="008D5AF1" w:rsidRPr="008D5AF1" w:rsidRDefault="008D5AF1" w:rsidP="008D5AF1">
            <w:pPr>
              <w:pStyle w:val="TableText"/>
              <w:rPr>
                <w:b/>
                <w:bCs/>
              </w:rPr>
            </w:pPr>
            <w:r w:rsidRPr="008D5AF1">
              <w:rPr>
                <w:b/>
                <w:bCs/>
              </w:rPr>
              <w:t>Mental Health and Addiction System Priorities</w:t>
            </w:r>
          </w:p>
        </w:tc>
        <w:tc>
          <w:tcPr>
            <w:tcW w:w="3123" w:type="dxa"/>
            <w:shd w:val="clear" w:color="auto" w:fill="D9D9D9" w:themeFill="background1" w:themeFillShade="D9"/>
            <w:vAlign w:val="center"/>
            <w:hideMark/>
          </w:tcPr>
          <w:p w14:paraId="547645CE" w14:textId="77777777" w:rsidR="008D5AF1" w:rsidRPr="008D5AF1" w:rsidRDefault="008D5AF1" w:rsidP="008D5AF1">
            <w:pPr>
              <w:pStyle w:val="TableText"/>
              <w:rPr>
                <w:b/>
                <w:bCs/>
              </w:rPr>
            </w:pPr>
            <w:r w:rsidRPr="008D5AF1">
              <w:rPr>
                <w:b/>
                <w:bCs/>
              </w:rPr>
              <w:t>There is a full spectrum of services and support to prevent and minimise gambling harm - from prevention to early intervention to specialist support</w:t>
            </w:r>
          </w:p>
        </w:tc>
        <w:tc>
          <w:tcPr>
            <w:tcW w:w="2552" w:type="dxa"/>
            <w:shd w:val="clear" w:color="auto" w:fill="D9D9D9" w:themeFill="background1" w:themeFillShade="D9"/>
            <w:vAlign w:val="center"/>
            <w:hideMark/>
          </w:tcPr>
          <w:p w14:paraId="5860D0F1" w14:textId="77777777" w:rsidR="008D5AF1" w:rsidRPr="008D5AF1" w:rsidRDefault="008D5AF1" w:rsidP="008D5AF1">
            <w:pPr>
              <w:pStyle w:val="TableText"/>
              <w:rPr>
                <w:b/>
                <w:bCs/>
              </w:rPr>
            </w:pPr>
            <w:r w:rsidRPr="008D5AF1">
              <w:rPr>
                <w:b/>
                <w:bCs/>
              </w:rPr>
              <w:t>Social and cultural norms prevent and minimise harm from gambling</w:t>
            </w:r>
          </w:p>
        </w:tc>
        <w:tc>
          <w:tcPr>
            <w:tcW w:w="2976" w:type="dxa"/>
            <w:shd w:val="clear" w:color="auto" w:fill="D9D9D9" w:themeFill="background1" w:themeFillShade="D9"/>
            <w:vAlign w:val="center"/>
            <w:hideMark/>
          </w:tcPr>
          <w:p w14:paraId="153C96FA" w14:textId="77777777" w:rsidR="008D5AF1" w:rsidRPr="008D5AF1" w:rsidRDefault="008D5AF1" w:rsidP="008D5AF1">
            <w:pPr>
              <w:pStyle w:val="TableText"/>
              <w:rPr>
                <w:b/>
                <w:bCs/>
              </w:rPr>
            </w:pPr>
            <w:r w:rsidRPr="008D5AF1">
              <w:rPr>
                <w:b/>
                <w:bCs/>
              </w:rPr>
              <w:t>There is strong leadership and accountability in the gambling harm prevention system, with decision-making as close to communities as possible</w:t>
            </w:r>
          </w:p>
        </w:tc>
        <w:tc>
          <w:tcPr>
            <w:tcW w:w="2552" w:type="dxa"/>
            <w:shd w:val="clear" w:color="auto" w:fill="D9D9D9" w:themeFill="background1" w:themeFillShade="D9"/>
            <w:vAlign w:val="center"/>
            <w:hideMark/>
          </w:tcPr>
          <w:p w14:paraId="5078BE19" w14:textId="77777777" w:rsidR="008D5AF1" w:rsidRPr="008D5AF1" w:rsidRDefault="008D5AF1" w:rsidP="008D5AF1">
            <w:pPr>
              <w:pStyle w:val="TableText"/>
              <w:rPr>
                <w:b/>
                <w:bCs/>
              </w:rPr>
            </w:pPr>
            <w:r w:rsidRPr="008D5AF1">
              <w:rPr>
                <w:b/>
                <w:bCs/>
              </w:rPr>
              <w:t xml:space="preserve">There is a system focus on those who are most at risk of harm from gambling </w:t>
            </w:r>
          </w:p>
        </w:tc>
      </w:tr>
      <w:tr w:rsidR="008D5AF1" w:rsidRPr="008D5AF1" w14:paraId="66B20E81" w14:textId="77777777" w:rsidTr="00BA32CA">
        <w:tc>
          <w:tcPr>
            <w:tcW w:w="2689" w:type="dxa"/>
            <w:vMerge w:val="restart"/>
            <w:shd w:val="clear" w:color="auto" w:fill="DBE5F1" w:themeFill="accent1" w:themeFillTint="33"/>
            <w:vAlign w:val="center"/>
            <w:hideMark/>
          </w:tcPr>
          <w:p w14:paraId="7F8F2ABA" w14:textId="77777777" w:rsidR="008D5AF1" w:rsidRPr="008D5AF1" w:rsidRDefault="008D5AF1" w:rsidP="008D5AF1">
            <w:pPr>
              <w:pStyle w:val="TableText"/>
              <w:rPr>
                <w:b/>
                <w:bCs/>
              </w:rPr>
            </w:pPr>
            <w:r w:rsidRPr="008D5AF1">
              <w:rPr>
                <w:b/>
                <w:bCs/>
              </w:rPr>
              <w:t>Increase access to gambling harm support</w:t>
            </w:r>
          </w:p>
        </w:tc>
        <w:tc>
          <w:tcPr>
            <w:tcW w:w="3123" w:type="dxa"/>
            <w:shd w:val="clear" w:color="auto" w:fill="auto"/>
            <w:vAlign w:val="center"/>
            <w:hideMark/>
          </w:tcPr>
          <w:p w14:paraId="32671017" w14:textId="77777777" w:rsidR="008D5AF1" w:rsidRPr="008D5AF1" w:rsidRDefault="008D5AF1" w:rsidP="008D5AF1">
            <w:pPr>
              <w:pStyle w:val="TableText"/>
            </w:pPr>
            <w:r w:rsidRPr="008D5AF1">
              <w:t>Action: Barriers to accessing services and supports are identified and addressed systematically</w:t>
            </w:r>
          </w:p>
        </w:tc>
        <w:tc>
          <w:tcPr>
            <w:tcW w:w="5528" w:type="dxa"/>
            <w:gridSpan w:val="2"/>
            <w:shd w:val="clear" w:color="auto" w:fill="auto"/>
            <w:vAlign w:val="center"/>
            <w:hideMark/>
          </w:tcPr>
          <w:p w14:paraId="36E11933" w14:textId="77777777" w:rsidR="008D5AF1" w:rsidRPr="008D5AF1" w:rsidRDefault="008D5AF1" w:rsidP="008D5AF1">
            <w:pPr>
              <w:pStyle w:val="TableText"/>
            </w:pPr>
            <w:r w:rsidRPr="008D5AF1">
              <w:t>Action: Māori, Pacific peoples, Asian people, young people and people with lived experience are actively involved in harm prevention and minimisation efforts</w:t>
            </w:r>
          </w:p>
        </w:tc>
        <w:tc>
          <w:tcPr>
            <w:tcW w:w="2552" w:type="dxa"/>
            <w:shd w:val="clear" w:color="auto" w:fill="auto"/>
            <w:vAlign w:val="center"/>
            <w:hideMark/>
          </w:tcPr>
          <w:p w14:paraId="74908102" w14:textId="77777777" w:rsidR="008D5AF1" w:rsidRPr="008D5AF1" w:rsidRDefault="008D5AF1" w:rsidP="008D5AF1">
            <w:pPr>
              <w:pStyle w:val="TableText"/>
            </w:pPr>
            <w:r w:rsidRPr="008D5AF1">
              <w:t xml:space="preserve">Action: There are </w:t>
            </w:r>
            <w:proofErr w:type="spellStart"/>
            <w:r w:rsidRPr="008D5AF1">
              <w:t>kaupapa</w:t>
            </w:r>
            <w:proofErr w:type="spellEnd"/>
            <w:r w:rsidRPr="008D5AF1">
              <w:t xml:space="preserve"> Māori, Pacific, Asian and youth-centric services and supports available to those who want them</w:t>
            </w:r>
          </w:p>
        </w:tc>
      </w:tr>
      <w:tr w:rsidR="008D5AF1" w:rsidRPr="008D5AF1" w14:paraId="76BFBCEC" w14:textId="77777777" w:rsidTr="00BA32CA">
        <w:tc>
          <w:tcPr>
            <w:tcW w:w="2689" w:type="dxa"/>
            <w:vMerge/>
            <w:vAlign w:val="center"/>
            <w:hideMark/>
          </w:tcPr>
          <w:p w14:paraId="57E3508A" w14:textId="77777777" w:rsidR="008D5AF1" w:rsidRPr="008D5AF1" w:rsidRDefault="008D5AF1" w:rsidP="008D5AF1">
            <w:pPr>
              <w:pStyle w:val="TableText"/>
              <w:rPr>
                <w:b/>
                <w:bCs/>
              </w:rPr>
            </w:pPr>
          </w:p>
        </w:tc>
        <w:tc>
          <w:tcPr>
            <w:tcW w:w="11203" w:type="dxa"/>
            <w:gridSpan w:val="4"/>
            <w:shd w:val="clear" w:color="auto" w:fill="auto"/>
            <w:vAlign w:val="center"/>
            <w:hideMark/>
          </w:tcPr>
          <w:p w14:paraId="4695AAA1" w14:textId="77777777" w:rsidR="008D5AF1" w:rsidRPr="008D5AF1" w:rsidRDefault="008D5AF1" w:rsidP="008D5AF1">
            <w:pPr>
              <w:pStyle w:val="TableText"/>
            </w:pPr>
            <w:r w:rsidRPr="008D5AF1">
              <w:t>Action: Quality, accessible and effective services are designed and delivered</w:t>
            </w:r>
          </w:p>
        </w:tc>
      </w:tr>
      <w:tr w:rsidR="008D5AF1" w:rsidRPr="008D5AF1" w14:paraId="36B1CA9B" w14:textId="77777777" w:rsidTr="00BA32CA">
        <w:tc>
          <w:tcPr>
            <w:tcW w:w="2689" w:type="dxa"/>
            <w:vMerge/>
            <w:vAlign w:val="center"/>
            <w:hideMark/>
          </w:tcPr>
          <w:p w14:paraId="34BFB327" w14:textId="77777777" w:rsidR="008D5AF1" w:rsidRPr="008D5AF1" w:rsidRDefault="008D5AF1" w:rsidP="008D5AF1">
            <w:pPr>
              <w:pStyle w:val="TableText"/>
              <w:rPr>
                <w:b/>
                <w:bCs/>
              </w:rPr>
            </w:pPr>
          </w:p>
        </w:tc>
        <w:tc>
          <w:tcPr>
            <w:tcW w:w="11203" w:type="dxa"/>
            <w:gridSpan w:val="4"/>
            <w:shd w:val="clear" w:color="auto" w:fill="auto"/>
            <w:vAlign w:val="center"/>
            <w:hideMark/>
          </w:tcPr>
          <w:p w14:paraId="3948BE1A" w14:textId="77777777" w:rsidR="008D5AF1" w:rsidRPr="008D5AF1" w:rsidRDefault="008D5AF1" w:rsidP="008D5AF1">
            <w:pPr>
              <w:pStyle w:val="TableText"/>
            </w:pPr>
            <w:r w:rsidRPr="008D5AF1">
              <w:t>Action: Gambling operators are supported to prevent and minimise harm</w:t>
            </w:r>
          </w:p>
        </w:tc>
      </w:tr>
      <w:tr w:rsidR="008D5AF1" w:rsidRPr="008D5AF1" w14:paraId="3B1C5C6C" w14:textId="77777777" w:rsidTr="00BA32CA">
        <w:tc>
          <w:tcPr>
            <w:tcW w:w="2689" w:type="dxa"/>
            <w:shd w:val="clear" w:color="auto" w:fill="DBE5F1" w:themeFill="accent1" w:themeFillTint="33"/>
            <w:vAlign w:val="center"/>
            <w:hideMark/>
          </w:tcPr>
          <w:p w14:paraId="5DB66A02" w14:textId="77777777" w:rsidR="008D5AF1" w:rsidRPr="008D5AF1" w:rsidRDefault="008D5AF1" w:rsidP="008D5AF1">
            <w:pPr>
              <w:pStyle w:val="TableText"/>
              <w:rPr>
                <w:b/>
                <w:bCs/>
              </w:rPr>
            </w:pPr>
            <w:r w:rsidRPr="008D5AF1">
              <w:rPr>
                <w:b/>
                <w:bCs/>
              </w:rPr>
              <w:t>Grow the gambling harm workforce</w:t>
            </w:r>
          </w:p>
        </w:tc>
        <w:tc>
          <w:tcPr>
            <w:tcW w:w="11203" w:type="dxa"/>
            <w:gridSpan w:val="4"/>
            <w:shd w:val="clear" w:color="auto" w:fill="auto"/>
            <w:vAlign w:val="center"/>
            <w:hideMark/>
          </w:tcPr>
          <w:p w14:paraId="3A0DB66E" w14:textId="77777777" w:rsidR="008D5AF1" w:rsidRPr="008D5AF1" w:rsidRDefault="008D5AF1" w:rsidP="008D5AF1">
            <w:pPr>
              <w:pStyle w:val="TableText"/>
            </w:pPr>
            <w:r w:rsidRPr="008D5AF1">
              <w:t>Action: There is a skilled gambling harm prevention and minimisation workforce that includes lived experience and clinical expertise</w:t>
            </w:r>
          </w:p>
        </w:tc>
      </w:tr>
      <w:tr w:rsidR="008D5AF1" w:rsidRPr="008D5AF1" w14:paraId="01722AFC" w14:textId="77777777" w:rsidTr="00BA32CA">
        <w:tc>
          <w:tcPr>
            <w:tcW w:w="2689" w:type="dxa"/>
            <w:shd w:val="clear" w:color="auto" w:fill="DBE5F1" w:themeFill="accent1" w:themeFillTint="33"/>
            <w:vAlign w:val="center"/>
            <w:hideMark/>
          </w:tcPr>
          <w:p w14:paraId="4A12797E" w14:textId="77777777" w:rsidR="008D5AF1" w:rsidRPr="008D5AF1" w:rsidRDefault="008D5AF1" w:rsidP="008D5AF1">
            <w:pPr>
              <w:pStyle w:val="TableText"/>
              <w:rPr>
                <w:b/>
                <w:bCs/>
              </w:rPr>
            </w:pPr>
            <w:r w:rsidRPr="008D5AF1">
              <w:rPr>
                <w:b/>
                <w:bCs/>
              </w:rPr>
              <w:t>Strengthen the focus on the prevention and early intervention of gambling harm</w:t>
            </w:r>
          </w:p>
        </w:tc>
        <w:tc>
          <w:tcPr>
            <w:tcW w:w="3123" w:type="dxa"/>
            <w:shd w:val="clear" w:color="auto" w:fill="auto"/>
            <w:vAlign w:val="center"/>
          </w:tcPr>
          <w:p w14:paraId="41CBC3F2" w14:textId="77777777" w:rsidR="008D5AF1" w:rsidRPr="008D5AF1" w:rsidRDefault="008D5AF1" w:rsidP="008D5AF1">
            <w:pPr>
              <w:pStyle w:val="TableText"/>
            </w:pPr>
            <w:r w:rsidRPr="008D5AF1">
              <w:t>Action: People have the information and support to make healthy choices about gambling</w:t>
            </w:r>
          </w:p>
        </w:tc>
        <w:tc>
          <w:tcPr>
            <w:tcW w:w="2552" w:type="dxa"/>
            <w:shd w:val="clear" w:color="auto" w:fill="auto"/>
            <w:vAlign w:val="center"/>
          </w:tcPr>
          <w:p w14:paraId="4128E757" w14:textId="77777777" w:rsidR="008D5AF1" w:rsidRPr="008D5AF1" w:rsidRDefault="008D5AF1" w:rsidP="008D5AF1">
            <w:pPr>
              <w:pStyle w:val="TableText"/>
            </w:pPr>
            <w:r w:rsidRPr="008D5AF1">
              <w:t>Action: Stigma about gambling harm is addressed</w:t>
            </w:r>
          </w:p>
        </w:tc>
        <w:tc>
          <w:tcPr>
            <w:tcW w:w="5528" w:type="dxa"/>
            <w:gridSpan w:val="2"/>
            <w:shd w:val="clear" w:color="auto" w:fill="auto"/>
            <w:vAlign w:val="center"/>
            <w:hideMark/>
          </w:tcPr>
          <w:p w14:paraId="593FD8EF" w14:textId="77777777" w:rsidR="008D5AF1" w:rsidRPr="008D5AF1" w:rsidRDefault="008D5AF1" w:rsidP="008D5AF1">
            <w:pPr>
              <w:pStyle w:val="TableText"/>
            </w:pPr>
            <w:r w:rsidRPr="008D5AF1">
              <w:t>Action: There are policies at national, regional and local levels that prevent and minimise gambling harm</w:t>
            </w:r>
          </w:p>
        </w:tc>
      </w:tr>
      <w:tr w:rsidR="008D5AF1" w:rsidRPr="008D5AF1" w14:paraId="00B18AEF" w14:textId="77777777" w:rsidTr="00BA32CA">
        <w:tc>
          <w:tcPr>
            <w:tcW w:w="2689" w:type="dxa"/>
            <w:vMerge w:val="restart"/>
            <w:shd w:val="clear" w:color="auto" w:fill="DBE5F1" w:themeFill="accent1" w:themeFillTint="33"/>
            <w:vAlign w:val="center"/>
            <w:hideMark/>
          </w:tcPr>
          <w:p w14:paraId="13E7B714" w14:textId="77777777" w:rsidR="008D5AF1" w:rsidRPr="008D5AF1" w:rsidRDefault="008D5AF1" w:rsidP="008D5AF1">
            <w:pPr>
              <w:pStyle w:val="TableText"/>
              <w:rPr>
                <w:b/>
                <w:bCs/>
              </w:rPr>
            </w:pPr>
            <w:r w:rsidRPr="008D5AF1">
              <w:rPr>
                <w:b/>
                <w:bCs/>
              </w:rPr>
              <w:t>Improve the effectiveness of gambling harm support</w:t>
            </w:r>
          </w:p>
        </w:tc>
        <w:tc>
          <w:tcPr>
            <w:tcW w:w="11203" w:type="dxa"/>
            <w:gridSpan w:val="4"/>
            <w:shd w:val="clear" w:color="auto" w:fill="auto"/>
            <w:vAlign w:val="center"/>
            <w:hideMark/>
          </w:tcPr>
          <w:p w14:paraId="3B673037" w14:textId="77777777" w:rsidR="008D5AF1" w:rsidRPr="008D5AF1" w:rsidRDefault="008D5AF1" w:rsidP="008D5AF1">
            <w:pPr>
              <w:pStyle w:val="TableText"/>
            </w:pPr>
            <w:r w:rsidRPr="008D5AF1">
              <w:t>Action: People are supported to participate in decisions about gambling in their communities</w:t>
            </w:r>
          </w:p>
        </w:tc>
      </w:tr>
      <w:tr w:rsidR="008D5AF1" w:rsidRPr="008D5AF1" w14:paraId="55D93386" w14:textId="77777777" w:rsidTr="00BA32CA">
        <w:tc>
          <w:tcPr>
            <w:tcW w:w="2689" w:type="dxa"/>
            <w:vMerge/>
            <w:vAlign w:val="center"/>
            <w:hideMark/>
          </w:tcPr>
          <w:p w14:paraId="362B9FA2" w14:textId="77777777" w:rsidR="008D5AF1" w:rsidRPr="008D5AF1" w:rsidRDefault="008D5AF1" w:rsidP="008D5AF1">
            <w:pPr>
              <w:pStyle w:val="TableText"/>
            </w:pPr>
          </w:p>
        </w:tc>
        <w:tc>
          <w:tcPr>
            <w:tcW w:w="11203" w:type="dxa"/>
            <w:gridSpan w:val="4"/>
            <w:shd w:val="clear" w:color="auto" w:fill="auto"/>
            <w:vAlign w:val="center"/>
            <w:hideMark/>
          </w:tcPr>
          <w:p w14:paraId="4297D528" w14:textId="77777777" w:rsidR="008D5AF1" w:rsidRPr="008D5AF1" w:rsidRDefault="008D5AF1" w:rsidP="008D5AF1">
            <w:pPr>
              <w:pStyle w:val="TableText"/>
            </w:pPr>
            <w:r w:rsidRPr="008D5AF1">
              <w:t>Action: The legislative and regulatory framework for preventing and minimising harm from gambling is strong and effective</w:t>
            </w:r>
          </w:p>
        </w:tc>
      </w:tr>
      <w:tr w:rsidR="008D5AF1" w:rsidRPr="008D5AF1" w14:paraId="744A22A3" w14:textId="77777777" w:rsidTr="00BA32CA">
        <w:tc>
          <w:tcPr>
            <w:tcW w:w="2689" w:type="dxa"/>
            <w:vMerge/>
            <w:vAlign w:val="center"/>
            <w:hideMark/>
          </w:tcPr>
          <w:p w14:paraId="089A8D46" w14:textId="77777777" w:rsidR="008D5AF1" w:rsidRPr="008D5AF1" w:rsidRDefault="008D5AF1" w:rsidP="008D5AF1">
            <w:pPr>
              <w:pStyle w:val="TableText"/>
            </w:pPr>
          </w:p>
        </w:tc>
        <w:tc>
          <w:tcPr>
            <w:tcW w:w="11203" w:type="dxa"/>
            <w:gridSpan w:val="4"/>
            <w:shd w:val="clear" w:color="auto" w:fill="auto"/>
            <w:vAlign w:val="center"/>
            <w:hideMark/>
          </w:tcPr>
          <w:p w14:paraId="2C2A77FE" w14:textId="77777777" w:rsidR="008D5AF1" w:rsidRPr="008D5AF1" w:rsidRDefault="008D5AF1" w:rsidP="008D5AF1">
            <w:pPr>
              <w:pStyle w:val="TableText"/>
            </w:pPr>
            <w:r w:rsidRPr="008D5AF1">
              <w:t>Action: Technology, research and evidence inform policy and service design and delivery</w:t>
            </w:r>
          </w:p>
        </w:tc>
      </w:tr>
    </w:tbl>
    <w:p w14:paraId="141783CF" w14:textId="77777777" w:rsidR="008D5AF1" w:rsidRDefault="008D5AF1" w:rsidP="008D5AF1">
      <w:pPr>
        <w:rPr>
          <w:b/>
          <w:bCs/>
        </w:rPr>
      </w:pPr>
    </w:p>
    <w:p w14:paraId="559F7BDD" w14:textId="77777777" w:rsidR="008D5AF1" w:rsidRPr="008D5AF1" w:rsidRDefault="008D5AF1" w:rsidP="008D5AF1"/>
    <w:p w14:paraId="0DF3E1C3" w14:textId="77777777" w:rsidR="008D5AF1" w:rsidRDefault="008D5AF1" w:rsidP="008D5AF1">
      <w:pPr>
        <w:rPr>
          <w:b/>
          <w:bCs/>
        </w:rPr>
      </w:pPr>
    </w:p>
    <w:p w14:paraId="75A86864" w14:textId="6649F4F9" w:rsidR="00835945" w:rsidRDefault="008D5AF1" w:rsidP="008D5AF1">
      <w:pPr>
        <w:tabs>
          <w:tab w:val="left" w:pos="1890"/>
        </w:tabs>
      </w:pPr>
      <w:r>
        <w:rPr>
          <w:b/>
          <w:bCs/>
        </w:rPr>
        <w:tab/>
      </w:r>
    </w:p>
    <w:p w14:paraId="674B62E2" w14:textId="77777777" w:rsidR="00835945" w:rsidRDefault="00835945" w:rsidP="00835945"/>
    <w:p w14:paraId="4A58F6A9" w14:textId="77777777" w:rsidR="00835945" w:rsidRDefault="00835945" w:rsidP="00835945">
      <w:pPr>
        <w:sectPr w:rsidR="00835945" w:rsidSect="008D5AF1">
          <w:footerReference w:type="default" r:id="rId33"/>
          <w:pgSz w:w="16840" w:h="11907" w:orient="landscape" w:code="9"/>
          <w:pgMar w:top="1134" w:right="1701" w:bottom="1134" w:left="1701" w:header="284" w:footer="425" w:gutter="284"/>
          <w:cols w:space="720"/>
          <w:docGrid w:linePitch="286"/>
        </w:sectPr>
      </w:pPr>
    </w:p>
    <w:p w14:paraId="4DEFABAE" w14:textId="6C26147A" w:rsidR="00835945" w:rsidRPr="00E7092A" w:rsidRDefault="00835945" w:rsidP="00172194">
      <w:pPr>
        <w:pStyle w:val="Heading1"/>
        <w:rPr>
          <w:sz w:val="56"/>
          <w:szCs w:val="56"/>
        </w:rPr>
      </w:pPr>
      <w:bookmarkStart w:id="42" w:name="_Toc174634396"/>
      <w:r w:rsidRPr="00E7092A">
        <w:rPr>
          <w:sz w:val="56"/>
          <w:szCs w:val="56"/>
        </w:rPr>
        <w:lastRenderedPageBreak/>
        <w:t>Service plan</w:t>
      </w:r>
      <w:bookmarkEnd w:id="42"/>
    </w:p>
    <w:p w14:paraId="66169818" w14:textId="47482E47" w:rsidR="002F26C0" w:rsidRPr="002F26C0" w:rsidRDefault="002F26C0" w:rsidP="008D5AF1">
      <w:pPr>
        <w:rPr>
          <w:rFonts w:eastAsia="Lucida Sans Unicode"/>
          <w:b/>
          <w:bCs/>
        </w:rPr>
      </w:pPr>
      <w:r w:rsidRPr="002F26C0">
        <w:rPr>
          <w:rFonts w:eastAsia="Lucida Sans Unicode"/>
          <w:b/>
          <w:bCs/>
        </w:rPr>
        <w:t>Delivering a continuum of public health and clinical services supported by robust research and evaluation</w:t>
      </w:r>
      <w:r w:rsidR="00E7092A">
        <w:rPr>
          <w:rFonts w:eastAsia="Lucida Sans Unicode"/>
          <w:b/>
          <w:bCs/>
        </w:rPr>
        <w:t>.</w:t>
      </w:r>
    </w:p>
    <w:p w14:paraId="2407A78E" w14:textId="77777777" w:rsidR="002F26C0" w:rsidRDefault="002F26C0" w:rsidP="008D5AF1">
      <w:pPr>
        <w:rPr>
          <w:rFonts w:eastAsia="Lucida Sans Unicode"/>
        </w:rPr>
      </w:pPr>
    </w:p>
    <w:p w14:paraId="2D6347C6" w14:textId="0BD5CC34" w:rsidR="008D5AF1" w:rsidRDefault="008D5AF1" w:rsidP="008D5AF1">
      <w:pPr>
        <w:rPr>
          <w:rFonts w:eastAsia="Lucida Sans Unicode"/>
        </w:rPr>
      </w:pPr>
      <w:r>
        <w:rPr>
          <w:rFonts w:eastAsia="Lucida Sans Unicode"/>
        </w:rPr>
        <w:t xml:space="preserve">This section sets out the proposed gambling harm prevention and minimisation </w:t>
      </w:r>
      <w:r w:rsidRPr="2F46C0E1">
        <w:rPr>
          <w:rFonts w:eastAsia="Lucida Sans Unicode"/>
        </w:rPr>
        <w:t>service and investment priorities and budgets for the three years from 1 July 2025 to 30 June 2028</w:t>
      </w:r>
      <w:r>
        <w:rPr>
          <w:rFonts w:eastAsia="Lucida Sans Unicode"/>
        </w:rPr>
        <w:t xml:space="preserve">. They respond to the needs and pressures discussed throughout this document. </w:t>
      </w:r>
    </w:p>
    <w:p w14:paraId="1DF26DEA" w14:textId="77777777" w:rsidR="008D5AF1" w:rsidRDefault="008D5AF1" w:rsidP="008D5AF1">
      <w:pPr>
        <w:rPr>
          <w:rFonts w:eastAsia="Lucida Sans Unicode"/>
        </w:rPr>
      </w:pPr>
    </w:p>
    <w:p w14:paraId="54C5508B" w14:textId="786F65A6" w:rsidR="008D5AF1" w:rsidRDefault="008D5AF1" w:rsidP="008D5AF1">
      <w:pPr>
        <w:rPr>
          <w:rFonts w:eastAsia="Lucida Sans Unicode"/>
        </w:rPr>
      </w:pPr>
      <w:r>
        <w:rPr>
          <w:rFonts w:eastAsia="Lucida Sans Unicode"/>
        </w:rPr>
        <w:t>Together these proposals</w:t>
      </w:r>
      <w:r w:rsidRPr="2F46C0E1">
        <w:rPr>
          <w:rFonts w:eastAsia="Lucida Sans Unicode"/>
        </w:rPr>
        <w:t xml:space="preserve"> illustrate how government health agencies, and their partners, will deliver the strategic goal, outcomes and priority actions</w:t>
      </w:r>
      <w:r>
        <w:rPr>
          <w:rFonts w:eastAsia="Lucida Sans Unicode"/>
        </w:rPr>
        <w:t xml:space="preserve">, and support the mental health and addiction system priorities </w:t>
      </w:r>
      <w:r w:rsidRPr="2F46C0E1">
        <w:rPr>
          <w:rFonts w:eastAsia="Lucida Sans Unicode"/>
        </w:rPr>
        <w:t xml:space="preserve">outlined </w:t>
      </w:r>
      <w:r>
        <w:rPr>
          <w:rFonts w:eastAsia="Lucida Sans Unicode"/>
        </w:rPr>
        <w:t>in</w:t>
      </w:r>
      <w:r w:rsidRPr="2F46C0E1">
        <w:rPr>
          <w:rFonts w:eastAsia="Lucida Sans Unicode"/>
        </w:rPr>
        <w:t xml:space="preserve"> the strategic </w:t>
      </w:r>
      <w:r>
        <w:rPr>
          <w:rFonts w:eastAsia="Lucida Sans Unicode"/>
        </w:rPr>
        <w:t>section of this consultation document.</w:t>
      </w:r>
    </w:p>
    <w:p w14:paraId="649B819F" w14:textId="77777777" w:rsidR="008D5AF1" w:rsidRDefault="008D5AF1" w:rsidP="008D5AF1">
      <w:pPr>
        <w:rPr>
          <w:rFonts w:eastAsia="Lucida Sans Unicode"/>
        </w:rPr>
      </w:pPr>
    </w:p>
    <w:p w14:paraId="30AFC7A1" w14:textId="77777777" w:rsidR="008D5AF1" w:rsidRDefault="008D5AF1" w:rsidP="008D5AF1">
      <w:pPr>
        <w:rPr>
          <w:rFonts w:eastAsia="Lucida Sans Unicode"/>
        </w:rPr>
      </w:pPr>
      <w:r>
        <w:rPr>
          <w:rFonts w:eastAsia="Lucida Sans Unicode"/>
        </w:rPr>
        <w:t xml:space="preserve">The service proposals are aligned to the priorities and activities of the strategic framework to provide a clear line of sight </w:t>
      </w:r>
      <w:r w:rsidRPr="41F03BAF">
        <w:rPr>
          <w:rFonts w:eastAsia="Lucida Sans Unicode"/>
        </w:rPr>
        <w:t>from</w:t>
      </w:r>
      <w:r>
        <w:rPr>
          <w:rFonts w:eastAsia="Lucida Sans Unicode"/>
        </w:rPr>
        <w:t xml:space="preserve"> the strategic priorities to what we intend to do to achieve them.</w:t>
      </w:r>
      <w:r w:rsidRPr="007B48D3">
        <w:rPr>
          <w:rFonts w:eastAsia="Lucida Sans Unicode"/>
        </w:rPr>
        <w:t xml:space="preserve"> </w:t>
      </w:r>
    </w:p>
    <w:p w14:paraId="628A2AE0" w14:textId="77777777" w:rsidR="008D5AF1" w:rsidRPr="008D5AF1" w:rsidRDefault="008D5AF1" w:rsidP="008D5AF1">
      <w:pPr>
        <w:pStyle w:val="Heading2"/>
      </w:pPr>
      <w:bookmarkStart w:id="43" w:name="_Toc173154249"/>
      <w:bookmarkStart w:id="44" w:name="_Toc173848530"/>
      <w:bookmarkStart w:id="45" w:name="_Toc1082712919"/>
      <w:bookmarkStart w:id="46" w:name="_Toc174634397"/>
      <w:r w:rsidRPr="008D5AF1">
        <w:t>Indicative budget for 2025/26 to 2027/28</w:t>
      </w:r>
      <w:bookmarkEnd w:id="43"/>
      <w:bookmarkEnd w:id="44"/>
      <w:bookmarkEnd w:id="45"/>
      <w:bookmarkEnd w:id="46"/>
    </w:p>
    <w:p w14:paraId="699BC6D6" w14:textId="77777777" w:rsidR="008D5AF1" w:rsidRPr="003E7731" w:rsidRDefault="008D5AF1" w:rsidP="008D5AF1">
      <w:r w:rsidRPr="003E7731">
        <w:t xml:space="preserve">A new three-year service plan has been developed </w:t>
      </w:r>
      <w:r>
        <w:t xml:space="preserve">and costed </w:t>
      </w:r>
      <w:r w:rsidRPr="003E7731">
        <w:t xml:space="preserve">based on the strategic framework above. The plan will maintain investment in high quality public health and clinical services, focusing on </w:t>
      </w:r>
      <w:r>
        <w:t>Government’s</w:t>
      </w:r>
      <w:r w:rsidRPr="003E7731">
        <w:t xml:space="preserve"> priorities. The </w:t>
      </w:r>
      <w:r>
        <w:t>plan</w:t>
      </w:r>
      <w:r w:rsidRPr="003E7731">
        <w:t xml:space="preserve"> includes proposals to:</w:t>
      </w:r>
    </w:p>
    <w:p w14:paraId="1827FC6D" w14:textId="77777777" w:rsidR="008D5AF1" w:rsidRPr="001E52B5" w:rsidRDefault="008D5AF1" w:rsidP="008D5AF1">
      <w:pPr>
        <w:pStyle w:val="Bullet"/>
      </w:pPr>
      <w:r w:rsidRPr="001E52B5">
        <w:t xml:space="preserve">expand clinical service provision, both in terms of the type of service and population served (for example additional high-intensity support) and </w:t>
      </w:r>
      <w:r>
        <w:t>by</w:t>
      </w:r>
      <w:r w:rsidRPr="001E52B5">
        <w:t xml:space="preserve"> location (filling some areas </w:t>
      </w:r>
      <w:r>
        <w:t>that currently do not offer</w:t>
      </w:r>
      <w:r w:rsidRPr="001E52B5">
        <w:t xml:space="preserve"> face-to-face service</w:t>
      </w:r>
      <w:r>
        <w:t>s</w:t>
      </w:r>
      <w:r w:rsidRPr="001E52B5">
        <w:t>)</w:t>
      </w:r>
    </w:p>
    <w:p w14:paraId="510B9EAA" w14:textId="77777777" w:rsidR="008D5AF1" w:rsidRPr="003E7731" w:rsidRDefault="008D5AF1" w:rsidP="008D5AF1">
      <w:pPr>
        <w:pStyle w:val="Bullet"/>
      </w:pPr>
      <w:r w:rsidRPr="003E7731">
        <w:t>support new entrants to the workforce and retain existing workers (for both the peer and clinical workforces)</w:t>
      </w:r>
    </w:p>
    <w:p w14:paraId="45D2BB05" w14:textId="77777777" w:rsidR="008D5AF1" w:rsidRPr="003E7731" w:rsidRDefault="008D5AF1" w:rsidP="008D5AF1">
      <w:pPr>
        <w:pStyle w:val="Bullet"/>
      </w:pPr>
      <w:r w:rsidRPr="003E7731">
        <w:t>deliver a range of community-focused health promotion activity to prevent gambling harm</w:t>
      </w:r>
    </w:p>
    <w:p w14:paraId="405D91CC" w14:textId="77777777" w:rsidR="008D5AF1" w:rsidRPr="003E7731" w:rsidRDefault="008D5AF1" w:rsidP="008D5AF1">
      <w:pPr>
        <w:pStyle w:val="Bullet"/>
      </w:pPr>
      <w:r w:rsidRPr="003E7731">
        <w:t>commission a suite of research and evaluation projects, including evaluation of all clinical services and an impact evaluation of the Strategy itself</w:t>
      </w:r>
      <w:r>
        <w:t>.</w:t>
      </w:r>
    </w:p>
    <w:p w14:paraId="198EE529" w14:textId="77777777" w:rsidR="008D5AF1" w:rsidRDefault="008D5AF1" w:rsidP="008D5AF1"/>
    <w:p w14:paraId="60AF16EC" w14:textId="5392AB53" w:rsidR="008D5AF1" w:rsidRDefault="008D5AF1" w:rsidP="008D5AF1">
      <w:pPr>
        <w:rPr>
          <w:rFonts w:cstheme="minorHAnsi"/>
        </w:rPr>
      </w:pPr>
      <w:r w:rsidRPr="003E7731">
        <w:t>Th</w:t>
      </w:r>
      <w:r w:rsidRPr="003E7731">
        <w:rPr>
          <w:rFonts w:cstheme="minorHAnsi"/>
        </w:rPr>
        <w:t>e package of investment has been costed at $8</w:t>
      </w:r>
      <w:r w:rsidR="00AA12BC">
        <w:rPr>
          <w:rFonts w:cstheme="minorHAnsi"/>
        </w:rPr>
        <w:t>7.71</w:t>
      </w:r>
      <w:r>
        <w:rPr>
          <w:rFonts w:cstheme="minorHAnsi"/>
        </w:rPr>
        <w:t>8</w:t>
      </w:r>
      <w:r w:rsidRPr="003E7731">
        <w:rPr>
          <w:rFonts w:cstheme="minorHAnsi"/>
        </w:rPr>
        <w:t xml:space="preserve"> million over the three years from 2025/26 </w:t>
      </w:r>
      <w:r>
        <w:rPr>
          <w:rFonts w:cstheme="minorHAnsi"/>
        </w:rPr>
        <w:t>to</w:t>
      </w:r>
      <w:r w:rsidRPr="003E7731">
        <w:rPr>
          <w:rFonts w:cstheme="minorHAnsi"/>
        </w:rPr>
        <w:t xml:space="preserve"> 2027/28, an increase of $</w:t>
      </w:r>
      <w:r>
        <w:rPr>
          <w:rFonts w:cstheme="minorHAnsi"/>
        </w:rPr>
        <w:t>11.</w:t>
      </w:r>
      <w:r w:rsidR="00AA12BC">
        <w:rPr>
          <w:rFonts w:cstheme="minorHAnsi"/>
        </w:rPr>
        <w:t>5</w:t>
      </w:r>
      <w:r>
        <w:rPr>
          <w:rFonts w:cstheme="minorHAnsi"/>
        </w:rPr>
        <w:t>95</w:t>
      </w:r>
      <w:r w:rsidRPr="003E7731">
        <w:rPr>
          <w:rFonts w:cstheme="minorHAnsi"/>
        </w:rPr>
        <w:t xml:space="preserve"> million </w:t>
      </w:r>
      <w:r>
        <w:rPr>
          <w:rFonts w:cstheme="minorHAnsi"/>
        </w:rPr>
        <w:t xml:space="preserve">(16%) </w:t>
      </w:r>
      <w:r w:rsidRPr="003E7731">
        <w:rPr>
          <w:rFonts w:cstheme="minorHAnsi"/>
        </w:rPr>
        <w:t xml:space="preserve">on the 2022/23 </w:t>
      </w:r>
      <w:r>
        <w:rPr>
          <w:rFonts w:cstheme="minorHAnsi"/>
        </w:rPr>
        <w:t>to</w:t>
      </w:r>
      <w:r w:rsidRPr="003E7731">
        <w:rPr>
          <w:rFonts w:cstheme="minorHAnsi"/>
        </w:rPr>
        <w:t xml:space="preserve"> 2024/25 budget. The increase includes a proposed transfer of $3.41</w:t>
      </w:r>
      <w:r>
        <w:rPr>
          <w:rFonts w:cstheme="minorHAnsi"/>
        </w:rPr>
        <w:t>2</w:t>
      </w:r>
      <w:r w:rsidRPr="003E7731">
        <w:rPr>
          <w:rFonts w:cstheme="minorHAnsi"/>
        </w:rPr>
        <w:t xml:space="preserve"> million forecast</w:t>
      </w:r>
      <w:r>
        <w:rPr>
          <w:rFonts w:cstheme="minorHAnsi"/>
        </w:rPr>
        <w:t xml:space="preserve"> </w:t>
      </w:r>
      <w:r w:rsidRPr="003E7731">
        <w:rPr>
          <w:rFonts w:cstheme="minorHAnsi"/>
        </w:rPr>
        <w:t>cumulative underspend from the current levy period ending on 30 June 2025, so the proposed net additional funding is $8.</w:t>
      </w:r>
      <w:r w:rsidR="00AA12BC">
        <w:rPr>
          <w:rFonts w:cstheme="minorHAnsi"/>
        </w:rPr>
        <w:t>1</w:t>
      </w:r>
      <w:r>
        <w:rPr>
          <w:rFonts w:cstheme="minorHAnsi"/>
        </w:rPr>
        <w:t>83</w:t>
      </w:r>
      <w:r w:rsidRPr="003E7731">
        <w:rPr>
          <w:rFonts w:cstheme="minorHAnsi"/>
        </w:rPr>
        <w:t xml:space="preserve"> million.</w:t>
      </w:r>
      <w:r>
        <w:rPr>
          <w:rFonts w:cstheme="minorHAnsi"/>
        </w:rPr>
        <w:t xml:space="preserve"> </w:t>
      </w:r>
    </w:p>
    <w:p w14:paraId="27DED7D7" w14:textId="77777777" w:rsidR="008D5AF1" w:rsidRPr="003E7731" w:rsidRDefault="008D5AF1" w:rsidP="008D5AF1">
      <w:pPr>
        <w:rPr>
          <w:rFonts w:cstheme="minorHAnsi"/>
        </w:rPr>
      </w:pPr>
    </w:p>
    <w:p w14:paraId="380F5771" w14:textId="77777777" w:rsidR="008D5AF1" w:rsidRPr="005172A4" w:rsidRDefault="008D5AF1" w:rsidP="008D5AF1">
      <w:pPr>
        <w:rPr>
          <w:rFonts w:eastAsia="Lucida Sans Unicode"/>
        </w:rPr>
      </w:pPr>
      <w:r w:rsidRPr="005172A4">
        <w:t>Of this, approximately half is for new services and interventions required in response to changes in the gambling environment (such as service promotion, workforce development and an online gambling exclusion system) and half to address a range of cost and volume pressures (including service expansion and responses to wage pressures).</w:t>
      </w:r>
    </w:p>
    <w:p w14:paraId="3F9A5F9F" w14:textId="77777777" w:rsidR="008D5AF1" w:rsidRPr="00A979B8" w:rsidRDefault="008D5AF1" w:rsidP="008D5AF1">
      <w:pPr>
        <w:pStyle w:val="Heading2"/>
      </w:pPr>
      <w:bookmarkStart w:id="47" w:name="_Toc173154250"/>
      <w:bookmarkStart w:id="48" w:name="_Toc173848531"/>
      <w:bookmarkStart w:id="49" w:name="_Toc534986739"/>
      <w:bookmarkStart w:id="50" w:name="_Toc174634398"/>
      <w:r w:rsidRPr="00A979B8">
        <w:lastRenderedPageBreak/>
        <w:t>Service plan for 2025/26 to 2027/28</w:t>
      </w:r>
      <w:bookmarkEnd w:id="47"/>
      <w:bookmarkEnd w:id="48"/>
      <w:bookmarkEnd w:id="49"/>
      <w:bookmarkEnd w:id="50"/>
    </w:p>
    <w:p w14:paraId="20531AE0" w14:textId="77777777" w:rsidR="008D5AF1" w:rsidRDefault="008D5AF1" w:rsidP="008D5AF1">
      <w:pPr>
        <w:keepNext/>
      </w:pPr>
      <w:r>
        <w:t>The Gambling Act requires the Strategy to have a focus on public health, and contain:</w:t>
      </w:r>
    </w:p>
    <w:p w14:paraId="2F3ABB1F" w14:textId="77777777" w:rsidR="008D5AF1" w:rsidRPr="008D5AF1" w:rsidRDefault="008D5AF1" w:rsidP="008D5AF1">
      <w:pPr>
        <w:pStyle w:val="Bullet"/>
        <w:rPr>
          <w:rFonts w:eastAsiaTheme="minorHAnsi"/>
        </w:rPr>
      </w:pPr>
      <w:r w:rsidRPr="008D5AF1">
        <w:rPr>
          <w:rFonts w:eastAsiaTheme="minorHAnsi"/>
        </w:rPr>
        <w:t>measures to promote public health by preventing and minimising the harm from gambling</w:t>
      </w:r>
    </w:p>
    <w:p w14:paraId="7B29737E" w14:textId="77777777" w:rsidR="008D5AF1" w:rsidRPr="008D5AF1" w:rsidRDefault="008D5AF1" w:rsidP="008D5AF1">
      <w:pPr>
        <w:pStyle w:val="Bullet"/>
        <w:rPr>
          <w:rFonts w:eastAsiaTheme="minorHAnsi"/>
        </w:rPr>
      </w:pPr>
      <w:r w:rsidRPr="008D5AF1">
        <w:rPr>
          <w:rFonts w:eastAsiaTheme="minorHAnsi"/>
        </w:rPr>
        <w:t>services to treat and assist problem gamblers and their families and whānau</w:t>
      </w:r>
    </w:p>
    <w:p w14:paraId="0040A3CF" w14:textId="77777777" w:rsidR="008D5AF1" w:rsidRPr="008D5AF1" w:rsidRDefault="008D5AF1" w:rsidP="008D5AF1">
      <w:pPr>
        <w:pStyle w:val="Bullet"/>
        <w:rPr>
          <w:rFonts w:eastAsiaTheme="minorHAnsi"/>
        </w:rPr>
      </w:pPr>
      <w:r w:rsidRPr="008D5AF1">
        <w:rPr>
          <w:rFonts w:eastAsiaTheme="minorHAnsi"/>
        </w:rPr>
        <w:t>independent scientific research associated with gambling, including (for example) longitudinal research on the social and economic impacts of gambling, particularly the impacts on different cultural groups</w:t>
      </w:r>
    </w:p>
    <w:p w14:paraId="4AD8F991" w14:textId="77777777" w:rsidR="008D5AF1" w:rsidRPr="008D5AF1" w:rsidRDefault="008D5AF1" w:rsidP="008D5AF1">
      <w:pPr>
        <w:pStyle w:val="Bullet"/>
      </w:pPr>
      <w:r w:rsidRPr="008D5AF1">
        <w:rPr>
          <w:rFonts w:eastAsiaTheme="minorHAnsi"/>
        </w:rPr>
        <w:t>evaluation.</w:t>
      </w:r>
    </w:p>
    <w:p w14:paraId="27BD41DD" w14:textId="77777777" w:rsidR="008D5AF1" w:rsidRDefault="008D5AF1" w:rsidP="008D5AF1"/>
    <w:p w14:paraId="00EB0074" w14:textId="5161B7F0" w:rsidR="008D5AF1" w:rsidRDefault="008D5AF1" w:rsidP="008D5AF1">
      <w:pPr>
        <w:rPr>
          <w:rFonts w:eastAsia="Lucida Sans Unicode"/>
        </w:rPr>
      </w:pPr>
      <w:r w:rsidRPr="009D6C01">
        <w:t>Table 1 shows the indicative cost of services and activities by strategic priority for the 2025/26 to 2027/28 levy period</w:t>
      </w:r>
      <w:r>
        <w:t xml:space="preserve">, along with a </w:t>
      </w:r>
      <w:r>
        <w:rPr>
          <w:rFonts w:eastAsia="Lucida Sans Unicode"/>
        </w:rPr>
        <w:t>summary of the service plan proposals.</w:t>
      </w:r>
    </w:p>
    <w:p w14:paraId="2CDA44FC" w14:textId="77777777" w:rsidR="0012551A" w:rsidRDefault="0012551A" w:rsidP="008D5AF1">
      <w:pPr>
        <w:rPr>
          <w:rFonts w:eastAsia="Lucida Sans Unicode"/>
        </w:rPr>
      </w:pPr>
    </w:p>
    <w:p w14:paraId="527D1CA9" w14:textId="4C95465F" w:rsidR="008D5AF1" w:rsidRDefault="008D5AF1" w:rsidP="008D5AF1">
      <w:pPr>
        <w:rPr>
          <w:rFonts w:eastAsia="Lucida Sans Unicode"/>
        </w:rPr>
      </w:pPr>
      <w:r>
        <w:rPr>
          <w:rFonts w:eastAsia="Lucida Sans Unicode"/>
        </w:rPr>
        <w:t xml:space="preserve">Further information about the service plan and budget, including detailed descriptions of the proposed services and rationale, is included in </w:t>
      </w:r>
      <w:r w:rsidRPr="003A6F51">
        <w:rPr>
          <w:rFonts w:eastAsia="Lucida Sans Unicode"/>
          <w:b/>
          <w:bCs/>
        </w:rPr>
        <w:t>Appendix Five</w:t>
      </w:r>
      <w:r w:rsidRPr="00444C88">
        <w:rPr>
          <w:rFonts w:eastAsia="Lucida Sans Unicode"/>
        </w:rPr>
        <w:t xml:space="preserve"> </w:t>
      </w:r>
      <w:r>
        <w:rPr>
          <w:rFonts w:eastAsia="Lucida Sans Unicode"/>
        </w:rPr>
        <w:t>in</w:t>
      </w:r>
      <w:r w:rsidRPr="00444C88">
        <w:rPr>
          <w:rFonts w:eastAsia="Lucida Sans Unicode"/>
        </w:rPr>
        <w:t xml:space="preserve"> the </w:t>
      </w:r>
      <w:r>
        <w:rPr>
          <w:rFonts w:eastAsia="Lucida Sans Unicode"/>
        </w:rPr>
        <w:t>A</w:t>
      </w:r>
      <w:r w:rsidRPr="00444C88">
        <w:rPr>
          <w:rFonts w:eastAsia="Lucida Sans Unicode"/>
        </w:rPr>
        <w:t>ppendices document.</w:t>
      </w:r>
      <w:r>
        <w:rPr>
          <w:rFonts w:eastAsia="Lucida Sans Unicode"/>
        </w:rPr>
        <w:t xml:space="preserve"> </w:t>
      </w:r>
    </w:p>
    <w:p w14:paraId="15B987A7" w14:textId="77777777" w:rsidR="0012551A" w:rsidRPr="005D455A" w:rsidRDefault="0012551A" w:rsidP="008D5AF1">
      <w:pPr>
        <w:rPr>
          <w:rFonts w:eastAsia="Lucida Sans Unicode"/>
        </w:rPr>
      </w:pPr>
    </w:p>
    <w:p w14:paraId="7B678C7D" w14:textId="77777777" w:rsidR="008D5AF1" w:rsidRDefault="008D5AF1" w:rsidP="008D5AF1"/>
    <w:p w14:paraId="737871FD" w14:textId="77777777" w:rsidR="00457CAC" w:rsidRDefault="00457CAC" w:rsidP="008D5AF1">
      <w:pPr>
        <w:sectPr w:rsidR="00457CAC" w:rsidSect="00835945">
          <w:footerReference w:type="default" r:id="rId34"/>
          <w:pgSz w:w="11907" w:h="16840" w:code="9"/>
          <w:pgMar w:top="1418" w:right="1701" w:bottom="1134" w:left="1843" w:header="284" w:footer="425" w:gutter="284"/>
          <w:cols w:space="720"/>
        </w:sectPr>
      </w:pPr>
    </w:p>
    <w:p w14:paraId="57B07DC2" w14:textId="4D4231A5" w:rsidR="00457CAC" w:rsidRPr="008C4591" w:rsidRDefault="00457CAC" w:rsidP="00172194">
      <w:pPr>
        <w:pStyle w:val="Table"/>
        <w:rPr>
          <w:rFonts w:eastAsia="Lucida Sans Unicode"/>
        </w:rPr>
      </w:pPr>
      <w:bookmarkStart w:id="51" w:name="_Toc174634412"/>
      <w:r>
        <w:lastRenderedPageBreak/>
        <w:t xml:space="preserve">Table </w:t>
      </w:r>
      <w:r w:rsidR="00D46B4B">
        <w:fldChar w:fldCharType="begin"/>
      </w:r>
      <w:r w:rsidR="00D46B4B">
        <w:instrText xml:space="preserve"> SEQ Table \* ARABIC </w:instrText>
      </w:r>
      <w:r w:rsidR="00D46B4B">
        <w:fldChar w:fldCharType="separate"/>
      </w:r>
      <w:r w:rsidR="009D28D8">
        <w:rPr>
          <w:noProof/>
        </w:rPr>
        <w:t>1</w:t>
      </w:r>
      <w:r w:rsidR="00D46B4B">
        <w:rPr>
          <w:noProof/>
        </w:rPr>
        <w:fldChar w:fldCharType="end"/>
      </w:r>
      <w:r>
        <w:t xml:space="preserve">: </w:t>
      </w:r>
      <w:r w:rsidRPr="009D7F0C">
        <w:t>Summary</w:t>
      </w:r>
      <w:r>
        <w:t xml:space="preserve"> of service plan and b</w:t>
      </w:r>
      <w:r w:rsidRPr="0048049A">
        <w:rPr>
          <w:rFonts w:eastAsia="Lucida Sans Unicode"/>
        </w:rPr>
        <w:t>udget</w:t>
      </w:r>
      <w:r w:rsidRPr="009F42A7">
        <w:rPr>
          <w:rFonts w:eastAsia="Lucida Sans Unicode"/>
        </w:rPr>
        <w:t xml:space="preserve"> to prevent and minimise gambling harm (</w:t>
      </w:r>
      <w:r>
        <w:rPr>
          <w:rFonts w:eastAsia="Lucida Sans Unicode"/>
        </w:rPr>
        <w:t xml:space="preserve">in $ millions – </w:t>
      </w:r>
      <w:r w:rsidRPr="009F42A7">
        <w:rPr>
          <w:rFonts w:eastAsia="Lucida Sans Unicode"/>
        </w:rPr>
        <w:t>GST exclusive), 2025/26 to 2027/28</w:t>
      </w:r>
      <w:bookmarkEnd w:id="51"/>
    </w:p>
    <w:tbl>
      <w:tblPr>
        <w:tblStyle w:val="TableGrid"/>
        <w:tblW w:w="1375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560"/>
        <w:gridCol w:w="850"/>
        <w:gridCol w:w="992"/>
        <w:gridCol w:w="993"/>
        <w:gridCol w:w="850"/>
        <w:gridCol w:w="8505"/>
      </w:tblGrid>
      <w:tr w:rsidR="00457CAC" w:rsidRPr="00B56460" w14:paraId="2D28DEE4" w14:textId="77777777" w:rsidTr="00D46B4B">
        <w:trPr>
          <w:trHeight w:val="300"/>
          <w:tblHeader/>
        </w:trPr>
        <w:tc>
          <w:tcPr>
            <w:tcW w:w="1560" w:type="dxa"/>
            <w:tcBorders>
              <w:top w:val="nil"/>
              <w:bottom w:val="nil"/>
            </w:tcBorders>
            <w:shd w:val="clear" w:color="auto" w:fill="D9D9D9" w:themeFill="background1" w:themeFillShade="D9"/>
          </w:tcPr>
          <w:p w14:paraId="28D56D72" w14:textId="77777777" w:rsidR="00457CAC" w:rsidRPr="00B56460" w:rsidRDefault="00457CAC" w:rsidP="00457CAC">
            <w:pPr>
              <w:pStyle w:val="TableText"/>
              <w:spacing w:before="40" w:after="40"/>
              <w:rPr>
                <w:b/>
                <w:bCs/>
                <w:sz w:val="16"/>
                <w:szCs w:val="16"/>
              </w:rPr>
            </w:pPr>
            <w:r w:rsidRPr="00B56460">
              <w:rPr>
                <w:b/>
                <w:bCs/>
                <w:sz w:val="16"/>
                <w:szCs w:val="16"/>
              </w:rPr>
              <w:t>Priority</w:t>
            </w:r>
          </w:p>
        </w:tc>
        <w:tc>
          <w:tcPr>
            <w:tcW w:w="850" w:type="dxa"/>
            <w:tcBorders>
              <w:top w:val="nil"/>
              <w:bottom w:val="nil"/>
            </w:tcBorders>
            <w:shd w:val="clear" w:color="auto" w:fill="D9D9D9" w:themeFill="background1" w:themeFillShade="D9"/>
          </w:tcPr>
          <w:p w14:paraId="1ED46C75" w14:textId="77777777" w:rsidR="00457CAC" w:rsidRPr="00B56460" w:rsidRDefault="00457CAC" w:rsidP="00457CAC">
            <w:pPr>
              <w:pStyle w:val="TableText"/>
              <w:spacing w:before="40" w:after="40"/>
              <w:jc w:val="right"/>
              <w:rPr>
                <w:b/>
                <w:bCs/>
                <w:sz w:val="16"/>
                <w:szCs w:val="16"/>
              </w:rPr>
            </w:pPr>
            <w:r w:rsidRPr="00B56460">
              <w:rPr>
                <w:rFonts w:eastAsia="Calibri"/>
                <w:b/>
                <w:bCs/>
                <w:sz w:val="16"/>
                <w:szCs w:val="16"/>
              </w:rPr>
              <w:t>2025/26</w:t>
            </w:r>
          </w:p>
        </w:tc>
        <w:tc>
          <w:tcPr>
            <w:tcW w:w="992" w:type="dxa"/>
            <w:tcBorders>
              <w:top w:val="nil"/>
              <w:bottom w:val="nil"/>
            </w:tcBorders>
            <w:shd w:val="clear" w:color="auto" w:fill="D9D9D9" w:themeFill="background1" w:themeFillShade="D9"/>
          </w:tcPr>
          <w:p w14:paraId="56518744" w14:textId="77777777" w:rsidR="00457CAC" w:rsidRPr="00B56460" w:rsidRDefault="00457CAC" w:rsidP="00457CAC">
            <w:pPr>
              <w:pStyle w:val="TableText"/>
              <w:spacing w:before="40" w:after="40"/>
              <w:jc w:val="right"/>
              <w:rPr>
                <w:b/>
                <w:bCs/>
                <w:sz w:val="16"/>
                <w:szCs w:val="16"/>
              </w:rPr>
            </w:pPr>
            <w:r w:rsidRPr="00B56460">
              <w:rPr>
                <w:rFonts w:eastAsia="Calibri"/>
                <w:b/>
                <w:bCs/>
                <w:sz w:val="16"/>
                <w:szCs w:val="16"/>
              </w:rPr>
              <w:t>2026/27</w:t>
            </w:r>
          </w:p>
        </w:tc>
        <w:tc>
          <w:tcPr>
            <w:tcW w:w="993" w:type="dxa"/>
            <w:tcBorders>
              <w:top w:val="nil"/>
              <w:bottom w:val="nil"/>
            </w:tcBorders>
            <w:shd w:val="clear" w:color="auto" w:fill="D9D9D9" w:themeFill="background1" w:themeFillShade="D9"/>
          </w:tcPr>
          <w:p w14:paraId="10BF0F7A" w14:textId="77777777" w:rsidR="00457CAC" w:rsidRPr="00B56460" w:rsidRDefault="00457CAC" w:rsidP="00457CAC">
            <w:pPr>
              <w:pStyle w:val="TableText"/>
              <w:spacing w:before="40" w:after="40"/>
              <w:jc w:val="right"/>
              <w:rPr>
                <w:b/>
                <w:bCs/>
                <w:sz w:val="16"/>
                <w:szCs w:val="16"/>
              </w:rPr>
            </w:pPr>
            <w:r w:rsidRPr="00B56460">
              <w:rPr>
                <w:rFonts w:eastAsia="Calibri"/>
                <w:b/>
                <w:bCs/>
                <w:sz w:val="16"/>
                <w:szCs w:val="16"/>
              </w:rPr>
              <w:t>2027/28</w:t>
            </w:r>
          </w:p>
        </w:tc>
        <w:tc>
          <w:tcPr>
            <w:tcW w:w="850" w:type="dxa"/>
            <w:tcBorders>
              <w:top w:val="nil"/>
              <w:bottom w:val="nil"/>
            </w:tcBorders>
            <w:shd w:val="clear" w:color="auto" w:fill="D9D9D9" w:themeFill="background1" w:themeFillShade="D9"/>
          </w:tcPr>
          <w:p w14:paraId="0CC171A6" w14:textId="77777777" w:rsidR="00457CAC" w:rsidRPr="00B56460" w:rsidRDefault="00457CAC" w:rsidP="00457CAC">
            <w:pPr>
              <w:pStyle w:val="TableText"/>
              <w:spacing w:before="40" w:after="40"/>
              <w:jc w:val="right"/>
              <w:rPr>
                <w:b/>
                <w:bCs/>
                <w:sz w:val="16"/>
                <w:szCs w:val="16"/>
              </w:rPr>
            </w:pPr>
            <w:r w:rsidRPr="00B56460">
              <w:rPr>
                <w:rFonts w:eastAsia="Calibri"/>
                <w:b/>
                <w:bCs/>
                <w:sz w:val="16"/>
                <w:szCs w:val="16"/>
              </w:rPr>
              <w:t>Total</w:t>
            </w:r>
          </w:p>
        </w:tc>
        <w:tc>
          <w:tcPr>
            <w:tcW w:w="8505" w:type="dxa"/>
            <w:tcBorders>
              <w:top w:val="nil"/>
              <w:bottom w:val="nil"/>
            </w:tcBorders>
            <w:shd w:val="clear" w:color="auto" w:fill="D9D9D9" w:themeFill="background1" w:themeFillShade="D9"/>
          </w:tcPr>
          <w:p w14:paraId="743194DD" w14:textId="77777777" w:rsidR="00457CAC" w:rsidRPr="00B56460" w:rsidRDefault="00457CAC" w:rsidP="00457CAC">
            <w:pPr>
              <w:pStyle w:val="TableText"/>
              <w:spacing w:before="40" w:after="40"/>
              <w:rPr>
                <w:rFonts w:eastAsia="Calibri"/>
                <w:b/>
                <w:bCs/>
                <w:sz w:val="16"/>
                <w:szCs w:val="16"/>
              </w:rPr>
            </w:pPr>
            <w:r w:rsidRPr="00B56460">
              <w:rPr>
                <w:rFonts w:eastAsia="Calibri"/>
                <w:b/>
                <w:bCs/>
                <w:sz w:val="16"/>
                <w:szCs w:val="16"/>
              </w:rPr>
              <w:t>Summary of service plan commitments</w:t>
            </w:r>
          </w:p>
        </w:tc>
      </w:tr>
      <w:tr w:rsidR="00457CAC" w:rsidRPr="00B56460" w14:paraId="5B4620CD" w14:textId="77777777" w:rsidTr="00D46B4B">
        <w:trPr>
          <w:trHeight w:val="300"/>
        </w:trPr>
        <w:tc>
          <w:tcPr>
            <w:tcW w:w="1560" w:type="dxa"/>
            <w:tcBorders>
              <w:top w:val="nil"/>
            </w:tcBorders>
            <w:vAlign w:val="center"/>
          </w:tcPr>
          <w:p w14:paraId="13FBAD5E" w14:textId="77777777" w:rsidR="00457CAC" w:rsidRPr="00D46B4B" w:rsidRDefault="00457CAC" w:rsidP="00457CAC">
            <w:pPr>
              <w:pStyle w:val="TableText"/>
              <w:spacing w:before="40" w:after="40"/>
              <w:rPr>
                <w:b/>
                <w:bCs/>
                <w:sz w:val="17"/>
                <w:szCs w:val="17"/>
              </w:rPr>
            </w:pPr>
            <w:r w:rsidRPr="00D46B4B">
              <w:rPr>
                <w:rFonts w:eastAsia="Calibri"/>
                <w:b/>
                <w:bCs/>
                <w:sz w:val="17"/>
                <w:szCs w:val="17"/>
              </w:rPr>
              <w:t xml:space="preserve">Increase access to gambling harm support </w:t>
            </w:r>
          </w:p>
        </w:tc>
        <w:tc>
          <w:tcPr>
            <w:tcW w:w="850" w:type="dxa"/>
            <w:tcBorders>
              <w:top w:val="nil"/>
            </w:tcBorders>
            <w:vAlign w:val="center"/>
          </w:tcPr>
          <w:p w14:paraId="3936AF23" w14:textId="77777777" w:rsidR="00457CAC" w:rsidRPr="00D46B4B" w:rsidRDefault="00457CAC" w:rsidP="00457CAC">
            <w:pPr>
              <w:pStyle w:val="TableText"/>
              <w:spacing w:before="40" w:after="40"/>
              <w:jc w:val="right"/>
              <w:rPr>
                <w:sz w:val="17"/>
                <w:szCs w:val="17"/>
              </w:rPr>
            </w:pPr>
            <w:r w:rsidRPr="00D46B4B">
              <w:rPr>
                <w:rFonts w:eastAsia="Arial"/>
                <w:sz w:val="17"/>
                <w:szCs w:val="17"/>
              </w:rPr>
              <w:t>11.258</w:t>
            </w:r>
          </w:p>
        </w:tc>
        <w:tc>
          <w:tcPr>
            <w:tcW w:w="992" w:type="dxa"/>
            <w:tcBorders>
              <w:top w:val="nil"/>
            </w:tcBorders>
            <w:vAlign w:val="center"/>
          </w:tcPr>
          <w:p w14:paraId="01E9B034" w14:textId="77777777" w:rsidR="00457CAC" w:rsidRPr="00D46B4B" w:rsidRDefault="00457CAC" w:rsidP="00457CAC">
            <w:pPr>
              <w:pStyle w:val="TableText"/>
              <w:spacing w:before="40" w:after="40"/>
              <w:jc w:val="right"/>
              <w:rPr>
                <w:sz w:val="17"/>
                <w:szCs w:val="17"/>
              </w:rPr>
            </w:pPr>
            <w:r w:rsidRPr="00D46B4B">
              <w:rPr>
                <w:rFonts w:eastAsia="Arial"/>
                <w:sz w:val="17"/>
                <w:szCs w:val="17"/>
              </w:rPr>
              <w:t>12.023</w:t>
            </w:r>
          </w:p>
        </w:tc>
        <w:tc>
          <w:tcPr>
            <w:tcW w:w="993" w:type="dxa"/>
            <w:tcBorders>
              <w:top w:val="nil"/>
            </w:tcBorders>
            <w:vAlign w:val="center"/>
          </w:tcPr>
          <w:p w14:paraId="7D19703C" w14:textId="77777777" w:rsidR="00457CAC" w:rsidRPr="00D46B4B" w:rsidRDefault="00457CAC" w:rsidP="00457CAC">
            <w:pPr>
              <w:pStyle w:val="TableText"/>
              <w:spacing w:before="40" w:after="40"/>
              <w:jc w:val="right"/>
              <w:rPr>
                <w:sz w:val="17"/>
                <w:szCs w:val="17"/>
              </w:rPr>
            </w:pPr>
            <w:r w:rsidRPr="00D46B4B">
              <w:rPr>
                <w:rFonts w:eastAsia="Arial"/>
                <w:sz w:val="17"/>
                <w:szCs w:val="17"/>
              </w:rPr>
              <w:t>12.588</w:t>
            </w:r>
          </w:p>
        </w:tc>
        <w:tc>
          <w:tcPr>
            <w:tcW w:w="850" w:type="dxa"/>
            <w:tcBorders>
              <w:top w:val="nil"/>
            </w:tcBorders>
            <w:vAlign w:val="center"/>
          </w:tcPr>
          <w:p w14:paraId="53F3BA97" w14:textId="77777777" w:rsidR="00457CAC" w:rsidRPr="00D46B4B" w:rsidRDefault="00457CAC" w:rsidP="00457CAC">
            <w:pPr>
              <w:pStyle w:val="TableText"/>
              <w:spacing w:before="40" w:after="40"/>
              <w:jc w:val="right"/>
              <w:rPr>
                <w:sz w:val="17"/>
                <w:szCs w:val="17"/>
              </w:rPr>
            </w:pPr>
            <w:r w:rsidRPr="00D46B4B">
              <w:rPr>
                <w:rFonts w:eastAsia="Arial"/>
                <w:sz w:val="17"/>
                <w:szCs w:val="17"/>
              </w:rPr>
              <w:t>35.868</w:t>
            </w:r>
          </w:p>
        </w:tc>
        <w:tc>
          <w:tcPr>
            <w:tcW w:w="8505" w:type="dxa"/>
            <w:tcBorders>
              <w:top w:val="nil"/>
            </w:tcBorders>
          </w:tcPr>
          <w:p w14:paraId="484A08F3" w14:textId="77777777" w:rsidR="00457CAC" w:rsidRPr="00D46B4B" w:rsidRDefault="00457CAC" w:rsidP="00457CAC">
            <w:pPr>
              <w:pStyle w:val="TableBullet"/>
              <w:spacing w:before="40" w:after="40"/>
              <w:rPr>
                <w:sz w:val="17"/>
                <w:szCs w:val="17"/>
              </w:rPr>
            </w:pPr>
            <w:r w:rsidRPr="00D46B4B">
              <w:rPr>
                <w:sz w:val="17"/>
                <w:szCs w:val="17"/>
              </w:rPr>
              <w:t xml:space="preserve">Invest in ongoing delivery and improvement of clinical intervention services including filling regional gaps. Services offerings include dedicated </w:t>
            </w:r>
            <w:proofErr w:type="spellStart"/>
            <w:r w:rsidRPr="00D46B4B">
              <w:rPr>
                <w:sz w:val="17"/>
                <w:szCs w:val="17"/>
              </w:rPr>
              <w:t>hauora</w:t>
            </w:r>
            <w:proofErr w:type="spellEnd"/>
            <w:r w:rsidRPr="00D46B4B">
              <w:rPr>
                <w:sz w:val="17"/>
                <w:szCs w:val="17"/>
              </w:rPr>
              <w:t xml:space="preserve"> Māori intervention services, as well as services based on Pacific and Asian world views and expertise, as well as expansion of the intensive support coordination service.</w:t>
            </w:r>
          </w:p>
        </w:tc>
      </w:tr>
      <w:tr w:rsidR="00457CAC" w:rsidRPr="00B56460" w14:paraId="6CD25D36" w14:textId="77777777" w:rsidTr="00D46B4B">
        <w:trPr>
          <w:trHeight w:val="300"/>
        </w:trPr>
        <w:tc>
          <w:tcPr>
            <w:tcW w:w="1560" w:type="dxa"/>
            <w:vAlign w:val="center"/>
          </w:tcPr>
          <w:p w14:paraId="2C65401A" w14:textId="77777777" w:rsidR="00457CAC" w:rsidRPr="00D46B4B" w:rsidRDefault="00457CAC" w:rsidP="00457CAC">
            <w:pPr>
              <w:pStyle w:val="TableText"/>
              <w:spacing w:before="40" w:after="40"/>
              <w:rPr>
                <w:b/>
                <w:bCs/>
                <w:sz w:val="17"/>
                <w:szCs w:val="17"/>
              </w:rPr>
            </w:pPr>
            <w:r w:rsidRPr="00D46B4B">
              <w:rPr>
                <w:rFonts w:eastAsia="Arial"/>
                <w:b/>
                <w:bCs/>
                <w:sz w:val="17"/>
                <w:szCs w:val="17"/>
              </w:rPr>
              <w:t>Grow</w:t>
            </w:r>
            <w:r w:rsidRPr="00D46B4B">
              <w:rPr>
                <w:rFonts w:eastAsia="Calibri"/>
                <w:b/>
                <w:bCs/>
                <w:sz w:val="17"/>
                <w:szCs w:val="17"/>
              </w:rPr>
              <w:t xml:space="preserve"> the gambling harm workforce</w:t>
            </w:r>
          </w:p>
        </w:tc>
        <w:tc>
          <w:tcPr>
            <w:tcW w:w="850" w:type="dxa"/>
            <w:vAlign w:val="center"/>
          </w:tcPr>
          <w:p w14:paraId="4358E0F0" w14:textId="77777777" w:rsidR="00457CAC" w:rsidRPr="00D46B4B" w:rsidRDefault="00457CAC" w:rsidP="00457CAC">
            <w:pPr>
              <w:pStyle w:val="TableText"/>
              <w:spacing w:before="40" w:after="40"/>
              <w:jc w:val="right"/>
              <w:rPr>
                <w:sz w:val="17"/>
                <w:szCs w:val="17"/>
              </w:rPr>
            </w:pPr>
            <w:r w:rsidRPr="00D46B4B">
              <w:rPr>
                <w:rFonts w:eastAsia="Arial"/>
                <w:sz w:val="17"/>
                <w:szCs w:val="17"/>
              </w:rPr>
              <w:t>1.154</w:t>
            </w:r>
          </w:p>
        </w:tc>
        <w:tc>
          <w:tcPr>
            <w:tcW w:w="992" w:type="dxa"/>
            <w:vAlign w:val="center"/>
          </w:tcPr>
          <w:p w14:paraId="43BA3992" w14:textId="77777777" w:rsidR="00457CAC" w:rsidRPr="00D46B4B" w:rsidRDefault="00457CAC" w:rsidP="00457CAC">
            <w:pPr>
              <w:pStyle w:val="TableText"/>
              <w:spacing w:before="40" w:after="40"/>
              <w:jc w:val="right"/>
              <w:rPr>
                <w:sz w:val="17"/>
                <w:szCs w:val="17"/>
              </w:rPr>
            </w:pPr>
            <w:r w:rsidRPr="00D46B4B">
              <w:rPr>
                <w:rFonts w:eastAsia="Arial"/>
                <w:sz w:val="17"/>
                <w:szCs w:val="17"/>
              </w:rPr>
              <w:t>1.504</w:t>
            </w:r>
          </w:p>
        </w:tc>
        <w:tc>
          <w:tcPr>
            <w:tcW w:w="993" w:type="dxa"/>
            <w:vAlign w:val="center"/>
          </w:tcPr>
          <w:p w14:paraId="5A3F5C78" w14:textId="77777777" w:rsidR="00457CAC" w:rsidRPr="00D46B4B" w:rsidRDefault="00457CAC" w:rsidP="00457CAC">
            <w:pPr>
              <w:pStyle w:val="TableText"/>
              <w:spacing w:before="40" w:after="40"/>
              <w:jc w:val="right"/>
              <w:rPr>
                <w:sz w:val="17"/>
                <w:szCs w:val="17"/>
              </w:rPr>
            </w:pPr>
            <w:r w:rsidRPr="00D46B4B">
              <w:rPr>
                <w:rFonts w:eastAsia="Arial"/>
                <w:sz w:val="17"/>
                <w:szCs w:val="17"/>
              </w:rPr>
              <w:t>1.499</w:t>
            </w:r>
          </w:p>
        </w:tc>
        <w:tc>
          <w:tcPr>
            <w:tcW w:w="850" w:type="dxa"/>
            <w:vAlign w:val="center"/>
          </w:tcPr>
          <w:p w14:paraId="4BCB5DE8" w14:textId="77777777" w:rsidR="00457CAC" w:rsidRPr="00D46B4B" w:rsidRDefault="00457CAC" w:rsidP="00457CAC">
            <w:pPr>
              <w:pStyle w:val="TableText"/>
              <w:spacing w:before="40" w:after="40"/>
              <w:jc w:val="right"/>
              <w:rPr>
                <w:sz w:val="17"/>
                <w:szCs w:val="17"/>
              </w:rPr>
            </w:pPr>
            <w:r w:rsidRPr="00D46B4B">
              <w:rPr>
                <w:rFonts w:eastAsia="Arial"/>
                <w:sz w:val="17"/>
                <w:szCs w:val="17"/>
              </w:rPr>
              <w:t>4.156</w:t>
            </w:r>
          </w:p>
        </w:tc>
        <w:tc>
          <w:tcPr>
            <w:tcW w:w="8505" w:type="dxa"/>
          </w:tcPr>
          <w:p w14:paraId="53DE5FDA" w14:textId="77777777" w:rsidR="00457CAC" w:rsidRPr="00D46B4B" w:rsidRDefault="00457CAC" w:rsidP="00457CAC">
            <w:pPr>
              <w:pStyle w:val="TableBullet"/>
              <w:spacing w:before="40" w:after="40"/>
              <w:rPr>
                <w:sz w:val="17"/>
                <w:szCs w:val="17"/>
              </w:rPr>
            </w:pPr>
            <w:r w:rsidRPr="00D46B4B">
              <w:rPr>
                <w:sz w:val="17"/>
                <w:szCs w:val="17"/>
              </w:rPr>
              <w:t xml:space="preserve">Expand the peer workforce to improve access to broad spectrum of effective services. This investment will further embed lived experience into gambling harm service provision and planning. </w:t>
            </w:r>
          </w:p>
          <w:p w14:paraId="15100E7B" w14:textId="77777777" w:rsidR="00457CAC" w:rsidRPr="00D46B4B" w:rsidRDefault="00457CAC" w:rsidP="00457CAC">
            <w:pPr>
              <w:pStyle w:val="TableBullet"/>
              <w:spacing w:before="40" w:after="40"/>
              <w:rPr>
                <w:sz w:val="17"/>
                <w:szCs w:val="17"/>
              </w:rPr>
            </w:pPr>
            <w:r w:rsidRPr="00D46B4B">
              <w:rPr>
                <w:sz w:val="17"/>
                <w:szCs w:val="17"/>
              </w:rPr>
              <w:t>Develop gambling-harm content for a New Zealand Qualification Authority (NZQA) Level 7 qualification.</w:t>
            </w:r>
          </w:p>
          <w:p w14:paraId="240847D2" w14:textId="77777777" w:rsidR="00457CAC" w:rsidRPr="00D46B4B" w:rsidRDefault="00457CAC" w:rsidP="00457CAC">
            <w:pPr>
              <w:pStyle w:val="TableBullet"/>
              <w:spacing w:before="40" w:after="40"/>
              <w:rPr>
                <w:sz w:val="17"/>
                <w:szCs w:val="17"/>
              </w:rPr>
            </w:pPr>
            <w:r w:rsidRPr="00D46B4B">
              <w:rPr>
                <w:sz w:val="17"/>
                <w:szCs w:val="17"/>
              </w:rPr>
              <w:t xml:space="preserve">Invest in clinical internships to support students to complete practicum requirements to become fully registered addiction practitioners. </w:t>
            </w:r>
          </w:p>
          <w:p w14:paraId="6CB81389" w14:textId="77777777" w:rsidR="00457CAC" w:rsidRPr="00D46B4B" w:rsidRDefault="00457CAC" w:rsidP="00457CAC">
            <w:pPr>
              <w:pStyle w:val="TableBullet"/>
              <w:spacing w:before="40" w:after="40"/>
              <w:rPr>
                <w:sz w:val="17"/>
                <w:szCs w:val="17"/>
              </w:rPr>
            </w:pPr>
            <w:r w:rsidRPr="00D46B4B">
              <w:rPr>
                <w:sz w:val="17"/>
                <w:szCs w:val="17"/>
              </w:rPr>
              <w:t>Ongoing professional development for the existing workforce.</w:t>
            </w:r>
          </w:p>
        </w:tc>
      </w:tr>
      <w:tr w:rsidR="00457CAC" w:rsidRPr="00B56460" w14:paraId="100F5F1E" w14:textId="77777777" w:rsidTr="00D46B4B">
        <w:trPr>
          <w:trHeight w:val="300"/>
        </w:trPr>
        <w:tc>
          <w:tcPr>
            <w:tcW w:w="1560" w:type="dxa"/>
            <w:vAlign w:val="center"/>
          </w:tcPr>
          <w:p w14:paraId="5D4ED6ED" w14:textId="77777777" w:rsidR="00457CAC" w:rsidRPr="00D46B4B" w:rsidRDefault="00457CAC" w:rsidP="00457CAC">
            <w:pPr>
              <w:pStyle w:val="TableText"/>
              <w:spacing w:before="40" w:after="40"/>
              <w:rPr>
                <w:b/>
                <w:bCs/>
                <w:sz w:val="17"/>
                <w:szCs w:val="17"/>
              </w:rPr>
            </w:pPr>
            <w:r w:rsidRPr="00D46B4B">
              <w:rPr>
                <w:rFonts w:eastAsia="Arial"/>
                <w:b/>
                <w:bCs/>
                <w:sz w:val="17"/>
                <w:szCs w:val="17"/>
              </w:rPr>
              <w:t xml:space="preserve">Strengthen </w:t>
            </w:r>
            <w:r w:rsidRPr="00D46B4B">
              <w:rPr>
                <w:rFonts w:eastAsia="Calibri"/>
                <w:b/>
                <w:bCs/>
                <w:sz w:val="17"/>
                <w:szCs w:val="17"/>
              </w:rPr>
              <w:t>the focus on the prevention of and early intervention in gambling harm</w:t>
            </w:r>
          </w:p>
        </w:tc>
        <w:tc>
          <w:tcPr>
            <w:tcW w:w="850" w:type="dxa"/>
            <w:vAlign w:val="center"/>
          </w:tcPr>
          <w:p w14:paraId="34983B1C" w14:textId="77777777" w:rsidR="00457CAC" w:rsidRPr="00D46B4B" w:rsidRDefault="00457CAC" w:rsidP="00457CAC">
            <w:pPr>
              <w:pStyle w:val="TableText"/>
              <w:spacing w:before="40" w:after="40"/>
              <w:jc w:val="right"/>
              <w:rPr>
                <w:sz w:val="17"/>
                <w:szCs w:val="17"/>
              </w:rPr>
            </w:pPr>
            <w:r w:rsidRPr="00D46B4B">
              <w:rPr>
                <w:rFonts w:eastAsia="Arial"/>
                <w:sz w:val="17"/>
                <w:szCs w:val="17"/>
              </w:rPr>
              <w:t>10.082</w:t>
            </w:r>
          </w:p>
        </w:tc>
        <w:tc>
          <w:tcPr>
            <w:tcW w:w="992" w:type="dxa"/>
            <w:vAlign w:val="center"/>
          </w:tcPr>
          <w:p w14:paraId="4F20620F" w14:textId="3C70B4C1" w:rsidR="00457CAC" w:rsidRPr="00D46B4B" w:rsidRDefault="00457CAC" w:rsidP="00457CAC">
            <w:pPr>
              <w:pStyle w:val="TableText"/>
              <w:spacing w:before="40" w:after="40"/>
              <w:jc w:val="right"/>
              <w:rPr>
                <w:sz w:val="17"/>
                <w:szCs w:val="17"/>
              </w:rPr>
            </w:pPr>
            <w:r w:rsidRPr="00D46B4B">
              <w:rPr>
                <w:rFonts w:eastAsia="Arial"/>
                <w:sz w:val="17"/>
                <w:szCs w:val="17"/>
              </w:rPr>
              <w:t>10.</w:t>
            </w:r>
            <w:r w:rsidR="00E959FA" w:rsidRPr="00D46B4B">
              <w:rPr>
                <w:rFonts w:eastAsia="Arial"/>
                <w:sz w:val="17"/>
                <w:szCs w:val="17"/>
              </w:rPr>
              <w:t>049</w:t>
            </w:r>
          </w:p>
        </w:tc>
        <w:tc>
          <w:tcPr>
            <w:tcW w:w="993" w:type="dxa"/>
            <w:vAlign w:val="center"/>
          </w:tcPr>
          <w:p w14:paraId="285EBED4" w14:textId="036B7E66" w:rsidR="00457CAC" w:rsidRPr="00D46B4B" w:rsidRDefault="00457CAC" w:rsidP="00457CAC">
            <w:pPr>
              <w:pStyle w:val="TableText"/>
              <w:spacing w:before="40" w:after="40"/>
              <w:jc w:val="right"/>
              <w:rPr>
                <w:sz w:val="17"/>
                <w:szCs w:val="17"/>
              </w:rPr>
            </w:pPr>
            <w:r w:rsidRPr="00D46B4B">
              <w:rPr>
                <w:rFonts w:eastAsia="Arial"/>
                <w:sz w:val="17"/>
                <w:szCs w:val="17"/>
              </w:rPr>
              <w:t>10.</w:t>
            </w:r>
            <w:r w:rsidR="00E959FA" w:rsidRPr="00D46B4B">
              <w:rPr>
                <w:rFonts w:eastAsia="Arial"/>
                <w:sz w:val="17"/>
                <w:szCs w:val="17"/>
              </w:rPr>
              <w:t>556</w:t>
            </w:r>
          </w:p>
        </w:tc>
        <w:tc>
          <w:tcPr>
            <w:tcW w:w="850" w:type="dxa"/>
            <w:vAlign w:val="center"/>
          </w:tcPr>
          <w:p w14:paraId="55CB9BA3" w14:textId="04EC5651" w:rsidR="00457CAC" w:rsidRPr="00D46B4B" w:rsidRDefault="00457CAC" w:rsidP="00457CAC">
            <w:pPr>
              <w:pStyle w:val="TableText"/>
              <w:spacing w:before="40" w:after="40"/>
              <w:jc w:val="right"/>
              <w:rPr>
                <w:sz w:val="17"/>
                <w:szCs w:val="17"/>
              </w:rPr>
            </w:pPr>
            <w:r w:rsidRPr="00D46B4B">
              <w:rPr>
                <w:rFonts w:eastAsia="Arial"/>
                <w:sz w:val="17"/>
                <w:szCs w:val="17"/>
              </w:rPr>
              <w:t>3</w:t>
            </w:r>
            <w:r w:rsidR="00E959FA" w:rsidRPr="00D46B4B">
              <w:rPr>
                <w:rFonts w:eastAsia="Arial"/>
                <w:sz w:val="17"/>
                <w:szCs w:val="17"/>
              </w:rPr>
              <w:t>0</w:t>
            </w:r>
            <w:r w:rsidRPr="00D46B4B">
              <w:rPr>
                <w:rFonts w:eastAsia="Arial"/>
                <w:sz w:val="17"/>
                <w:szCs w:val="17"/>
              </w:rPr>
              <w:t>.</w:t>
            </w:r>
            <w:r w:rsidR="0006535E" w:rsidRPr="00D46B4B">
              <w:rPr>
                <w:rFonts w:eastAsia="Arial"/>
                <w:sz w:val="17"/>
                <w:szCs w:val="17"/>
              </w:rPr>
              <w:t>687</w:t>
            </w:r>
          </w:p>
        </w:tc>
        <w:tc>
          <w:tcPr>
            <w:tcW w:w="8505" w:type="dxa"/>
          </w:tcPr>
          <w:p w14:paraId="7F1EA722" w14:textId="77777777" w:rsidR="00457CAC" w:rsidRPr="00D46B4B" w:rsidRDefault="00457CAC" w:rsidP="00457CAC">
            <w:pPr>
              <w:pStyle w:val="TableBullet"/>
              <w:spacing w:before="40" w:after="40"/>
              <w:rPr>
                <w:sz w:val="17"/>
                <w:szCs w:val="17"/>
              </w:rPr>
            </w:pPr>
            <w:r w:rsidRPr="00D46B4B">
              <w:rPr>
                <w:sz w:val="17"/>
                <w:szCs w:val="17"/>
              </w:rPr>
              <w:t>Invest in refreshed national public health promotion and de-stigmatisation initiatives alongside new local/regional public health services to empower communities, build awareness and resilience, address stigma and barriers to help seeking. This work will be informed by lived experience.</w:t>
            </w:r>
          </w:p>
          <w:p w14:paraId="55FECB45" w14:textId="77777777" w:rsidR="00457CAC" w:rsidRPr="00D46B4B" w:rsidRDefault="00457CAC" w:rsidP="00457CAC">
            <w:pPr>
              <w:pStyle w:val="TableBullet"/>
              <w:spacing w:before="40" w:after="40"/>
              <w:rPr>
                <w:sz w:val="17"/>
                <w:szCs w:val="17"/>
              </w:rPr>
            </w:pPr>
            <w:r w:rsidRPr="00D46B4B">
              <w:rPr>
                <w:sz w:val="17"/>
                <w:szCs w:val="17"/>
              </w:rPr>
              <w:t>Subject to the new online gambling regulations, scope and develop a national system to allow individuals to block themselves from accessing regulated online/mobile gambling outlets.</w:t>
            </w:r>
          </w:p>
          <w:p w14:paraId="2AC90317" w14:textId="77777777" w:rsidR="00457CAC" w:rsidRPr="00D46B4B" w:rsidRDefault="00457CAC" w:rsidP="00457CAC">
            <w:pPr>
              <w:pStyle w:val="TableBullet"/>
              <w:spacing w:before="40" w:after="40"/>
              <w:rPr>
                <w:sz w:val="17"/>
                <w:szCs w:val="17"/>
              </w:rPr>
            </w:pPr>
            <w:r w:rsidRPr="00D46B4B">
              <w:rPr>
                <w:sz w:val="17"/>
                <w:szCs w:val="17"/>
              </w:rPr>
              <w:t>Continue to develop public health approach in schools to address and prevent gambling harm amongst young people/</w:t>
            </w:r>
            <w:proofErr w:type="spellStart"/>
            <w:r w:rsidRPr="00D46B4B">
              <w:rPr>
                <w:sz w:val="17"/>
                <w:szCs w:val="17"/>
              </w:rPr>
              <w:t>rangatahi</w:t>
            </w:r>
            <w:proofErr w:type="spellEnd"/>
            <w:r w:rsidRPr="00D46B4B">
              <w:rPr>
                <w:sz w:val="17"/>
                <w:szCs w:val="17"/>
              </w:rPr>
              <w:t xml:space="preserve">. </w:t>
            </w:r>
          </w:p>
          <w:p w14:paraId="7C8847D8" w14:textId="77777777" w:rsidR="00457CAC" w:rsidRPr="00D46B4B" w:rsidRDefault="00457CAC" w:rsidP="00457CAC">
            <w:pPr>
              <w:pStyle w:val="TableBullet"/>
              <w:spacing w:before="40" w:after="40"/>
              <w:rPr>
                <w:sz w:val="17"/>
                <w:szCs w:val="17"/>
              </w:rPr>
            </w:pPr>
            <w:r w:rsidRPr="00D46B4B">
              <w:rPr>
                <w:sz w:val="17"/>
                <w:szCs w:val="17"/>
              </w:rPr>
              <w:t>Invest in service promotion and support in primary health care.</w:t>
            </w:r>
          </w:p>
          <w:p w14:paraId="1339160B" w14:textId="77777777" w:rsidR="00457CAC" w:rsidRPr="00D46B4B" w:rsidRDefault="00457CAC" w:rsidP="00457CAC">
            <w:pPr>
              <w:pStyle w:val="TableBullet"/>
              <w:spacing w:before="40" w:after="40"/>
              <w:rPr>
                <w:sz w:val="17"/>
                <w:szCs w:val="17"/>
              </w:rPr>
            </w:pPr>
            <w:r w:rsidRPr="00D46B4B">
              <w:rPr>
                <w:sz w:val="17"/>
                <w:szCs w:val="17"/>
              </w:rPr>
              <w:t>Enhanced work to support self-exclusion.</w:t>
            </w:r>
          </w:p>
        </w:tc>
      </w:tr>
      <w:tr w:rsidR="00457CAC" w:rsidRPr="00B56460" w14:paraId="39125B53" w14:textId="77777777" w:rsidTr="00D46B4B">
        <w:trPr>
          <w:trHeight w:val="300"/>
        </w:trPr>
        <w:tc>
          <w:tcPr>
            <w:tcW w:w="1560" w:type="dxa"/>
            <w:vAlign w:val="center"/>
          </w:tcPr>
          <w:p w14:paraId="38C0C170" w14:textId="77777777" w:rsidR="00457CAC" w:rsidRPr="00D46B4B" w:rsidRDefault="00457CAC" w:rsidP="00457CAC">
            <w:pPr>
              <w:pStyle w:val="TableText"/>
              <w:spacing w:before="40" w:after="40"/>
              <w:rPr>
                <w:b/>
                <w:bCs/>
                <w:sz w:val="17"/>
                <w:szCs w:val="17"/>
              </w:rPr>
            </w:pPr>
            <w:r w:rsidRPr="00D46B4B">
              <w:rPr>
                <w:rFonts w:eastAsia="Arial"/>
                <w:b/>
                <w:bCs/>
                <w:sz w:val="17"/>
                <w:szCs w:val="17"/>
              </w:rPr>
              <w:t xml:space="preserve">Improve </w:t>
            </w:r>
            <w:r w:rsidRPr="00D46B4B">
              <w:rPr>
                <w:rFonts w:eastAsia="Calibri"/>
                <w:b/>
                <w:bCs/>
                <w:sz w:val="17"/>
                <w:szCs w:val="17"/>
              </w:rPr>
              <w:t>the effectiveness of gambling harm support</w:t>
            </w:r>
          </w:p>
        </w:tc>
        <w:tc>
          <w:tcPr>
            <w:tcW w:w="850" w:type="dxa"/>
            <w:vAlign w:val="center"/>
          </w:tcPr>
          <w:p w14:paraId="55C9C0B9" w14:textId="77777777" w:rsidR="00457CAC" w:rsidRPr="00D46B4B" w:rsidRDefault="00457CAC" w:rsidP="00457CAC">
            <w:pPr>
              <w:pStyle w:val="TableText"/>
              <w:spacing w:before="40" w:after="40"/>
              <w:jc w:val="right"/>
              <w:rPr>
                <w:sz w:val="17"/>
                <w:szCs w:val="17"/>
              </w:rPr>
            </w:pPr>
            <w:r w:rsidRPr="00D46B4B">
              <w:rPr>
                <w:rFonts w:eastAsia="Arial"/>
                <w:sz w:val="17"/>
                <w:szCs w:val="17"/>
              </w:rPr>
              <w:t>3.789</w:t>
            </w:r>
          </w:p>
        </w:tc>
        <w:tc>
          <w:tcPr>
            <w:tcW w:w="992" w:type="dxa"/>
            <w:vAlign w:val="center"/>
          </w:tcPr>
          <w:p w14:paraId="37F36DA5" w14:textId="77777777" w:rsidR="00457CAC" w:rsidRPr="00D46B4B" w:rsidRDefault="00457CAC" w:rsidP="00457CAC">
            <w:pPr>
              <w:pStyle w:val="TableText"/>
              <w:spacing w:before="40" w:after="40"/>
              <w:jc w:val="right"/>
              <w:rPr>
                <w:sz w:val="17"/>
                <w:szCs w:val="17"/>
              </w:rPr>
            </w:pPr>
            <w:r w:rsidRPr="00D46B4B">
              <w:rPr>
                <w:rFonts w:eastAsia="Arial"/>
                <w:sz w:val="17"/>
                <w:szCs w:val="17"/>
              </w:rPr>
              <w:t>3.654</w:t>
            </w:r>
          </w:p>
        </w:tc>
        <w:tc>
          <w:tcPr>
            <w:tcW w:w="993" w:type="dxa"/>
            <w:vAlign w:val="center"/>
          </w:tcPr>
          <w:p w14:paraId="10C23720" w14:textId="77777777" w:rsidR="00457CAC" w:rsidRPr="00D46B4B" w:rsidRDefault="00457CAC" w:rsidP="00457CAC">
            <w:pPr>
              <w:pStyle w:val="TableText"/>
              <w:spacing w:before="40" w:after="40"/>
              <w:jc w:val="right"/>
              <w:rPr>
                <w:sz w:val="17"/>
                <w:szCs w:val="17"/>
              </w:rPr>
            </w:pPr>
            <w:r w:rsidRPr="00D46B4B">
              <w:rPr>
                <w:rFonts w:eastAsia="Arial"/>
                <w:sz w:val="17"/>
                <w:szCs w:val="17"/>
              </w:rPr>
              <w:t>2.604</w:t>
            </w:r>
          </w:p>
        </w:tc>
        <w:tc>
          <w:tcPr>
            <w:tcW w:w="850" w:type="dxa"/>
            <w:vAlign w:val="center"/>
          </w:tcPr>
          <w:p w14:paraId="05C9747C" w14:textId="77777777" w:rsidR="00457CAC" w:rsidRPr="00D46B4B" w:rsidRDefault="00457CAC" w:rsidP="00457CAC">
            <w:pPr>
              <w:pStyle w:val="TableText"/>
              <w:spacing w:before="40" w:after="40"/>
              <w:jc w:val="right"/>
              <w:rPr>
                <w:sz w:val="17"/>
                <w:szCs w:val="17"/>
              </w:rPr>
            </w:pPr>
            <w:r w:rsidRPr="00D46B4B">
              <w:rPr>
                <w:rFonts w:eastAsia="Arial"/>
                <w:sz w:val="17"/>
                <w:szCs w:val="17"/>
              </w:rPr>
              <w:t>10.047</w:t>
            </w:r>
          </w:p>
        </w:tc>
        <w:tc>
          <w:tcPr>
            <w:tcW w:w="8505" w:type="dxa"/>
          </w:tcPr>
          <w:p w14:paraId="1C8672D2" w14:textId="77777777" w:rsidR="00457CAC" w:rsidRPr="00D46B4B" w:rsidRDefault="00457CAC" w:rsidP="00457CAC">
            <w:pPr>
              <w:pStyle w:val="TableBullet"/>
              <w:spacing w:before="40" w:after="40"/>
              <w:rPr>
                <w:sz w:val="17"/>
                <w:szCs w:val="17"/>
              </w:rPr>
            </w:pPr>
            <w:r w:rsidRPr="00D46B4B">
              <w:rPr>
                <w:sz w:val="17"/>
                <w:szCs w:val="17"/>
              </w:rPr>
              <w:t>Ongoing investment in a lived experience advisory group.</w:t>
            </w:r>
          </w:p>
          <w:p w14:paraId="6CEF977C" w14:textId="77777777" w:rsidR="00457CAC" w:rsidRPr="00D46B4B" w:rsidRDefault="00457CAC" w:rsidP="00457CAC">
            <w:pPr>
              <w:pStyle w:val="TableBullet"/>
              <w:spacing w:before="40" w:after="40"/>
              <w:rPr>
                <w:sz w:val="17"/>
                <w:szCs w:val="17"/>
              </w:rPr>
            </w:pPr>
            <w:r w:rsidRPr="00D46B4B">
              <w:rPr>
                <w:sz w:val="17"/>
                <w:szCs w:val="17"/>
              </w:rPr>
              <w:t>Develop and roll-out a modern client data management system. This will assist service with day-to-day client information management activities, continuous quality improvement, and reporting. It will also enable and enhance contract monitoring. This will reduce the amount of effort and resource required for data processing, thus allowing more resource to be put towards front line service delivery.</w:t>
            </w:r>
          </w:p>
          <w:p w14:paraId="3E936EE7" w14:textId="77777777" w:rsidR="00457CAC" w:rsidRPr="00D46B4B" w:rsidRDefault="00457CAC" w:rsidP="00457CAC">
            <w:pPr>
              <w:pStyle w:val="TableBullet"/>
              <w:spacing w:before="40" w:after="40"/>
              <w:rPr>
                <w:sz w:val="17"/>
                <w:szCs w:val="17"/>
              </w:rPr>
            </w:pPr>
            <w:r w:rsidRPr="00D46B4B">
              <w:rPr>
                <w:sz w:val="17"/>
                <w:szCs w:val="17"/>
              </w:rPr>
              <w:t>Invest in research and evaluation to inform policies and service improvement. Ensure research and evaluation is informed by affected communities, service providers, and those with lived experience. This will include an impact evaluation of the Strategy itself, and all services commissioned under it.</w:t>
            </w:r>
          </w:p>
        </w:tc>
      </w:tr>
      <w:tr w:rsidR="00457CAC" w:rsidRPr="00B56460" w14:paraId="10DA81A5" w14:textId="77777777" w:rsidTr="00D46B4B">
        <w:trPr>
          <w:trHeight w:val="300"/>
        </w:trPr>
        <w:tc>
          <w:tcPr>
            <w:tcW w:w="1560" w:type="dxa"/>
            <w:vAlign w:val="center"/>
          </w:tcPr>
          <w:p w14:paraId="10465CF7" w14:textId="77777777" w:rsidR="00457CAC" w:rsidRPr="00B56460" w:rsidRDefault="00457CAC" w:rsidP="00457CAC">
            <w:pPr>
              <w:pStyle w:val="TableText"/>
              <w:spacing w:before="40" w:after="40"/>
              <w:rPr>
                <w:b/>
                <w:bCs/>
                <w:sz w:val="16"/>
                <w:szCs w:val="16"/>
              </w:rPr>
            </w:pPr>
            <w:r w:rsidRPr="00B56460">
              <w:rPr>
                <w:rFonts w:eastAsia="Arial"/>
                <w:b/>
                <w:bCs/>
                <w:sz w:val="16"/>
                <w:szCs w:val="16"/>
              </w:rPr>
              <w:t>Agency costs</w:t>
            </w:r>
          </w:p>
        </w:tc>
        <w:tc>
          <w:tcPr>
            <w:tcW w:w="850" w:type="dxa"/>
            <w:vAlign w:val="center"/>
          </w:tcPr>
          <w:p w14:paraId="76693317" w14:textId="77777777" w:rsidR="00457CAC" w:rsidRPr="00BB302B" w:rsidRDefault="00457CAC" w:rsidP="00457CAC">
            <w:pPr>
              <w:pStyle w:val="TableText"/>
              <w:spacing w:before="40" w:after="40"/>
              <w:jc w:val="right"/>
              <w:rPr>
                <w:sz w:val="17"/>
                <w:szCs w:val="17"/>
              </w:rPr>
            </w:pPr>
            <w:r w:rsidRPr="00BB302B">
              <w:rPr>
                <w:rFonts w:eastAsia="Arial"/>
                <w:sz w:val="17"/>
                <w:szCs w:val="17"/>
              </w:rPr>
              <w:t>2.181</w:t>
            </w:r>
          </w:p>
        </w:tc>
        <w:tc>
          <w:tcPr>
            <w:tcW w:w="992" w:type="dxa"/>
            <w:vAlign w:val="center"/>
          </w:tcPr>
          <w:p w14:paraId="3CD9DE82" w14:textId="77777777" w:rsidR="00457CAC" w:rsidRPr="00BB302B" w:rsidRDefault="00457CAC" w:rsidP="00457CAC">
            <w:pPr>
              <w:pStyle w:val="TableText"/>
              <w:spacing w:before="40" w:after="40"/>
              <w:jc w:val="right"/>
              <w:rPr>
                <w:sz w:val="17"/>
                <w:szCs w:val="17"/>
              </w:rPr>
            </w:pPr>
            <w:r w:rsidRPr="00BB302B">
              <w:rPr>
                <w:rFonts w:eastAsia="Arial"/>
                <w:sz w:val="17"/>
                <w:szCs w:val="17"/>
              </w:rPr>
              <w:t>2.475</w:t>
            </w:r>
          </w:p>
        </w:tc>
        <w:tc>
          <w:tcPr>
            <w:tcW w:w="993" w:type="dxa"/>
            <w:vAlign w:val="center"/>
          </w:tcPr>
          <w:p w14:paraId="0D3A0376" w14:textId="242C68EE" w:rsidR="00457CAC" w:rsidRPr="00BB302B" w:rsidRDefault="00457CAC" w:rsidP="00457CAC">
            <w:pPr>
              <w:pStyle w:val="TableText"/>
              <w:spacing w:before="40" w:after="40"/>
              <w:jc w:val="right"/>
              <w:rPr>
                <w:sz w:val="17"/>
                <w:szCs w:val="17"/>
              </w:rPr>
            </w:pPr>
            <w:r w:rsidRPr="00BB302B">
              <w:rPr>
                <w:rFonts w:eastAsia="Arial"/>
                <w:sz w:val="17"/>
                <w:szCs w:val="17"/>
              </w:rPr>
              <w:t>2.30</w:t>
            </w:r>
            <w:r w:rsidR="0006535E" w:rsidRPr="00BB302B">
              <w:rPr>
                <w:rFonts w:eastAsia="Arial"/>
                <w:sz w:val="17"/>
                <w:szCs w:val="17"/>
              </w:rPr>
              <w:t>2</w:t>
            </w:r>
          </w:p>
        </w:tc>
        <w:tc>
          <w:tcPr>
            <w:tcW w:w="850" w:type="dxa"/>
            <w:vAlign w:val="center"/>
          </w:tcPr>
          <w:p w14:paraId="05A37E5E" w14:textId="75524A86" w:rsidR="00457CAC" w:rsidRPr="00BB302B" w:rsidRDefault="00457CAC" w:rsidP="00457CAC">
            <w:pPr>
              <w:pStyle w:val="TableText"/>
              <w:spacing w:before="40" w:after="40"/>
              <w:jc w:val="right"/>
              <w:rPr>
                <w:sz w:val="17"/>
                <w:szCs w:val="17"/>
              </w:rPr>
            </w:pPr>
            <w:r w:rsidRPr="00BB302B">
              <w:rPr>
                <w:rFonts w:eastAsia="Arial"/>
                <w:sz w:val="17"/>
                <w:szCs w:val="17"/>
              </w:rPr>
              <w:t>6.95</w:t>
            </w:r>
            <w:r w:rsidR="0006535E" w:rsidRPr="00BB302B">
              <w:rPr>
                <w:rFonts w:eastAsia="Arial"/>
                <w:sz w:val="17"/>
                <w:szCs w:val="17"/>
              </w:rPr>
              <w:t>8</w:t>
            </w:r>
          </w:p>
        </w:tc>
        <w:tc>
          <w:tcPr>
            <w:tcW w:w="8505" w:type="dxa"/>
          </w:tcPr>
          <w:p w14:paraId="6C338DF9" w14:textId="77777777" w:rsidR="00457CAC" w:rsidRPr="00B56460" w:rsidRDefault="00457CAC" w:rsidP="00457CAC">
            <w:pPr>
              <w:pStyle w:val="TableText"/>
              <w:spacing w:before="40" w:after="40"/>
              <w:jc w:val="right"/>
              <w:rPr>
                <w:rFonts w:eastAsia="Arial"/>
                <w:b/>
                <w:bCs/>
                <w:sz w:val="16"/>
                <w:szCs w:val="16"/>
              </w:rPr>
            </w:pPr>
          </w:p>
        </w:tc>
      </w:tr>
      <w:tr w:rsidR="00884FA0" w:rsidRPr="00B56460" w14:paraId="324E385E" w14:textId="77777777" w:rsidTr="00D46B4B">
        <w:trPr>
          <w:trHeight w:val="285"/>
        </w:trPr>
        <w:tc>
          <w:tcPr>
            <w:tcW w:w="1560" w:type="dxa"/>
            <w:vAlign w:val="center"/>
          </w:tcPr>
          <w:p w14:paraId="29AC57E8" w14:textId="77777777" w:rsidR="00884FA0" w:rsidRPr="00B56460" w:rsidRDefault="00884FA0" w:rsidP="00884FA0">
            <w:pPr>
              <w:pStyle w:val="TableText"/>
              <w:spacing w:before="40" w:after="40"/>
              <w:rPr>
                <w:b/>
                <w:bCs/>
                <w:sz w:val="16"/>
                <w:szCs w:val="16"/>
              </w:rPr>
            </w:pPr>
            <w:r w:rsidRPr="00B56460">
              <w:rPr>
                <w:rFonts w:eastAsia="Calibri"/>
                <w:b/>
                <w:bCs/>
                <w:sz w:val="16"/>
                <w:szCs w:val="16"/>
              </w:rPr>
              <w:t xml:space="preserve"> Total </w:t>
            </w:r>
          </w:p>
        </w:tc>
        <w:tc>
          <w:tcPr>
            <w:tcW w:w="850" w:type="dxa"/>
            <w:vAlign w:val="center"/>
          </w:tcPr>
          <w:p w14:paraId="53B52543" w14:textId="77777777" w:rsidR="00884FA0" w:rsidRPr="00D46B4B" w:rsidRDefault="00884FA0" w:rsidP="00884FA0">
            <w:pPr>
              <w:pStyle w:val="TableText"/>
              <w:spacing w:before="40" w:after="40"/>
              <w:jc w:val="right"/>
              <w:rPr>
                <w:b/>
                <w:bCs/>
                <w:sz w:val="17"/>
                <w:szCs w:val="17"/>
              </w:rPr>
            </w:pPr>
            <w:r w:rsidRPr="00D46B4B">
              <w:rPr>
                <w:rFonts w:eastAsia="Arial"/>
                <w:b/>
                <w:bCs/>
                <w:sz w:val="17"/>
                <w:szCs w:val="17"/>
              </w:rPr>
              <w:t>28.464</w:t>
            </w:r>
          </w:p>
        </w:tc>
        <w:tc>
          <w:tcPr>
            <w:tcW w:w="992" w:type="dxa"/>
            <w:vAlign w:val="center"/>
          </w:tcPr>
          <w:p w14:paraId="67636E34" w14:textId="63BAD483" w:rsidR="00884FA0" w:rsidRPr="00C80348" w:rsidRDefault="00884FA0" w:rsidP="00884FA0">
            <w:pPr>
              <w:pStyle w:val="TableText"/>
              <w:spacing w:before="40" w:after="40"/>
              <w:jc w:val="right"/>
              <w:rPr>
                <w:rFonts w:eastAsia="Arial"/>
                <w:b/>
                <w:bCs/>
                <w:sz w:val="17"/>
                <w:szCs w:val="17"/>
              </w:rPr>
            </w:pPr>
            <w:r w:rsidRPr="00C80348">
              <w:rPr>
                <w:rFonts w:eastAsia="Arial"/>
                <w:b/>
                <w:bCs/>
                <w:sz w:val="17"/>
                <w:szCs w:val="17"/>
              </w:rPr>
              <w:t>29.705</w:t>
            </w:r>
          </w:p>
        </w:tc>
        <w:tc>
          <w:tcPr>
            <w:tcW w:w="993" w:type="dxa"/>
            <w:vAlign w:val="center"/>
          </w:tcPr>
          <w:p w14:paraId="6C87AC2F" w14:textId="3260199D" w:rsidR="00884FA0" w:rsidRPr="00C80348" w:rsidRDefault="00884FA0" w:rsidP="00884FA0">
            <w:pPr>
              <w:pStyle w:val="TableText"/>
              <w:spacing w:before="40" w:after="40"/>
              <w:jc w:val="right"/>
              <w:rPr>
                <w:rFonts w:eastAsia="Arial"/>
                <w:b/>
                <w:bCs/>
                <w:sz w:val="17"/>
                <w:szCs w:val="17"/>
              </w:rPr>
            </w:pPr>
            <w:r w:rsidRPr="00C80348">
              <w:rPr>
                <w:rFonts w:eastAsia="Arial"/>
                <w:b/>
                <w:bCs/>
                <w:sz w:val="17"/>
                <w:szCs w:val="17"/>
              </w:rPr>
              <w:t>29.549</w:t>
            </w:r>
          </w:p>
        </w:tc>
        <w:tc>
          <w:tcPr>
            <w:tcW w:w="850" w:type="dxa"/>
            <w:vAlign w:val="center"/>
          </w:tcPr>
          <w:p w14:paraId="2BE58B79" w14:textId="03CA6CD8" w:rsidR="00884FA0" w:rsidRPr="00C80348" w:rsidRDefault="00884FA0" w:rsidP="00884FA0">
            <w:pPr>
              <w:pStyle w:val="TableText"/>
              <w:spacing w:before="40" w:after="40"/>
              <w:jc w:val="right"/>
              <w:rPr>
                <w:rFonts w:eastAsia="Arial"/>
                <w:b/>
                <w:bCs/>
                <w:sz w:val="17"/>
                <w:szCs w:val="17"/>
              </w:rPr>
            </w:pPr>
            <w:r w:rsidRPr="00C80348">
              <w:rPr>
                <w:rFonts w:eastAsia="Arial"/>
                <w:b/>
                <w:bCs/>
                <w:sz w:val="17"/>
                <w:szCs w:val="17"/>
              </w:rPr>
              <w:t>87.718</w:t>
            </w:r>
          </w:p>
        </w:tc>
        <w:tc>
          <w:tcPr>
            <w:tcW w:w="8505" w:type="dxa"/>
          </w:tcPr>
          <w:p w14:paraId="2024794D" w14:textId="77777777" w:rsidR="00884FA0" w:rsidRPr="00B56460" w:rsidRDefault="00884FA0" w:rsidP="00884FA0">
            <w:pPr>
              <w:pStyle w:val="TableText"/>
              <w:spacing w:before="40" w:after="40"/>
              <w:jc w:val="right"/>
              <w:rPr>
                <w:rFonts w:eastAsia="Arial"/>
                <w:b/>
                <w:bCs/>
                <w:sz w:val="16"/>
                <w:szCs w:val="16"/>
              </w:rPr>
            </w:pPr>
          </w:p>
        </w:tc>
      </w:tr>
    </w:tbl>
    <w:p w14:paraId="7DD54D3B" w14:textId="77777777" w:rsidR="00457CAC" w:rsidRDefault="00457CAC" w:rsidP="00457CAC">
      <w:pPr>
        <w:pStyle w:val="Note"/>
        <w:rPr>
          <w:rFonts w:eastAsia="Lucida Sans Unicode"/>
        </w:rPr>
      </w:pPr>
      <w:r w:rsidRPr="004739B4">
        <w:rPr>
          <w:rFonts w:asciiTheme="minorHAnsi" w:eastAsia="Lucida Sans Unicode" w:hAnsiTheme="minorHAnsi" w:cstheme="minorHAnsi"/>
        </w:rPr>
        <w:t>Note</w:t>
      </w:r>
      <w:r>
        <w:rPr>
          <w:rFonts w:asciiTheme="minorHAnsi" w:eastAsia="Lucida Sans Unicode" w:hAnsiTheme="minorHAnsi" w:cstheme="minorHAnsi"/>
        </w:rPr>
        <w:t>s</w:t>
      </w:r>
      <w:r w:rsidRPr="004739B4">
        <w:rPr>
          <w:rFonts w:asciiTheme="minorHAnsi" w:eastAsia="Lucida Sans Unicode" w:hAnsiTheme="minorHAnsi" w:cstheme="minorHAnsi"/>
        </w:rPr>
        <w:t xml:space="preserve">: Proposed services are discussed later in this section. Budget </w:t>
      </w:r>
      <w:r>
        <w:rPr>
          <w:rFonts w:asciiTheme="minorHAnsi" w:eastAsia="Lucida Sans Unicode" w:hAnsiTheme="minorHAnsi" w:cstheme="minorHAnsi"/>
        </w:rPr>
        <w:t xml:space="preserve">sums </w:t>
      </w:r>
      <w:r w:rsidRPr="004739B4">
        <w:rPr>
          <w:rFonts w:asciiTheme="minorHAnsi" w:eastAsia="Lucida Sans Unicode" w:hAnsiTheme="minorHAnsi" w:cstheme="minorHAnsi"/>
        </w:rPr>
        <w:t xml:space="preserve">may not </w:t>
      </w:r>
      <w:r>
        <w:rPr>
          <w:rFonts w:asciiTheme="minorHAnsi" w:eastAsia="Lucida Sans Unicode" w:hAnsiTheme="minorHAnsi" w:cstheme="minorHAnsi"/>
        </w:rPr>
        <w:t>total</w:t>
      </w:r>
      <w:r w:rsidRPr="004739B4">
        <w:rPr>
          <w:rFonts w:asciiTheme="minorHAnsi" w:eastAsia="Lucida Sans Unicode" w:hAnsiTheme="minorHAnsi" w:cstheme="minorHAnsi"/>
        </w:rPr>
        <w:t xml:space="preserve"> due to rounding.</w:t>
      </w:r>
    </w:p>
    <w:p w14:paraId="6889BC0F" w14:textId="77777777" w:rsidR="009A42D5" w:rsidRPr="0043478F" w:rsidRDefault="009A42D5" w:rsidP="0008437D">
      <w:pPr>
        <w:ind w:left="-2268" w:right="-1701"/>
      </w:pPr>
    </w:p>
    <w:p w14:paraId="70535D76" w14:textId="77777777" w:rsidR="00457CAC" w:rsidRDefault="00457CAC" w:rsidP="00E30985">
      <w:pPr>
        <w:sectPr w:rsidR="00457CAC" w:rsidSect="00EC41FD">
          <w:headerReference w:type="even" r:id="rId35"/>
          <w:headerReference w:type="default" r:id="rId36"/>
          <w:footerReference w:type="even" r:id="rId37"/>
          <w:footerReference w:type="default" r:id="rId38"/>
          <w:pgSz w:w="16834" w:h="11907" w:orient="landscape" w:code="9"/>
          <w:pgMar w:top="1134" w:right="1701" w:bottom="1134" w:left="1701" w:header="284" w:footer="425" w:gutter="284"/>
          <w:cols w:space="720"/>
          <w:docGrid w:linePitch="286"/>
        </w:sectPr>
      </w:pPr>
    </w:p>
    <w:p w14:paraId="6C6F1E30" w14:textId="77777777" w:rsidR="00172194" w:rsidRPr="00172194" w:rsidRDefault="00172194" w:rsidP="00172194">
      <w:pPr>
        <w:pStyle w:val="Heading2"/>
        <w:spacing w:before="0"/>
      </w:pPr>
      <w:bookmarkStart w:id="52" w:name="_Toc173154251"/>
      <w:bookmarkStart w:id="53" w:name="_Toc173848532"/>
      <w:bookmarkStart w:id="54" w:name="_Toc1847759625"/>
      <w:bookmarkStart w:id="55" w:name="_Toc174634399"/>
      <w:r w:rsidRPr="00172194">
        <w:lastRenderedPageBreak/>
        <w:t>Research and evaluation</w:t>
      </w:r>
      <w:bookmarkEnd w:id="52"/>
      <w:bookmarkEnd w:id="53"/>
      <w:bookmarkEnd w:id="54"/>
      <w:bookmarkEnd w:id="55"/>
    </w:p>
    <w:p w14:paraId="13A594C1" w14:textId="0F906F04" w:rsidR="00172194" w:rsidRPr="00172194" w:rsidRDefault="00172194" w:rsidP="00172194">
      <w:pPr>
        <w:rPr>
          <w:rFonts w:eastAsia="Calibri"/>
        </w:rPr>
      </w:pPr>
      <w:r w:rsidRPr="004A2B05">
        <w:rPr>
          <w:rFonts w:eastAsia="Segoe UI" w:cstheme="minorHAnsi"/>
        </w:rPr>
        <w:t>Research funding is managed by the Ministry</w:t>
      </w:r>
      <w:r>
        <w:rPr>
          <w:rFonts w:eastAsia="Segoe UI" w:cstheme="minorHAnsi"/>
        </w:rPr>
        <w:t>,</w:t>
      </w:r>
      <w:r w:rsidRPr="004A2B05">
        <w:rPr>
          <w:rFonts w:eastAsia="Segoe UI" w:cstheme="minorHAnsi"/>
        </w:rPr>
        <w:t xml:space="preserve"> and s</w:t>
      </w:r>
      <w:r w:rsidRPr="004A2B05">
        <w:rPr>
          <w:rFonts w:cstheme="minorHAnsi"/>
        </w:rPr>
        <w:t>ervice evaluation is managed by Health New Zealand.</w:t>
      </w:r>
      <w:r>
        <w:rPr>
          <w:rFonts w:cstheme="minorHAnsi"/>
        </w:rPr>
        <w:t xml:space="preserve"> </w:t>
      </w:r>
      <w:r w:rsidRPr="67A699A4">
        <w:rPr>
          <w:rFonts w:eastAsia="Calibri"/>
        </w:rPr>
        <w:t xml:space="preserve">The Ministry has developed the following </w:t>
      </w:r>
      <w:r w:rsidRPr="007F05F9">
        <w:rPr>
          <w:rFonts w:eastAsia="Calibri"/>
        </w:rPr>
        <w:t>research and evaluation framework</w:t>
      </w:r>
      <w:r w:rsidRPr="67A699A4">
        <w:rPr>
          <w:rFonts w:eastAsia="Calibri"/>
        </w:rPr>
        <w:t xml:space="preserve"> to guide the planning of gambling harm research programme within and beyond the </w:t>
      </w:r>
      <w:r>
        <w:rPr>
          <w:rFonts w:eastAsia="Calibri"/>
        </w:rPr>
        <w:t>three</w:t>
      </w:r>
      <w:r w:rsidRPr="67A699A4">
        <w:rPr>
          <w:rFonts w:eastAsia="Calibri"/>
        </w:rPr>
        <w:t xml:space="preserve">-year strategy period. </w:t>
      </w:r>
    </w:p>
    <w:p w14:paraId="1E55EC5A" w14:textId="77777777" w:rsidR="00C517F1" w:rsidRDefault="00C517F1" w:rsidP="00172194">
      <w:pPr>
        <w:pStyle w:val="Table"/>
      </w:pPr>
      <w:bookmarkStart w:id="56" w:name="_Toc174634413"/>
    </w:p>
    <w:p w14:paraId="7E11CCBD" w14:textId="57979366" w:rsidR="00172194" w:rsidRDefault="00172194" w:rsidP="00172194">
      <w:pPr>
        <w:pStyle w:val="Table"/>
      </w:pPr>
      <w:r>
        <w:t xml:space="preserve">Table </w:t>
      </w:r>
      <w:r w:rsidR="00D46B4B">
        <w:fldChar w:fldCharType="begin"/>
      </w:r>
      <w:r w:rsidR="00D46B4B">
        <w:instrText xml:space="preserve"> SEQ Table \* ARABIC </w:instrText>
      </w:r>
      <w:r w:rsidR="00D46B4B">
        <w:fldChar w:fldCharType="separate"/>
      </w:r>
      <w:r w:rsidR="009D28D8">
        <w:rPr>
          <w:noProof/>
        </w:rPr>
        <w:t>2</w:t>
      </w:r>
      <w:r w:rsidR="00D46B4B">
        <w:rPr>
          <w:noProof/>
        </w:rPr>
        <w:fldChar w:fldCharType="end"/>
      </w:r>
      <w:r>
        <w:t xml:space="preserve">: </w:t>
      </w:r>
      <w:r w:rsidRPr="67A699A4">
        <w:rPr>
          <w:rFonts w:eastAsia="Calibri"/>
        </w:rPr>
        <w:t xml:space="preserve">Gambling harm research and evaluation </w:t>
      </w:r>
      <w:r w:rsidRPr="00035B37">
        <w:rPr>
          <w:rFonts w:eastAsia="Calibri"/>
        </w:rPr>
        <w:t>framework</w:t>
      </w:r>
      <w:bookmarkEnd w:id="56"/>
    </w:p>
    <w:tbl>
      <w:tblPr>
        <w:tblStyle w:val="TableGrid"/>
        <w:tblW w:w="8222"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413"/>
        <w:gridCol w:w="6809"/>
      </w:tblGrid>
      <w:tr w:rsidR="00172194" w:rsidRPr="00172194" w14:paraId="18756E22" w14:textId="77777777" w:rsidTr="00172194">
        <w:trPr>
          <w:trHeight w:val="300"/>
        </w:trPr>
        <w:tc>
          <w:tcPr>
            <w:tcW w:w="1413" w:type="dxa"/>
            <w:tcBorders>
              <w:top w:val="nil"/>
              <w:bottom w:val="nil"/>
            </w:tcBorders>
            <w:shd w:val="clear" w:color="auto" w:fill="D9D9D9" w:themeFill="background1" w:themeFillShade="D9"/>
            <w:tcMar>
              <w:left w:w="108" w:type="dxa"/>
              <w:right w:w="108" w:type="dxa"/>
            </w:tcMar>
          </w:tcPr>
          <w:p w14:paraId="0BE85B16" w14:textId="77777777" w:rsidR="00172194" w:rsidRPr="00172194" w:rsidRDefault="00172194" w:rsidP="00172194">
            <w:pPr>
              <w:pStyle w:val="TableText"/>
              <w:rPr>
                <w:b/>
                <w:bCs/>
              </w:rPr>
            </w:pPr>
            <w:r w:rsidRPr="00172194">
              <w:rPr>
                <w:rFonts w:eastAsia="Calibri"/>
                <w:b/>
                <w:bCs/>
              </w:rPr>
              <w:t>Functions</w:t>
            </w:r>
          </w:p>
        </w:tc>
        <w:tc>
          <w:tcPr>
            <w:tcW w:w="6809" w:type="dxa"/>
            <w:tcBorders>
              <w:top w:val="nil"/>
              <w:bottom w:val="nil"/>
            </w:tcBorders>
            <w:shd w:val="clear" w:color="auto" w:fill="D9D9D9" w:themeFill="background1" w:themeFillShade="D9"/>
            <w:tcMar>
              <w:left w:w="108" w:type="dxa"/>
              <w:right w:w="108" w:type="dxa"/>
            </w:tcMar>
          </w:tcPr>
          <w:p w14:paraId="6BFB082C" w14:textId="77777777" w:rsidR="00172194" w:rsidRPr="00172194" w:rsidRDefault="00172194" w:rsidP="00172194">
            <w:pPr>
              <w:pStyle w:val="TableText"/>
              <w:rPr>
                <w:b/>
                <w:bCs/>
              </w:rPr>
            </w:pPr>
            <w:r w:rsidRPr="00172194">
              <w:rPr>
                <w:rFonts w:eastAsia="Calibri"/>
                <w:b/>
                <w:bCs/>
              </w:rPr>
              <w:t>Description</w:t>
            </w:r>
          </w:p>
        </w:tc>
      </w:tr>
      <w:tr w:rsidR="00172194" w:rsidRPr="00172194" w14:paraId="45E38F9A" w14:textId="77777777" w:rsidTr="00172194">
        <w:trPr>
          <w:trHeight w:val="300"/>
        </w:trPr>
        <w:tc>
          <w:tcPr>
            <w:tcW w:w="1413" w:type="dxa"/>
            <w:tcBorders>
              <w:top w:val="nil"/>
            </w:tcBorders>
            <w:tcMar>
              <w:left w:w="108" w:type="dxa"/>
              <w:right w:w="108" w:type="dxa"/>
            </w:tcMar>
          </w:tcPr>
          <w:p w14:paraId="6C0EC26D" w14:textId="77777777" w:rsidR="00172194" w:rsidRPr="00172194" w:rsidRDefault="00172194" w:rsidP="00172194">
            <w:pPr>
              <w:pStyle w:val="TableText"/>
            </w:pPr>
            <w:r w:rsidRPr="00172194">
              <w:rPr>
                <w:rFonts w:eastAsia="Calibri"/>
              </w:rPr>
              <w:t>Monitoring of gambling harm</w:t>
            </w:r>
          </w:p>
        </w:tc>
        <w:tc>
          <w:tcPr>
            <w:tcW w:w="6809" w:type="dxa"/>
            <w:tcBorders>
              <w:top w:val="nil"/>
            </w:tcBorders>
            <w:tcMar>
              <w:left w:w="108" w:type="dxa"/>
              <w:right w:w="108" w:type="dxa"/>
            </w:tcMar>
          </w:tcPr>
          <w:p w14:paraId="0D45B2A8" w14:textId="77777777" w:rsidR="00172194" w:rsidRPr="00172194" w:rsidRDefault="00172194" w:rsidP="00172194">
            <w:pPr>
              <w:pStyle w:val="TableText"/>
            </w:pPr>
            <w:r w:rsidRPr="00172194">
              <w:rPr>
                <w:rFonts w:eastAsia="Calibri"/>
              </w:rPr>
              <w:t>Monitoring and analysis of gambling harm, risks, service use, and the changing environment through a range of studies, such as large-cohort longitudinal studies, surveys, and other intelligence gathering for up-to-date data and analysis on gambling harm in New Zealand.</w:t>
            </w:r>
          </w:p>
        </w:tc>
      </w:tr>
      <w:tr w:rsidR="00172194" w:rsidRPr="00172194" w14:paraId="193FCDEE" w14:textId="77777777" w:rsidTr="00172194">
        <w:trPr>
          <w:trHeight w:val="300"/>
        </w:trPr>
        <w:tc>
          <w:tcPr>
            <w:tcW w:w="1413" w:type="dxa"/>
            <w:tcMar>
              <w:left w:w="108" w:type="dxa"/>
              <w:right w:w="108" w:type="dxa"/>
            </w:tcMar>
          </w:tcPr>
          <w:p w14:paraId="4608E61B" w14:textId="77777777" w:rsidR="00172194" w:rsidRPr="00172194" w:rsidRDefault="00172194" w:rsidP="00172194">
            <w:pPr>
              <w:pStyle w:val="TableText"/>
            </w:pPr>
            <w:r w:rsidRPr="00172194">
              <w:rPr>
                <w:rFonts w:eastAsia="Calibri"/>
              </w:rPr>
              <w:t>Research to build base</w:t>
            </w:r>
          </w:p>
        </w:tc>
        <w:tc>
          <w:tcPr>
            <w:tcW w:w="6809" w:type="dxa"/>
            <w:tcMar>
              <w:left w:w="108" w:type="dxa"/>
              <w:right w:w="108" w:type="dxa"/>
            </w:tcMar>
          </w:tcPr>
          <w:p w14:paraId="5E706782" w14:textId="77777777" w:rsidR="00172194" w:rsidRPr="00172194" w:rsidRDefault="00172194" w:rsidP="00172194">
            <w:pPr>
              <w:pStyle w:val="TableText"/>
            </w:pPr>
            <w:r w:rsidRPr="00172194">
              <w:rPr>
                <w:rFonts w:eastAsia="Calibri"/>
              </w:rPr>
              <w:t>Research in areas where knowledge gaps exist, such as the impact of online gambling and eSport, alternative intervention and treatment options, and the use of administrative data to inform action and support gambling harm research capability in the sector.</w:t>
            </w:r>
          </w:p>
        </w:tc>
      </w:tr>
      <w:tr w:rsidR="00172194" w:rsidRPr="00172194" w14:paraId="1EA23972" w14:textId="77777777" w:rsidTr="00172194">
        <w:trPr>
          <w:trHeight w:val="300"/>
        </w:trPr>
        <w:tc>
          <w:tcPr>
            <w:tcW w:w="1413" w:type="dxa"/>
            <w:tcMar>
              <w:left w:w="108" w:type="dxa"/>
              <w:right w:w="108" w:type="dxa"/>
            </w:tcMar>
          </w:tcPr>
          <w:p w14:paraId="3FCBE5EC" w14:textId="77777777" w:rsidR="00172194" w:rsidRPr="00172194" w:rsidRDefault="00172194" w:rsidP="00172194">
            <w:pPr>
              <w:pStyle w:val="TableText"/>
            </w:pPr>
            <w:r w:rsidRPr="00172194">
              <w:rPr>
                <w:rFonts w:eastAsia="Calibri"/>
              </w:rPr>
              <w:t>Evaluation to understand what works</w:t>
            </w:r>
          </w:p>
        </w:tc>
        <w:tc>
          <w:tcPr>
            <w:tcW w:w="6809" w:type="dxa"/>
            <w:tcMar>
              <w:left w:w="108" w:type="dxa"/>
              <w:right w:w="108" w:type="dxa"/>
            </w:tcMar>
          </w:tcPr>
          <w:p w14:paraId="0C406CFF" w14:textId="77777777" w:rsidR="00172194" w:rsidRPr="00172194" w:rsidRDefault="00172194" w:rsidP="00172194">
            <w:pPr>
              <w:pStyle w:val="TableText"/>
            </w:pPr>
            <w:r w:rsidRPr="00172194">
              <w:rPr>
                <w:rFonts w:eastAsia="Calibri"/>
              </w:rPr>
              <w:t>Evaluation to understand what works to prevent harm and minimise impacts on individuals, society and sub-population groups, including at the system level (</w:t>
            </w:r>
            <w:proofErr w:type="spellStart"/>
            <w:r w:rsidRPr="00172194">
              <w:rPr>
                <w:rFonts w:eastAsia="Calibri"/>
              </w:rPr>
              <w:t>eg</w:t>
            </w:r>
            <w:proofErr w:type="spellEnd"/>
            <w:r w:rsidRPr="00172194">
              <w:rPr>
                <w:rFonts w:eastAsia="Calibri"/>
              </w:rPr>
              <w:t>, strategies and policies), operational level (</w:t>
            </w:r>
            <w:proofErr w:type="spellStart"/>
            <w:r w:rsidRPr="00172194">
              <w:rPr>
                <w:rFonts w:eastAsia="Calibri"/>
              </w:rPr>
              <w:t>eg</w:t>
            </w:r>
            <w:proofErr w:type="spellEnd"/>
            <w:r w:rsidRPr="00172194">
              <w:rPr>
                <w:rFonts w:eastAsia="Calibri"/>
              </w:rPr>
              <w:t>, services and initiatives), and of other influencing factors (</w:t>
            </w:r>
            <w:proofErr w:type="spellStart"/>
            <w:r w:rsidRPr="00172194">
              <w:rPr>
                <w:rFonts w:eastAsia="Calibri"/>
              </w:rPr>
              <w:t>eg</w:t>
            </w:r>
            <w:proofErr w:type="spellEnd"/>
            <w:r w:rsidRPr="00172194">
              <w:rPr>
                <w:rFonts w:eastAsia="Calibri"/>
              </w:rPr>
              <w:t>, culture).</w:t>
            </w:r>
          </w:p>
        </w:tc>
      </w:tr>
      <w:tr w:rsidR="00172194" w:rsidRPr="00172194" w14:paraId="35EE767B" w14:textId="77777777" w:rsidTr="00172194">
        <w:trPr>
          <w:trHeight w:val="300"/>
        </w:trPr>
        <w:tc>
          <w:tcPr>
            <w:tcW w:w="1413" w:type="dxa"/>
            <w:tcMar>
              <w:left w:w="108" w:type="dxa"/>
              <w:right w:w="108" w:type="dxa"/>
            </w:tcMar>
          </w:tcPr>
          <w:p w14:paraId="508296D7" w14:textId="77777777" w:rsidR="00172194" w:rsidRPr="00172194" w:rsidRDefault="00172194" w:rsidP="00172194">
            <w:pPr>
              <w:pStyle w:val="TableText"/>
            </w:pPr>
            <w:r w:rsidRPr="00172194">
              <w:rPr>
                <w:rFonts w:eastAsia="Calibri"/>
              </w:rPr>
              <w:t>Dissemination of research</w:t>
            </w:r>
          </w:p>
        </w:tc>
        <w:tc>
          <w:tcPr>
            <w:tcW w:w="6809" w:type="dxa"/>
            <w:tcMar>
              <w:left w:w="108" w:type="dxa"/>
              <w:right w:w="108" w:type="dxa"/>
            </w:tcMar>
          </w:tcPr>
          <w:p w14:paraId="3CE19A6F" w14:textId="77777777" w:rsidR="00172194" w:rsidRPr="00172194" w:rsidRDefault="00172194" w:rsidP="00172194">
            <w:pPr>
              <w:pStyle w:val="TableText"/>
            </w:pPr>
            <w:r w:rsidRPr="00172194">
              <w:rPr>
                <w:rFonts w:eastAsia="Calibri"/>
              </w:rPr>
              <w:t>Dissemination of commissioned gambling harm research findings through a range of easy-access websites and tools, such as a centralised online platform, evidence briefs, and presentations to</w:t>
            </w:r>
            <w:r w:rsidRPr="00172194">
              <w:t xml:space="preserve"> </w:t>
            </w:r>
            <w:r w:rsidRPr="00172194">
              <w:rPr>
                <w:rFonts w:eastAsia="Calibri"/>
              </w:rPr>
              <w:t>enhance the use of evidence in policy, service delivery, and action.</w:t>
            </w:r>
          </w:p>
        </w:tc>
      </w:tr>
    </w:tbl>
    <w:p w14:paraId="7D917EB6" w14:textId="77777777" w:rsidR="00172194" w:rsidRDefault="00172194" w:rsidP="00172194">
      <w:pPr>
        <w:rPr>
          <w:rFonts w:eastAsia="Calibri"/>
        </w:rPr>
      </w:pPr>
    </w:p>
    <w:p w14:paraId="3CC8790C" w14:textId="5BA2CC9C" w:rsidR="00172194" w:rsidRPr="00172194" w:rsidRDefault="00172194" w:rsidP="00172194">
      <w:pPr>
        <w:rPr>
          <w:rFonts w:eastAsia="Calibri"/>
        </w:rPr>
      </w:pPr>
      <w:r>
        <w:rPr>
          <w:rFonts w:eastAsia="Calibri"/>
        </w:rPr>
        <w:t xml:space="preserve">A key priority of the research programme for the forthcoming three years will be an independent evaluation of the approach to preventing and minimising harm in New Zealand. Further detail about research and evaluation priorities is set out </w:t>
      </w:r>
      <w:r w:rsidRPr="0080766A">
        <w:rPr>
          <w:rFonts w:eastAsia="Calibri"/>
        </w:rPr>
        <w:t xml:space="preserve">in </w:t>
      </w:r>
      <w:r w:rsidRPr="007F67E8">
        <w:rPr>
          <w:rFonts w:eastAsia="Calibri"/>
          <w:b/>
          <w:bCs/>
        </w:rPr>
        <w:t>Appendix Five</w:t>
      </w:r>
      <w:r w:rsidRPr="0080766A">
        <w:rPr>
          <w:rFonts w:eastAsia="Calibri"/>
        </w:rPr>
        <w:t xml:space="preserve"> </w:t>
      </w:r>
      <w:r>
        <w:rPr>
          <w:rFonts w:eastAsia="Calibri"/>
        </w:rPr>
        <w:t>in</w:t>
      </w:r>
      <w:r w:rsidRPr="0080766A">
        <w:rPr>
          <w:rFonts w:eastAsia="Calibri"/>
        </w:rPr>
        <w:t xml:space="preserve"> the </w:t>
      </w:r>
      <w:r>
        <w:rPr>
          <w:rFonts w:eastAsia="Calibri"/>
        </w:rPr>
        <w:t>A</w:t>
      </w:r>
      <w:r w:rsidRPr="0080766A">
        <w:rPr>
          <w:rFonts w:eastAsia="Calibri"/>
        </w:rPr>
        <w:t>ppendices document</w:t>
      </w:r>
      <w:r w:rsidRPr="00172194">
        <w:rPr>
          <w:rFonts w:eastAsia="Calibri"/>
        </w:rPr>
        <w:t>.</w:t>
      </w:r>
    </w:p>
    <w:p w14:paraId="2FD5B2B4" w14:textId="77777777" w:rsidR="00C517F1" w:rsidRDefault="00C517F1" w:rsidP="00172194">
      <w:pPr>
        <w:pStyle w:val="Table"/>
      </w:pPr>
      <w:bookmarkStart w:id="57" w:name="_Toc174634414"/>
    </w:p>
    <w:p w14:paraId="093BF7B8" w14:textId="1DA829BB" w:rsidR="00172194" w:rsidRPr="004A2B05" w:rsidRDefault="00172194" w:rsidP="00172194">
      <w:pPr>
        <w:pStyle w:val="Table"/>
      </w:pPr>
      <w:r>
        <w:t xml:space="preserve">Table </w:t>
      </w:r>
      <w:r w:rsidR="00D46B4B">
        <w:fldChar w:fldCharType="begin"/>
      </w:r>
      <w:r w:rsidR="00D46B4B">
        <w:instrText xml:space="preserve"> SEQ Table \* ARABIC </w:instrText>
      </w:r>
      <w:r w:rsidR="00D46B4B">
        <w:fldChar w:fldCharType="separate"/>
      </w:r>
      <w:r w:rsidR="009D28D8">
        <w:rPr>
          <w:noProof/>
        </w:rPr>
        <w:t>3</w:t>
      </w:r>
      <w:r w:rsidR="00D46B4B">
        <w:rPr>
          <w:noProof/>
        </w:rPr>
        <w:fldChar w:fldCharType="end"/>
      </w:r>
      <w:r>
        <w:t xml:space="preserve">: </w:t>
      </w:r>
      <w:r w:rsidRPr="004A2B05">
        <w:rPr>
          <w:rFonts w:eastAsia="Segoe UI"/>
        </w:rPr>
        <w:t>Research and evaluation budget</w:t>
      </w:r>
      <w:r>
        <w:rPr>
          <w:rFonts w:eastAsia="Segoe UI"/>
        </w:rPr>
        <w:t xml:space="preserve"> in millions</w:t>
      </w:r>
      <w:r w:rsidRPr="004A2B05">
        <w:rPr>
          <w:rFonts w:eastAsia="Segoe UI"/>
        </w:rPr>
        <w:t xml:space="preserve"> (GST-exclusive), 2025/26 to 2027/28</w:t>
      </w:r>
      <w:bookmarkEnd w:id="57"/>
    </w:p>
    <w:tbl>
      <w:tblPr>
        <w:tblW w:w="8222" w:type="dxa"/>
        <w:tblLayout w:type="fixed"/>
        <w:tblLook w:val="06A0" w:firstRow="1" w:lastRow="0" w:firstColumn="1" w:lastColumn="0" w:noHBand="1" w:noVBand="1"/>
      </w:tblPr>
      <w:tblGrid>
        <w:gridCol w:w="3458"/>
        <w:gridCol w:w="1282"/>
        <w:gridCol w:w="1282"/>
        <w:gridCol w:w="1282"/>
        <w:gridCol w:w="918"/>
      </w:tblGrid>
      <w:tr w:rsidR="00172194" w:rsidRPr="00172194" w14:paraId="78D32065" w14:textId="77777777" w:rsidTr="00172194">
        <w:trPr>
          <w:trHeight w:val="340"/>
        </w:trPr>
        <w:tc>
          <w:tcPr>
            <w:tcW w:w="3458" w:type="dxa"/>
            <w:shd w:val="clear" w:color="auto" w:fill="D9D9D9" w:themeFill="background1" w:themeFillShade="D9"/>
            <w:tcMar>
              <w:top w:w="15" w:type="dxa"/>
              <w:left w:w="15" w:type="dxa"/>
              <w:right w:w="15" w:type="dxa"/>
            </w:tcMar>
            <w:vAlign w:val="center"/>
          </w:tcPr>
          <w:p w14:paraId="5C9AF8ED" w14:textId="77777777" w:rsidR="00172194" w:rsidRPr="00172194" w:rsidRDefault="00172194" w:rsidP="00172194">
            <w:pPr>
              <w:pStyle w:val="TableText"/>
              <w:spacing w:line="264" w:lineRule="auto"/>
              <w:rPr>
                <w:rFonts w:eastAsia="Calibri"/>
                <w:b/>
                <w:bCs/>
              </w:rPr>
            </w:pPr>
            <w:r w:rsidRPr="00172194">
              <w:rPr>
                <w:rFonts w:eastAsia="Calibri"/>
                <w:b/>
                <w:bCs/>
              </w:rPr>
              <w:t>Service area</w:t>
            </w:r>
          </w:p>
        </w:tc>
        <w:tc>
          <w:tcPr>
            <w:tcW w:w="1282" w:type="dxa"/>
            <w:shd w:val="clear" w:color="auto" w:fill="D9D9D9" w:themeFill="background1" w:themeFillShade="D9"/>
            <w:tcMar>
              <w:top w:w="15" w:type="dxa"/>
              <w:left w:w="15" w:type="dxa"/>
              <w:right w:w="15" w:type="dxa"/>
            </w:tcMar>
            <w:vAlign w:val="center"/>
          </w:tcPr>
          <w:p w14:paraId="404C86F2" w14:textId="77777777" w:rsidR="00172194" w:rsidRPr="00172194" w:rsidRDefault="00172194" w:rsidP="00172194">
            <w:pPr>
              <w:pStyle w:val="TableText"/>
              <w:spacing w:line="264" w:lineRule="auto"/>
              <w:ind w:left="57" w:right="57"/>
              <w:jc w:val="right"/>
              <w:rPr>
                <w:rFonts w:eastAsia="Calibri"/>
                <w:b/>
                <w:bCs/>
              </w:rPr>
            </w:pPr>
            <w:r w:rsidRPr="00172194">
              <w:rPr>
                <w:rFonts w:eastAsia="Calibri"/>
                <w:b/>
                <w:bCs/>
              </w:rPr>
              <w:t>2025/26</w:t>
            </w:r>
          </w:p>
        </w:tc>
        <w:tc>
          <w:tcPr>
            <w:tcW w:w="1282" w:type="dxa"/>
            <w:shd w:val="clear" w:color="auto" w:fill="D9D9D9" w:themeFill="background1" w:themeFillShade="D9"/>
            <w:tcMar>
              <w:top w:w="15" w:type="dxa"/>
              <w:left w:w="15" w:type="dxa"/>
              <w:right w:w="15" w:type="dxa"/>
            </w:tcMar>
            <w:vAlign w:val="center"/>
          </w:tcPr>
          <w:p w14:paraId="52E1CC80" w14:textId="77777777" w:rsidR="00172194" w:rsidRPr="00172194" w:rsidRDefault="00172194" w:rsidP="00172194">
            <w:pPr>
              <w:pStyle w:val="TableText"/>
              <w:spacing w:line="264" w:lineRule="auto"/>
              <w:ind w:left="57" w:right="57"/>
              <w:jc w:val="right"/>
              <w:rPr>
                <w:rFonts w:eastAsia="Calibri"/>
                <w:b/>
                <w:bCs/>
              </w:rPr>
            </w:pPr>
            <w:r w:rsidRPr="00172194">
              <w:rPr>
                <w:rFonts w:eastAsia="Calibri"/>
                <w:b/>
                <w:bCs/>
              </w:rPr>
              <w:t>2026/27</w:t>
            </w:r>
          </w:p>
        </w:tc>
        <w:tc>
          <w:tcPr>
            <w:tcW w:w="1282" w:type="dxa"/>
            <w:shd w:val="clear" w:color="auto" w:fill="D9D9D9" w:themeFill="background1" w:themeFillShade="D9"/>
            <w:tcMar>
              <w:top w:w="15" w:type="dxa"/>
              <w:left w:w="15" w:type="dxa"/>
              <w:right w:w="15" w:type="dxa"/>
            </w:tcMar>
            <w:vAlign w:val="center"/>
          </w:tcPr>
          <w:p w14:paraId="3B6F3B7E" w14:textId="77777777" w:rsidR="00172194" w:rsidRPr="00172194" w:rsidRDefault="00172194" w:rsidP="00172194">
            <w:pPr>
              <w:pStyle w:val="TableText"/>
              <w:spacing w:line="264" w:lineRule="auto"/>
              <w:ind w:left="57" w:right="57"/>
              <w:jc w:val="right"/>
              <w:rPr>
                <w:rFonts w:eastAsia="Calibri"/>
                <w:b/>
                <w:bCs/>
              </w:rPr>
            </w:pPr>
            <w:r w:rsidRPr="00172194">
              <w:rPr>
                <w:rFonts w:eastAsia="Calibri"/>
                <w:b/>
                <w:bCs/>
              </w:rPr>
              <w:t>2027/28</w:t>
            </w:r>
          </w:p>
        </w:tc>
        <w:tc>
          <w:tcPr>
            <w:tcW w:w="918" w:type="dxa"/>
            <w:shd w:val="clear" w:color="auto" w:fill="D9D9D9" w:themeFill="background1" w:themeFillShade="D9"/>
            <w:tcMar>
              <w:top w:w="15" w:type="dxa"/>
              <w:left w:w="15" w:type="dxa"/>
              <w:right w:w="15" w:type="dxa"/>
            </w:tcMar>
            <w:vAlign w:val="center"/>
          </w:tcPr>
          <w:p w14:paraId="354A2751" w14:textId="77777777" w:rsidR="00172194" w:rsidRPr="00172194" w:rsidRDefault="00172194" w:rsidP="00172194">
            <w:pPr>
              <w:pStyle w:val="TableText"/>
              <w:spacing w:line="264" w:lineRule="auto"/>
              <w:ind w:left="57" w:right="57"/>
              <w:jc w:val="right"/>
              <w:rPr>
                <w:rFonts w:eastAsia="Calibri"/>
                <w:b/>
                <w:bCs/>
              </w:rPr>
            </w:pPr>
            <w:r w:rsidRPr="00172194">
              <w:rPr>
                <w:rFonts w:eastAsia="Calibri"/>
                <w:b/>
                <w:bCs/>
              </w:rPr>
              <w:t>Total</w:t>
            </w:r>
          </w:p>
        </w:tc>
      </w:tr>
      <w:tr w:rsidR="00172194" w:rsidRPr="00172194" w14:paraId="2F9B3E30" w14:textId="77777777" w:rsidTr="00172194">
        <w:trPr>
          <w:trHeight w:val="340"/>
        </w:trPr>
        <w:tc>
          <w:tcPr>
            <w:tcW w:w="3458" w:type="dxa"/>
            <w:tcBorders>
              <w:bottom w:val="single" w:sz="4" w:space="0" w:color="A6A6A6" w:themeColor="background1" w:themeShade="A6"/>
            </w:tcBorders>
            <w:tcMar>
              <w:top w:w="15" w:type="dxa"/>
              <w:left w:w="15" w:type="dxa"/>
              <w:right w:w="15" w:type="dxa"/>
            </w:tcMar>
          </w:tcPr>
          <w:p w14:paraId="568EB7F4" w14:textId="77777777" w:rsidR="00172194" w:rsidRPr="00172194" w:rsidRDefault="00172194" w:rsidP="00172194">
            <w:pPr>
              <w:pStyle w:val="TableText"/>
              <w:spacing w:line="264" w:lineRule="auto"/>
              <w:rPr>
                <w:rFonts w:eastAsia="Calibri"/>
              </w:rPr>
            </w:pPr>
            <w:r w:rsidRPr="00172194">
              <w:rPr>
                <w:rFonts w:eastAsia="Calibri"/>
              </w:rPr>
              <w:t>Research</w:t>
            </w:r>
          </w:p>
        </w:tc>
        <w:tc>
          <w:tcPr>
            <w:tcW w:w="1282" w:type="dxa"/>
            <w:tcBorders>
              <w:bottom w:val="single" w:sz="4" w:space="0" w:color="A6A6A6" w:themeColor="background1" w:themeShade="A6"/>
            </w:tcBorders>
            <w:tcMar>
              <w:top w:w="15" w:type="dxa"/>
              <w:left w:w="15" w:type="dxa"/>
              <w:right w:w="15" w:type="dxa"/>
            </w:tcMar>
            <w:vAlign w:val="center"/>
          </w:tcPr>
          <w:p w14:paraId="3C33EFD2" w14:textId="77777777" w:rsidR="00172194" w:rsidRPr="00172194" w:rsidRDefault="00172194" w:rsidP="00172194">
            <w:pPr>
              <w:pStyle w:val="TableText"/>
              <w:spacing w:line="264" w:lineRule="auto"/>
              <w:ind w:right="57"/>
              <w:jc w:val="right"/>
              <w:rPr>
                <w:rFonts w:eastAsia="Calibri"/>
              </w:rPr>
            </w:pPr>
            <w:r w:rsidRPr="00172194">
              <w:rPr>
                <w:rFonts w:eastAsia="Calibri"/>
              </w:rPr>
              <w:t>2.000</w:t>
            </w:r>
          </w:p>
        </w:tc>
        <w:tc>
          <w:tcPr>
            <w:tcW w:w="1282" w:type="dxa"/>
            <w:tcBorders>
              <w:bottom w:val="single" w:sz="4" w:space="0" w:color="A6A6A6" w:themeColor="background1" w:themeShade="A6"/>
            </w:tcBorders>
            <w:tcMar>
              <w:top w:w="15" w:type="dxa"/>
              <w:left w:w="15" w:type="dxa"/>
              <w:right w:w="15" w:type="dxa"/>
            </w:tcMar>
            <w:vAlign w:val="center"/>
          </w:tcPr>
          <w:p w14:paraId="2F841F83" w14:textId="77777777" w:rsidR="00172194" w:rsidRPr="00172194" w:rsidRDefault="00172194" w:rsidP="00172194">
            <w:pPr>
              <w:pStyle w:val="TableText"/>
              <w:spacing w:line="264" w:lineRule="auto"/>
              <w:ind w:right="57"/>
              <w:jc w:val="right"/>
              <w:rPr>
                <w:rFonts w:eastAsia="Calibri"/>
              </w:rPr>
            </w:pPr>
            <w:r w:rsidRPr="00172194">
              <w:rPr>
                <w:rFonts w:eastAsia="Calibri"/>
              </w:rPr>
              <w:t>1.500</w:t>
            </w:r>
          </w:p>
        </w:tc>
        <w:tc>
          <w:tcPr>
            <w:tcW w:w="1282" w:type="dxa"/>
            <w:tcBorders>
              <w:bottom w:val="single" w:sz="4" w:space="0" w:color="A6A6A6" w:themeColor="background1" w:themeShade="A6"/>
            </w:tcBorders>
            <w:tcMar>
              <w:top w:w="15" w:type="dxa"/>
              <w:left w:w="15" w:type="dxa"/>
              <w:right w:w="15" w:type="dxa"/>
            </w:tcMar>
            <w:vAlign w:val="center"/>
          </w:tcPr>
          <w:p w14:paraId="7AB99E5B" w14:textId="77777777" w:rsidR="00172194" w:rsidRPr="00172194" w:rsidRDefault="00172194" w:rsidP="00172194">
            <w:pPr>
              <w:pStyle w:val="TableText"/>
              <w:spacing w:line="264" w:lineRule="auto"/>
              <w:ind w:right="57"/>
              <w:jc w:val="right"/>
              <w:rPr>
                <w:rFonts w:eastAsia="Calibri"/>
              </w:rPr>
            </w:pPr>
            <w:r w:rsidRPr="00172194">
              <w:rPr>
                <w:rFonts w:eastAsia="Calibri"/>
              </w:rPr>
              <w:t>0.500</w:t>
            </w:r>
          </w:p>
        </w:tc>
        <w:tc>
          <w:tcPr>
            <w:tcW w:w="918" w:type="dxa"/>
            <w:tcBorders>
              <w:bottom w:val="single" w:sz="4" w:space="0" w:color="A6A6A6" w:themeColor="background1" w:themeShade="A6"/>
            </w:tcBorders>
            <w:tcMar>
              <w:top w:w="15" w:type="dxa"/>
              <w:left w:w="15" w:type="dxa"/>
              <w:right w:w="15" w:type="dxa"/>
            </w:tcMar>
            <w:vAlign w:val="center"/>
          </w:tcPr>
          <w:p w14:paraId="3DFD0AFC" w14:textId="77777777" w:rsidR="00172194" w:rsidRPr="00172194" w:rsidRDefault="00172194" w:rsidP="00172194">
            <w:pPr>
              <w:pStyle w:val="TableText"/>
              <w:spacing w:line="264" w:lineRule="auto"/>
              <w:ind w:right="57"/>
              <w:jc w:val="right"/>
              <w:rPr>
                <w:rFonts w:eastAsia="Calibri"/>
              </w:rPr>
            </w:pPr>
            <w:r w:rsidRPr="00172194">
              <w:rPr>
                <w:rFonts w:eastAsia="Calibri"/>
              </w:rPr>
              <w:t>4.000</w:t>
            </w:r>
          </w:p>
        </w:tc>
      </w:tr>
      <w:tr w:rsidR="00172194" w:rsidRPr="00172194" w14:paraId="19EBF6B9" w14:textId="77777777" w:rsidTr="00172194">
        <w:trPr>
          <w:trHeight w:val="340"/>
        </w:trPr>
        <w:tc>
          <w:tcPr>
            <w:tcW w:w="3458" w:type="dxa"/>
            <w:tcBorders>
              <w:top w:val="single" w:sz="4" w:space="0" w:color="A6A6A6" w:themeColor="background1" w:themeShade="A6"/>
              <w:bottom w:val="single" w:sz="4" w:space="0" w:color="A6A6A6" w:themeColor="background1" w:themeShade="A6"/>
            </w:tcBorders>
            <w:tcMar>
              <w:top w:w="15" w:type="dxa"/>
              <w:left w:w="15" w:type="dxa"/>
              <w:right w:w="15" w:type="dxa"/>
            </w:tcMar>
          </w:tcPr>
          <w:p w14:paraId="71AD8CB4" w14:textId="77777777" w:rsidR="00172194" w:rsidRPr="00172194" w:rsidRDefault="00172194" w:rsidP="00172194">
            <w:pPr>
              <w:pStyle w:val="TableText"/>
              <w:spacing w:line="264" w:lineRule="auto"/>
              <w:rPr>
                <w:rFonts w:eastAsia="Calibri"/>
              </w:rPr>
            </w:pPr>
            <w:r w:rsidRPr="00172194">
              <w:rPr>
                <w:rFonts w:eastAsia="Calibri"/>
              </w:rPr>
              <w:t>Evaluation</w:t>
            </w:r>
          </w:p>
        </w:tc>
        <w:tc>
          <w:tcPr>
            <w:tcW w:w="1282" w:type="dxa"/>
            <w:tcBorders>
              <w:top w:val="single" w:sz="4" w:space="0" w:color="A6A6A6" w:themeColor="background1" w:themeShade="A6"/>
              <w:bottom w:val="single" w:sz="4" w:space="0" w:color="A6A6A6" w:themeColor="background1" w:themeShade="A6"/>
            </w:tcBorders>
            <w:shd w:val="clear" w:color="auto" w:fill="auto"/>
            <w:tcMar>
              <w:top w:w="15" w:type="dxa"/>
              <w:left w:w="15" w:type="dxa"/>
              <w:right w:w="15" w:type="dxa"/>
            </w:tcMar>
            <w:vAlign w:val="center"/>
          </w:tcPr>
          <w:p w14:paraId="29FBCA5B" w14:textId="77777777" w:rsidR="00172194" w:rsidRPr="00172194" w:rsidRDefault="00172194" w:rsidP="00172194">
            <w:pPr>
              <w:pStyle w:val="TableText"/>
              <w:spacing w:line="264" w:lineRule="auto"/>
              <w:ind w:right="57"/>
              <w:jc w:val="right"/>
              <w:rPr>
                <w:rFonts w:eastAsia="Calibri"/>
              </w:rPr>
            </w:pPr>
            <w:r w:rsidRPr="00172194">
              <w:rPr>
                <w:rFonts w:eastAsia="Calibri"/>
              </w:rPr>
              <w:t>0.075</w:t>
            </w:r>
          </w:p>
        </w:tc>
        <w:tc>
          <w:tcPr>
            <w:tcW w:w="1282" w:type="dxa"/>
            <w:tcBorders>
              <w:top w:val="single" w:sz="4" w:space="0" w:color="A6A6A6" w:themeColor="background1" w:themeShade="A6"/>
              <w:bottom w:val="single" w:sz="4" w:space="0" w:color="A6A6A6" w:themeColor="background1" w:themeShade="A6"/>
            </w:tcBorders>
            <w:shd w:val="clear" w:color="auto" w:fill="auto"/>
            <w:tcMar>
              <w:top w:w="15" w:type="dxa"/>
              <w:left w:w="15" w:type="dxa"/>
              <w:right w:w="15" w:type="dxa"/>
            </w:tcMar>
            <w:vAlign w:val="center"/>
          </w:tcPr>
          <w:p w14:paraId="3B8ECD5D" w14:textId="77777777" w:rsidR="00172194" w:rsidRPr="00172194" w:rsidRDefault="00172194" w:rsidP="00172194">
            <w:pPr>
              <w:pStyle w:val="TableText"/>
              <w:spacing w:line="264" w:lineRule="auto"/>
              <w:ind w:right="57"/>
              <w:jc w:val="right"/>
              <w:rPr>
                <w:rFonts w:eastAsia="Calibri"/>
              </w:rPr>
            </w:pPr>
            <w:r w:rsidRPr="00172194">
              <w:rPr>
                <w:rFonts w:eastAsia="Calibri"/>
              </w:rPr>
              <w:t>0.451</w:t>
            </w:r>
          </w:p>
        </w:tc>
        <w:tc>
          <w:tcPr>
            <w:tcW w:w="1282" w:type="dxa"/>
            <w:tcBorders>
              <w:top w:val="single" w:sz="4" w:space="0" w:color="A6A6A6" w:themeColor="background1" w:themeShade="A6"/>
              <w:bottom w:val="single" w:sz="4" w:space="0" w:color="A6A6A6" w:themeColor="background1" w:themeShade="A6"/>
            </w:tcBorders>
            <w:shd w:val="clear" w:color="auto" w:fill="auto"/>
            <w:tcMar>
              <w:top w:w="15" w:type="dxa"/>
              <w:left w:w="15" w:type="dxa"/>
              <w:right w:w="15" w:type="dxa"/>
            </w:tcMar>
            <w:vAlign w:val="center"/>
          </w:tcPr>
          <w:p w14:paraId="70694D7C" w14:textId="77777777" w:rsidR="00172194" w:rsidRPr="00172194" w:rsidRDefault="00172194" w:rsidP="00172194">
            <w:pPr>
              <w:pStyle w:val="TableText"/>
              <w:spacing w:line="264" w:lineRule="auto"/>
              <w:ind w:right="57"/>
              <w:jc w:val="right"/>
              <w:rPr>
                <w:rFonts w:eastAsia="Calibri"/>
              </w:rPr>
            </w:pPr>
            <w:r w:rsidRPr="00172194">
              <w:rPr>
                <w:rFonts w:eastAsia="Calibri"/>
              </w:rPr>
              <w:t>0.473</w:t>
            </w:r>
          </w:p>
        </w:tc>
        <w:tc>
          <w:tcPr>
            <w:tcW w:w="918" w:type="dxa"/>
            <w:tcBorders>
              <w:top w:val="single" w:sz="4" w:space="0" w:color="A6A6A6" w:themeColor="background1" w:themeShade="A6"/>
              <w:bottom w:val="single" w:sz="4" w:space="0" w:color="A6A6A6" w:themeColor="background1" w:themeShade="A6"/>
            </w:tcBorders>
            <w:tcMar>
              <w:top w:w="15" w:type="dxa"/>
              <w:left w:w="15" w:type="dxa"/>
              <w:right w:w="15" w:type="dxa"/>
            </w:tcMar>
            <w:vAlign w:val="center"/>
          </w:tcPr>
          <w:p w14:paraId="12CE930C" w14:textId="77777777" w:rsidR="00172194" w:rsidRPr="00172194" w:rsidRDefault="00172194" w:rsidP="00172194">
            <w:pPr>
              <w:pStyle w:val="TableText"/>
              <w:spacing w:line="264" w:lineRule="auto"/>
              <w:ind w:right="57"/>
              <w:jc w:val="right"/>
              <w:rPr>
                <w:rFonts w:eastAsia="Calibri"/>
              </w:rPr>
            </w:pPr>
            <w:r w:rsidRPr="00172194">
              <w:rPr>
                <w:rFonts w:eastAsia="Calibri"/>
              </w:rPr>
              <w:t>0.999</w:t>
            </w:r>
          </w:p>
        </w:tc>
      </w:tr>
      <w:tr w:rsidR="00172194" w:rsidRPr="00172194" w14:paraId="41C793E4" w14:textId="77777777" w:rsidTr="00172194">
        <w:trPr>
          <w:trHeight w:val="340"/>
        </w:trPr>
        <w:tc>
          <w:tcPr>
            <w:tcW w:w="3458" w:type="dxa"/>
            <w:tcBorders>
              <w:top w:val="single" w:sz="4" w:space="0" w:color="A6A6A6" w:themeColor="background1" w:themeShade="A6"/>
              <w:bottom w:val="single" w:sz="4" w:space="0" w:color="A6A6A6" w:themeColor="background1" w:themeShade="A6"/>
            </w:tcBorders>
            <w:tcMar>
              <w:top w:w="15" w:type="dxa"/>
              <w:left w:w="15" w:type="dxa"/>
              <w:right w:w="15" w:type="dxa"/>
            </w:tcMar>
          </w:tcPr>
          <w:p w14:paraId="0C64D600" w14:textId="77777777" w:rsidR="00172194" w:rsidRPr="00172194" w:rsidRDefault="00172194" w:rsidP="00172194">
            <w:pPr>
              <w:pStyle w:val="TableText"/>
              <w:spacing w:line="264" w:lineRule="auto"/>
              <w:rPr>
                <w:rFonts w:eastAsia="Calibri"/>
              </w:rPr>
            </w:pPr>
            <w:r w:rsidRPr="00172194">
              <w:rPr>
                <w:rFonts w:eastAsia="Calibri"/>
              </w:rPr>
              <w:t>Total</w:t>
            </w:r>
          </w:p>
        </w:tc>
        <w:tc>
          <w:tcPr>
            <w:tcW w:w="1282" w:type="dxa"/>
            <w:tcBorders>
              <w:top w:val="single" w:sz="4" w:space="0" w:color="A6A6A6" w:themeColor="background1" w:themeShade="A6"/>
              <w:bottom w:val="single" w:sz="4" w:space="0" w:color="A6A6A6" w:themeColor="background1" w:themeShade="A6"/>
            </w:tcBorders>
            <w:tcMar>
              <w:top w:w="15" w:type="dxa"/>
              <w:left w:w="15" w:type="dxa"/>
              <w:right w:w="15" w:type="dxa"/>
            </w:tcMar>
            <w:vAlign w:val="center"/>
          </w:tcPr>
          <w:p w14:paraId="137279B9" w14:textId="77777777" w:rsidR="00172194" w:rsidRPr="00172194" w:rsidRDefault="00172194" w:rsidP="00172194">
            <w:pPr>
              <w:pStyle w:val="TableText"/>
              <w:spacing w:line="264" w:lineRule="auto"/>
              <w:ind w:right="57"/>
              <w:jc w:val="right"/>
              <w:rPr>
                <w:rFonts w:eastAsia="Calibri"/>
              </w:rPr>
            </w:pPr>
            <w:r w:rsidRPr="00172194">
              <w:rPr>
                <w:rFonts w:eastAsia="Calibri"/>
              </w:rPr>
              <w:t>2.075</w:t>
            </w:r>
          </w:p>
        </w:tc>
        <w:tc>
          <w:tcPr>
            <w:tcW w:w="1282" w:type="dxa"/>
            <w:tcBorders>
              <w:top w:val="single" w:sz="4" w:space="0" w:color="A6A6A6" w:themeColor="background1" w:themeShade="A6"/>
              <w:bottom w:val="single" w:sz="4" w:space="0" w:color="A6A6A6" w:themeColor="background1" w:themeShade="A6"/>
            </w:tcBorders>
            <w:tcMar>
              <w:top w:w="15" w:type="dxa"/>
              <w:left w:w="15" w:type="dxa"/>
              <w:right w:w="15" w:type="dxa"/>
            </w:tcMar>
            <w:vAlign w:val="center"/>
          </w:tcPr>
          <w:p w14:paraId="29B458C5" w14:textId="77777777" w:rsidR="00172194" w:rsidRPr="00172194" w:rsidRDefault="00172194" w:rsidP="00172194">
            <w:pPr>
              <w:pStyle w:val="TableText"/>
              <w:spacing w:line="264" w:lineRule="auto"/>
              <w:ind w:right="57"/>
              <w:jc w:val="right"/>
              <w:rPr>
                <w:rFonts w:eastAsia="Calibri"/>
              </w:rPr>
            </w:pPr>
            <w:r w:rsidRPr="00172194">
              <w:rPr>
                <w:rFonts w:eastAsia="Calibri"/>
              </w:rPr>
              <w:t>1.951</w:t>
            </w:r>
          </w:p>
        </w:tc>
        <w:tc>
          <w:tcPr>
            <w:tcW w:w="1282" w:type="dxa"/>
            <w:tcBorders>
              <w:top w:val="single" w:sz="4" w:space="0" w:color="A6A6A6" w:themeColor="background1" w:themeShade="A6"/>
              <w:bottom w:val="single" w:sz="4" w:space="0" w:color="A6A6A6" w:themeColor="background1" w:themeShade="A6"/>
            </w:tcBorders>
            <w:tcMar>
              <w:top w:w="15" w:type="dxa"/>
              <w:left w:w="15" w:type="dxa"/>
              <w:right w:w="15" w:type="dxa"/>
            </w:tcMar>
            <w:vAlign w:val="center"/>
          </w:tcPr>
          <w:p w14:paraId="06BE37A4" w14:textId="77777777" w:rsidR="00172194" w:rsidRPr="00172194" w:rsidRDefault="00172194" w:rsidP="00172194">
            <w:pPr>
              <w:pStyle w:val="TableText"/>
              <w:spacing w:line="264" w:lineRule="auto"/>
              <w:ind w:right="57"/>
              <w:jc w:val="right"/>
              <w:rPr>
                <w:rFonts w:eastAsia="Calibri"/>
              </w:rPr>
            </w:pPr>
            <w:r w:rsidRPr="00172194">
              <w:rPr>
                <w:rFonts w:eastAsia="Calibri"/>
              </w:rPr>
              <w:t>0.973</w:t>
            </w:r>
          </w:p>
        </w:tc>
        <w:tc>
          <w:tcPr>
            <w:tcW w:w="918" w:type="dxa"/>
            <w:tcBorders>
              <w:top w:val="single" w:sz="4" w:space="0" w:color="A6A6A6" w:themeColor="background1" w:themeShade="A6"/>
              <w:bottom w:val="single" w:sz="4" w:space="0" w:color="A6A6A6" w:themeColor="background1" w:themeShade="A6"/>
            </w:tcBorders>
            <w:tcMar>
              <w:top w:w="15" w:type="dxa"/>
              <w:left w:w="15" w:type="dxa"/>
              <w:right w:w="15" w:type="dxa"/>
            </w:tcMar>
            <w:vAlign w:val="center"/>
          </w:tcPr>
          <w:p w14:paraId="4A693949" w14:textId="77777777" w:rsidR="00172194" w:rsidRPr="00172194" w:rsidRDefault="00172194" w:rsidP="00172194">
            <w:pPr>
              <w:pStyle w:val="TableText"/>
              <w:spacing w:line="264" w:lineRule="auto"/>
              <w:ind w:right="57"/>
              <w:jc w:val="right"/>
              <w:rPr>
                <w:rFonts w:eastAsia="Calibri"/>
              </w:rPr>
            </w:pPr>
            <w:r w:rsidRPr="00172194">
              <w:rPr>
                <w:rFonts w:eastAsia="Calibri"/>
              </w:rPr>
              <w:t>4.999</w:t>
            </w:r>
          </w:p>
        </w:tc>
      </w:tr>
    </w:tbl>
    <w:p w14:paraId="20815AA9" w14:textId="2B9C009C" w:rsidR="00172194" w:rsidRDefault="00172194" w:rsidP="00172194">
      <w:pPr>
        <w:pStyle w:val="Note"/>
        <w:rPr>
          <w:rFonts w:cstheme="minorHAnsi"/>
        </w:rPr>
      </w:pPr>
      <w:bookmarkStart w:id="58" w:name="_Toc173848533"/>
      <w:r w:rsidRPr="6A37D213">
        <w:t>Note</w:t>
      </w:r>
      <w:r>
        <w:t>:</w:t>
      </w:r>
      <w:r w:rsidRPr="6A37D213">
        <w:t xml:space="preserve"> Budget sums may not total due to rounding</w:t>
      </w:r>
      <w:r w:rsidRPr="000A5669" w:rsidDel="001B3F1E">
        <w:rPr>
          <w:rFonts w:cstheme="minorHAnsi"/>
        </w:rPr>
        <w:t xml:space="preserve"> </w:t>
      </w:r>
      <w:bookmarkEnd w:id="58"/>
    </w:p>
    <w:p w14:paraId="0271E99A" w14:textId="77777777" w:rsidR="00172194" w:rsidRDefault="00172194" w:rsidP="00172194">
      <w:pPr>
        <w:pStyle w:val="Note"/>
        <w:sectPr w:rsidR="00172194" w:rsidSect="00EC41FD">
          <w:headerReference w:type="even" r:id="rId39"/>
          <w:headerReference w:type="default" r:id="rId40"/>
          <w:footerReference w:type="even" r:id="rId41"/>
          <w:footerReference w:type="default" r:id="rId42"/>
          <w:pgSz w:w="11907" w:h="16834" w:code="9"/>
          <w:pgMar w:top="1418" w:right="1701" w:bottom="1134" w:left="1843" w:header="284" w:footer="425" w:gutter="284"/>
          <w:cols w:space="720"/>
          <w:docGrid w:linePitch="286"/>
        </w:sectPr>
      </w:pPr>
      <w:bookmarkStart w:id="59" w:name="_Toc703626186"/>
    </w:p>
    <w:p w14:paraId="5F07AC22" w14:textId="41D423E5" w:rsidR="00172194" w:rsidRPr="00172194" w:rsidRDefault="00172194" w:rsidP="00172194">
      <w:pPr>
        <w:pStyle w:val="Heading2"/>
        <w:spacing w:before="0"/>
      </w:pPr>
      <w:bookmarkStart w:id="60" w:name="_Toc174634400"/>
      <w:r w:rsidRPr="00172194">
        <w:lastRenderedPageBreak/>
        <w:t>Agency operating costs</w:t>
      </w:r>
      <w:bookmarkEnd w:id="59"/>
      <w:bookmarkEnd w:id="60"/>
    </w:p>
    <w:p w14:paraId="44637589" w14:textId="148DD58F" w:rsidR="00172194" w:rsidRPr="00D53100" w:rsidRDefault="00172194" w:rsidP="00172194">
      <w:pPr>
        <w:rPr>
          <w:rFonts w:ascii="Seaford" w:hAnsi="Seaford"/>
        </w:rPr>
      </w:pPr>
      <w:r w:rsidRPr="7EFC6199">
        <w:rPr>
          <w:rFonts w:eastAsia="Lucida Sans Unicode"/>
        </w:rPr>
        <w:t>Agencies</w:t>
      </w:r>
      <w:r>
        <w:rPr>
          <w:rFonts w:eastAsia="Lucida Sans Unicode"/>
        </w:rPr>
        <w:t>’</w:t>
      </w:r>
      <w:r w:rsidRPr="7EFC6199">
        <w:rPr>
          <w:rFonts w:eastAsia="Lucida Sans Unicode"/>
        </w:rPr>
        <w:t xml:space="preserve"> operating costs</w:t>
      </w:r>
      <w:r>
        <w:t xml:space="preserve"> </w:t>
      </w:r>
      <w:r w:rsidRPr="7EFC6199">
        <w:rPr>
          <w:rFonts w:eastAsia="Lucida Sans Unicode"/>
        </w:rPr>
        <w:t>cover various responsibilities under the Act to be fulfilled, including the development</w:t>
      </w:r>
      <w:r>
        <w:rPr>
          <w:rFonts w:eastAsia="Lucida Sans Unicode"/>
        </w:rPr>
        <w:t xml:space="preserve">, </w:t>
      </w:r>
      <w:r w:rsidRPr="7EFC6199">
        <w:rPr>
          <w:rFonts w:eastAsia="Lucida Sans Unicode"/>
        </w:rPr>
        <w:t xml:space="preserve">implementation </w:t>
      </w:r>
      <w:r>
        <w:rPr>
          <w:rFonts w:eastAsia="Lucida Sans Unicode"/>
        </w:rPr>
        <w:t xml:space="preserve">and oversight </w:t>
      </w:r>
      <w:r w:rsidRPr="7EFC6199">
        <w:rPr>
          <w:rFonts w:eastAsia="Lucida Sans Unicode"/>
        </w:rPr>
        <w:t xml:space="preserve">of this </w:t>
      </w:r>
      <w:r w:rsidRPr="507BDF3D">
        <w:rPr>
          <w:rFonts w:eastAsia="Lucida Sans Unicode"/>
        </w:rPr>
        <w:t>Strategy</w:t>
      </w:r>
      <w:r>
        <w:t xml:space="preserve"> and reporting on gambling harm prevention and minimisation activities. Further detail about operating costs </w:t>
      </w:r>
      <w:r w:rsidR="00FF54C0">
        <w:t>is</w:t>
      </w:r>
      <w:r>
        <w:t xml:space="preserve"> </w:t>
      </w:r>
      <w:r w:rsidRPr="00D53100">
        <w:rPr>
          <w:rFonts w:cs="Segoe UI"/>
        </w:rPr>
        <w:t xml:space="preserve">set out in </w:t>
      </w:r>
      <w:r w:rsidRPr="00D53100">
        <w:rPr>
          <w:rFonts w:eastAsia="Calibri" w:cs="Segoe UI"/>
          <w:b/>
          <w:bCs/>
        </w:rPr>
        <w:t>Appendix Five</w:t>
      </w:r>
      <w:r w:rsidRPr="00D53100">
        <w:rPr>
          <w:rFonts w:eastAsia="Calibri" w:cs="Segoe UI"/>
        </w:rPr>
        <w:t xml:space="preserve"> in the Appendices document.</w:t>
      </w:r>
    </w:p>
    <w:p w14:paraId="36A0D2CD" w14:textId="7734CA11" w:rsidR="00172194" w:rsidRPr="00172194" w:rsidRDefault="00172194" w:rsidP="00172194">
      <w:pPr>
        <w:pStyle w:val="Table"/>
        <w:rPr>
          <w:rFonts w:eastAsia="Lucida Sans Unicode"/>
        </w:rPr>
      </w:pPr>
      <w:bookmarkStart w:id="61" w:name="_Toc106599487"/>
      <w:bookmarkStart w:id="62" w:name="_Toc174634415"/>
      <w:r>
        <w:t xml:space="preserve">Table </w:t>
      </w:r>
      <w:r w:rsidR="00D46B4B">
        <w:fldChar w:fldCharType="begin"/>
      </w:r>
      <w:r w:rsidR="00D46B4B">
        <w:instrText xml:space="preserve"> SEQ Table \* ARABIC </w:instrText>
      </w:r>
      <w:r w:rsidR="00D46B4B">
        <w:fldChar w:fldCharType="separate"/>
      </w:r>
      <w:r w:rsidR="009D28D8">
        <w:rPr>
          <w:noProof/>
        </w:rPr>
        <w:t>4</w:t>
      </w:r>
      <w:r w:rsidR="00D46B4B">
        <w:rPr>
          <w:noProof/>
        </w:rPr>
        <w:fldChar w:fldCharType="end"/>
      </w:r>
      <w:r>
        <w:t xml:space="preserve">: </w:t>
      </w:r>
      <w:r w:rsidRPr="00172194">
        <w:rPr>
          <w:rFonts w:eastAsia="Lucida Sans Unicode"/>
        </w:rPr>
        <w:t>Budget agency operating costs in $ millions (GST exclusive), 2025/26 to 2027/2</w:t>
      </w:r>
      <w:bookmarkEnd w:id="61"/>
      <w:r w:rsidRPr="00172194">
        <w:rPr>
          <w:rFonts w:eastAsia="Lucida Sans Unicode"/>
        </w:rPr>
        <w:t>8</w:t>
      </w:r>
      <w:bookmarkEnd w:id="62"/>
    </w:p>
    <w:tbl>
      <w:tblPr>
        <w:tblStyle w:val="TableGrid"/>
        <w:tblW w:w="808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458"/>
        <w:gridCol w:w="1155"/>
        <w:gridCol w:w="1156"/>
        <w:gridCol w:w="1155"/>
        <w:gridCol w:w="1156"/>
      </w:tblGrid>
      <w:tr w:rsidR="00172194" w:rsidRPr="00172194" w14:paraId="529988E4" w14:textId="77777777" w:rsidTr="00172194">
        <w:trPr>
          <w:tblHeader/>
        </w:trPr>
        <w:tc>
          <w:tcPr>
            <w:tcW w:w="3458" w:type="dxa"/>
            <w:tcBorders>
              <w:top w:val="nil"/>
              <w:bottom w:val="nil"/>
            </w:tcBorders>
            <w:shd w:val="clear" w:color="auto" w:fill="D9D9D9" w:themeFill="background1" w:themeFillShade="D9"/>
            <w:vAlign w:val="center"/>
            <w:hideMark/>
          </w:tcPr>
          <w:p w14:paraId="52C3C7A1" w14:textId="77777777" w:rsidR="00172194" w:rsidRPr="00172194" w:rsidRDefault="00172194" w:rsidP="00172194">
            <w:pPr>
              <w:pStyle w:val="TableText"/>
              <w:rPr>
                <w:rFonts w:eastAsia="Lucida Sans Unicode"/>
                <w:b/>
                <w:bCs/>
              </w:rPr>
            </w:pPr>
            <w:r w:rsidRPr="00172194">
              <w:rPr>
                <w:rFonts w:eastAsia="Lucida Sans Unicode"/>
                <w:b/>
                <w:bCs/>
              </w:rPr>
              <w:t>Agency</w:t>
            </w:r>
          </w:p>
        </w:tc>
        <w:tc>
          <w:tcPr>
            <w:tcW w:w="1155" w:type="dxa"/>
            <w:tcBorders>
              <w:top w:val="nil"/>
              <w:bottom w:val="nil"/>
            </w:tcBorders>
            <w:shd w:val="clear" w:color="auto" w:fill="D9D9D9" w:themeFill="background1" w:themeFillShade="D9"/>
            <w:vAlign w:val="center"/>
            <w:hideMark/>
          </w:tcPr>
          <w:p w14:paraId="3BCE5E6E" w14:textId="77777777" w:rsidR="00172194" w:rsidRPr="00172194" w:rsidRDefault="00172194" w:rsidP="00172194">
            <w:pPr>
              <w:pStyle w:val="TableText"/>
              <w:jc w:val="right"/>
              <w:rPr>
                <w:rFonts w:eastAsia="Lucida Sans Unicode"/>
                <w:b/>
                <w:bCs/>
              </w:rPr>
            </w:pPr>
            <w:r w:rsidRPr="00172194">
              <w:rPr>
                <w:rFonts w:eastAsia="Lucida Sans Unicode"/>
                <w:b/>
                <w:bCs/>
              </w:rPr>
              <w:t>2025/26</w:t>
            </w:r>
          </w:p>
        </w:tc>
        <w:tc>
          <w:tcPr>
            <w:tcW w:w="1156" w:type="dxa"/>
            <w:tcBorders>
              <w:top w:val="nil"/>
              <w:bottom w:val="nil"/>
            </w:tcBorders>
            <w:shd w:val="clear" w:color="auto" w:fill="D9D9D9" w:themeFill="background1" w:themeFillShade="D9"/>
            <w:vAlign w:val="center"/>
            <w:hideMark/>
          </w:tcPr>
          <w:p w14:paraId="77096DDC" w14:textId="77777777" w:rsidR="00172194" w:rsidRPr="00172194" w:rsidRDefault="00172194" w:rsidP="00172194">
            <w:pPr>
              <w:pStyle w:val="TableText"/>
              <w:jc w:val="right"/>
              <w:rPr>
                <w:rFonts w:eastAsia="Lucida Sans Unicode"/>
                <w:b/>
                <w:bCs/>
              </w:rPr>
            </w:pPr>
            <w:r w:rsidRPr="00172194">
              <w:rPr>
                <w:rFonts w:eastAsia="Lucida Sans Unicode"/>
                <w:b/>
                <w:bCs/>
              </w:rPr>
              <w:t>2026/27</w:t>
            </w:r>
          </w:p>
        </w:tc>
        <w:tc>
          <w:tcPr>
            <w:tcW w:w="1155" w:type="dxa"/>
            <w:tcBorders>
              <w:top w:val="nil"/>
              <w:bottom w:val="nil"/>
            </w:tcBorders>
            <w:shd w:val="clear" w:color="auto" w:fill="D9D9D9" w:themeFill="background1" w:themeFillShade="D9"/>
            <w:vAlign w:val="center"/>
            <w:hideMark/>
          </w:tcPr>
          <w:p w14:paraId="3FC89133" w14:textId="77777777" w:rsidR="00172194" w:rsidRPr="00172194" w:rsidRDefault="00172194" w:rsidP="00172194">
            <w:pPr>
              <w:pStyle w:val="TableText"/>
              <w:jc w:val="right"/>
              <w:rPr>
                <w:rFonts w:eastAsia="Lucida Sans Unicode"/>
                <w:b/>
                <w:bCs/>
              </w:rPr>
            </w:pPr>
            <w:r w:rsidRPr="00172194">
              <w:rPr>
                <w:rFonts w:eastAsia="Lucida Sans Unicode"/>
                <w:b/>
                <w:bCs/>
              </w:rPr>
              <w:t>2027/28</w:t>
            </w:r>
          </w:p>
        </w:tc>
        <w:tc>
          <w:tcPr>
            <w:tcW w:w="1156" w:type="dxa"/>
            <w:tcBorders>
              <w:top w:val="nil"/>
              <w:bottom w:val="nil"/>
            </w:tcBorders>
            <w:shd w:val="clear" w:color="auto" w:fill="D9D9D9" w:themeFill="background1" w:themeFillShade="D9"/>
            <w:vAlign w:val="center"/>
            <w:hideMark/>
          </w:tcPr>
          <w:p w14:paraId="0C772A2C" w14:textId="77777777" w:rsidR="00172194" w:rsidRPr="00172194" w:rsidRDefault="00172194" w:rsidP="00172194">
            <w:pPr>
              <w:pStyle w:val="TableText"/>
              <w:jc w:val="right"/>
              <w:rPr>
                <w:rFonts w:eastAsia="Lucida Sans Unicode"/>
                <w:b/>
                <w:bCs/>
              </w:rPr>
            </w:pPr>
            <w:r w:rsidRPr="00172194">
              <w:rPr>
                <w:rFonts w:eastAsia="Lucida Sans Unicode"/>
                <w:b/>
                <w:bCs/>
              </w:rPr>
              <w:t>Total</w:t>
            </w:r>
          </w:p>
        </w:tc>
      </w:tr>
      <w:tr w:rsidR="00172194" w:rsidRPr="00172194" w14:paraId="321DEF59" w14:textId="77777777" w:rsidTr="00172194">
        <w:tc>
          <w:tcPr>
            <w:tcW w:w="3458" w:type="dxa"/>
            <w:tcBorders>
              <w:top w:val="nil"/>
            </w:tcBorders>
            <w:noWrap/>
            <w:vAlign w:val="center"/>
            <w:hideMark/>
          </w:tcPr>
          <w:p w14:paraId="6725616D" w14:textId="77777777" w:rsidR="00172194" w:rsidRPr="00172194" w:rsidRDefault="00172194" w:rsidP="00172194">
            <w:pPr>
              <w:pStyle w:val="TableText"/>
              <w:rPr>
                <w:rFonts w:eastAsia="Lucida Sans Unicode"/>
              </w:rPr>
            </w:pPr>
            <w:r w:rsidRPr="00172194">
              <w:rPr>
                <w:rFonts w:eastAsia="Lucida Sans Unicode"/>
              </w:rPr>
              <w:t>Health New Zealand Commissioning</w:t>
            </w:r>
          </w:p>
        </w:tc>
        <w:tc>
          <w:tcPr>
            <w:tcW w:w="1155" w:type="dxa"/>
            <w:tcBorders>
              <w:top w:val="nil"/>
            </w:tcBorders>
            <w:shd w:val="clear" w:color="auto" w:fill="auto"/>
            <w:vAlign w:val="center"/>
            <w:hideMark/>
          </w:tcPr>
          <w:p w14:paraId="20178132" w14:textId="77777777" w:rsidR="00172194" w:rsidRPr="00172194" w:rsidRDefault="00172194" w:rsidP="00172194">
            <w:pPr>
              <w:pStyle w:val="TableText"/>
              <w:jc w:val="right"/>
              <w:rPr>
                <w:rFonts w:eastAsia="Calibri"/>
              </w:rPr>
            </w:pPr>
            <w:r w:rsidRPr="00172194">
              <w:rPr>
                <w:rFonts w:eastAsia="Calibri"/>
              </w:rPr>
              <w:t>0.815</w:t>
            </w:r>
          </w:p>
        </w:tc>
        <w:tc>
          <w:tcPr>
            <w:tcW w:w="1156" w:type="dxa"/>
            <w:tcBorders>
              <w:top w:val="nil"/>
            </w:tcBorders>
            <w:shd w:val="clear" w:color="auto" w:fill="auto"/>
            <w:vAlign w:val="center"/>
            <w:hideMark/>
          </w:tcPr>
          <w:p w14:paraId="40C41289" w14:textId="77777777" w:rsidR="00172194" w:rsidRPr="00172194" w:rsidRDefault="00172194" w:rsidP="00172194">
            <w:pPr>
              <w:pStyle w:val="TableText"/>
              <w:jc w:val="right"/>
              <w:rPr>
                <w:rFonts w:eastAsia="Lucida Sans Unicode"/>
              </w:rPr>
            </w:pPr>
            <w:r w:rsidRPr="00172194">
              <w:t>0.815</w:t>
            </w:r>
          </w:p>
        </w:tc>
        <w:tc>
          <w:tcPr>
            <w:tcW w:w="1155" w:type="dxa"/>
            <w:tcBorders>
              <w:top w:val="nil"/>
            </w:tcBorders>
            <w:shd w:val="clear" w:color="auto" w:fill="auto"/>
            <w:vAlign w:val="center"/>
            <w:hideMark/>
          </w:tcPr>
          <w:p w14:paraId="3D07F487" w14:textId="77777777" w:rsidR="00172194" w:rsidRPr="00172194" w:rsidRDefault="00172194" w:rsidP="00172194">
            <w:pPr>
              <w:pStyle w:val="TableText"/>
              <w:jc w:val="right"/>
              <w:rPr>
                <w:rFonts w:eastAsia="Lucida Sans Unicode"/>
              </w:rPr>
            </w:pPr>
            <w:r w:rsidRPr="00172194">
              <w:t>0.815</w:t>
            </w:r>
          </w:p>
        </w:tc>
        <w:tc>
          <w:tcPr>
            <w:tcW w:w="1156" w:type="dxa"/>
            <w:tcBorders>
              <w:top w:val="nil"/>
            </w:tcBorders>
            <w:shd w:val="clear" w:color="auto" w:fill="auto"/>
            <w:vAlign w:val="center"/>
            <w:hideMark/>
          </w:tcPr>
          <w:p w14:paraId="753CA1F3" w14:textId="77777777" w:rsidR="00172194" w:rsidRPr="00172194" w:rsidRDefault="00172194" w:rsidP="00172194">
            <w:pPr>
              <w:pStyle w:val="TableText"/>
              <w:jc w:val="right"/>
              <w:rPr>
                <w:rFonts w:eastAsia="Lucida Sans Unicode"/>
              </w:rPr>
            </w:pPr>
            <w:r w:rsidRPr="00172194">
              <w:t>2.445</w:t>
            </w:r>
          </w:p>
        </w:tc>
      </w:tr>
      <w:tr w:rsidR="00172194" w:rsidRPr="00172194" w14:paraId="1F3C638D" w14:textId="77777777" w:rsidTr="00172194">
        <w:tc>
          <w:tcPr>
            <w:tcW w:w="3458" w:type="dxa"/>
            <w:noWrap/>
            <w:vAlign w:val="center"/>
            <w:hideMark/>
          </w:tcPr>
          <w:p w14:paraId="4173FDC7" w14:textId="77777777" w:rsidR="00172194" w:rsidRPr="00172194" w:rsidRDefault="00172194" w:rsidP="00172194">
            <w:pPr>
              <w:pStyle w:val="TableText"/>
              <w:rPr>
                <w:rFonts w:eastAsia="Lucida Sans Unicode"/>
              </w:rPr>
            </w:pPr>
            <w:r w:rsidRPr="00172194">
              <w:rPr>
                <w:rFonts w:eastAsia="Lucida Sans Unicode"/>
              </w:rPr>
              <w:t xml:space="preserve">Health New Zealand Health Promotion </w:t>
            </w:r>
          </w:p>
        </w:tc>
        <w:tc>
          <w:tcPr>
            <w:tcW w:w="1155" w:type="dxa"/>
            <w:shd w:val="clear" w:color="auto" w:fill="auto"/>
            <w:vAlign w:val="center"/>
            <w:hideMark/>
          </w:tcPr>
          <w:p w14:paraId="19DB89F8" w14:textId="77777777" w:rsidR="00172194" w:rsidRPr="00172194" w:rsidRDefault="00172194" w:rsidP="00172194">
            <w:pPr>
              <w:pStyle w:val="TableText"/>
              <w:jc w:val="right"/>
              <w:rPr>
                <w:rFonts w:eastAsia="Lucida Sans Unicode"/>
              </w:rPr>
            </w:pPr>
            <w:r w:rsidRPr="00172194">
              <w:t>0.747</w:t>
            </w:r>
          </w:p>
        </w:tc>
        <w:tc>
          <w:tcPr>
            <w:tcW w:w="1156" w:type="dxa"/>
            <w:shd w:val="clear" w:color="auto" w:fill="auto"/>
            <w:vAlign w:val="center"/>
            <w:hideMark/>
          </w:tcPr>
          <w:p w14:paraId="1648BE4C" w14:textId="77777777" w:rsidR="00172194" w:rsidRPr="00172194" w:rsidRDefault="00172194" w:rsidP="00172194">
            <w:pPr>
              <w:pStyle w:val="TableText"/>
              <w:jc w:val="right"/>
              <w:rPr>
                <w:rFonts w:eastAsia="Lucida Sans Unicode"/>
              </w:rPr>
            </w:pPr>
            <w:r w:rsidRPr="00172194">
              <w:t>0.747</w:t>
            </w:r>
          </w:p>
        </w:tc>
        <w:tc>
          <w:tcPr>
            <w:tcW w:w="1155" w:type="dxa"/>
            <w:shd w:val="clear" w:color="auto" w:fill="auto"/>
            <w:vAlign w:val="center"/>
            <w:hideMark/>
          </w:tcPr>
          <w:p w14:paraId="7FB91CDB" w14:textId="77777777" w:rsidR="00172194" w:rsidRPr="00172194" w:rsidRDefault="00172194" w:rsidP="00172194">
            <w:pPr>
              <w:pStyle w:val="TableText"/>
              <w:jc w:val="right"/>
              <w:rPr>
                <w:rFonts w:eastAsia="Lucida Sans Unicode"/>
              </w:rPr>
            </w:pPr>
            <w:r w:rsidRPr="00172194">
              <w:t>0.747</w:t>
            </w:r>
          </w:p>
        </w:tc>
        <w:tc>
          <w:tcPr>
            <w:tcW w:w="1156" w:type="dxa"/>
            <w:shd w:val="clear" w:color="auto" w:fill="auto"/>
            <w:vAlign w:val="center"/>
            <w:hideMark/>
          </w:tcPr>
          <w:p w14:paraId="7B95070C" w14:textId="77777777" w:rsidR="00172194" w:rsidRPr="00172194" w:rsidRDefault="00172194" w:rsidP="00172194">
            <w:pPr>
              <w:pStyle w:val="TableText"/>
              <w:jc w:val="right"/>
              <w:rPr>
                <w:rFonts w:eastAsia="Lucida Sans Unicode"/>
              </w:rPr>
            </w:pPr>
            <w:r w:rsidRPr="00172194">
              <w:t>2.241</w:t>
            </w:r>
          </w:p>
        </w:tc>
      </w:tr>
      <w:tr w:rsidR="00172194" w:rsidRPr="00172194" w14:paraId="21516649" w14:textId="77777777" w:rsidTr="00172194">
        <w:tc>
          <w:tcPr>
            <w:tcW w:w="3458" w:type="dxa"/>
            <w:noWrap/>
            <w:vAlign w:val="center"/>
            <w:hideMark/>
          </w:tcPr>
          <w:p w14:paraId="6AC3EC5D" w14:textId="77777777" w:rsidR="00172194" w:rsidRPr="00172194" w:rsidRDefault="00172194" w:rsidP="00172194">
            <w:pPr>
              <w:pStyle w:val="TableText"/>
              <w:rPr>
                <w:rFonts w:eastAsia="Lucida Sans Unicode"/>
              </w:rPr>
            </w:pPr>
            <w:r w:rsidRPr="00172194">
              <w:rPr>
                <w:rFonts w:eastAsia="Lucida Sans Unicode"/>
              </w:rPr>
              <w:t>Ministry of Health</w:t>
            </w:r>
          </w:p>
        </w:tc>
        <w:tc>
          <w:tcPr>
            <w:tcW w:w="1155" w:type="dxa"/>
            <w:shd w:val="clear" w:color="auto" w:fill="auto"/>
            <w:vAlign w:val="center"/>
            <w:hideMark/>
          </w:tcPr>
          <w:p w14:paraId="794FAB4F" w14:textId="77777777" w:rsidR="00172194" w:rsidRPr="00172194" w:rsidRDefault="00172194" w:rsidP="00172194">
            <w:pPr>
              <w:pStyle w:val="TableText"/>
              <w:jc w:val="right"/>
              <w:rPr>
                <w:rFonts w:eastAsia="Calibri"/>
                <w:highlight w:val="yellow"/>
              </w:rPr>
            </w:pPr>
            <w:r w:rsidRPr="00172194">
              <w:t>0.619</w:t>
            </w:r>
          </w:p>
        </w:tc>
        <w:tc>
          <w:tcPr>
            <w:tcW w:w="1156" w:type="dxa"/>
            <w:shd w:val="clear" w:color="auto" w:fill="auto"/>
            <w:vAlign w:val="center"/>
            <w:hideMark/>
          </w:tcPr>
          <w:p w14:paraId="006BFBC0" w14:textId="77777777" w:rsidR="00172194" w:rsidRPr="00172194" w:rsidRDefault="00172194" w:rsidP="00172194">
            <w:pPr>
              <w:pStyle w:val="TableText"/>
              <w:jc w:val="right"/>
              <w:rPr>
                <w:rFonts w:eastAsia="Calibri"/>
                <w:highlight w:val="yellow"/>
              </w:rPr>
            </w:pPr>
            <w:r w:rsidRPr="00172194">
              <w:t>0.913</w:t>
            </w:r>
          </w:p>
        </w:tc>
        <w:tc>
          <w:tcPr>
            <w:tcW w:w="1155" w:type="dxa"/>
            <w:shd w:val="clear" w:color="auto" w:fill="auto"/>
            <w:vAlign w:val="center"/>
            <w:hideMark/>
          </w:tcPr>
          <w:p w14:paraId="49A5A694" w14:textId="77777777" w:rsidR="00172194" w:rsidRPr="00172194" w:rsidRDefault="00172194" w:rsidP="00172194">
            <w:pPr>
              <w:pStyle w:val="TableText"/>
              <w:jc w:val="right"/>
              <w:rPr>
                <w:rFonts w:eastAsia="Calibri"/>
                <w:highlight w:val="yellow"/>
              </w:rPr>
            </w:pPr>
            <w:r w:rsidRPr="00172194">
              <w:t>0.741</w:t>
            </w:r>
          </w:p>
        </w:tc>
        <w:tc>
          <w:tcPr>
            <w:tcW w:w="1156" w:type="dxa"/>
            <w:shd w:val="clear" w:color="auto" w:fill="auto"/>
            <w:vAlign w:val="center"/>
            <w:hideMark/>
          </w:tcPr>
          <w:p w14:paraId="72F44D96" w14:textId="77777777" w:rsidR="00172194" w:rsidRPr="00172194" w:rsidRDefault="00172194" w:rsidP="00172194">
            <w:pPr>
              <w:pStyle w:val="TableText"/>
              <w:jc w:val="right"/>
              <w:rPr>
                <w:rFonts w:eastAsia="Calibri"/>
                <w:highlight w:val="yellow"/>
              </w:rPr>
            </w:pPr>
            <w:r w:rsidRPr="00172194">
              <w:t>2.273</w:t>
            </w:r>
          </w:p>
        </w:tc>
      </w:tr>
      <w:tr w:rsidR="00172194" w:rsidRPr="00172194" w14:paraId="7EBF990D" w14:textId="77777777" w:rsidTr="00172194">
        <w:tc>
          <w:tcPr>
            <w:tcW w:w="3458" w:type="dxa"/>
            <w:vAlign w:val="center"/>
            <w:hideMark/>
          </w:tcPr>
          <w:p w14:paraId="4ACDBC7C" w14:textId="77777777" w:rsidR="00172194" w:rsidRPr="00172194" w:rsidRDefault="00172194" w:rsidP="00172194">
            <w:pPr>
              <w:pStyle w:val="TableText"/>
              <w:rPr>
                <w:rFonts w:eastAsia="Lucida Sans Unicode"/>
              </w:rPr>
            </w:pPr>
            <w:r w:rsidRPr="00172194">
              <w:rPr>
                <w:rFonts w:eastAsia="Lucida Sans Unicode"/>
              </w:rPr>
              <w:t>Total</w:t>
            </w:r>
          </w:p>
        </w:tc>
        <w:tc>
          <w:tcPr>
            <w:tcW w:w="1155" w:type="dxa"/>
            <w:shd w:val="clear" w:color="auto" w:fill="auto"/>
            <w:vAlign w:val="center"/>
            <w:hideMark/>
          </w:tcPr>
          <w:p w14:paraId="51C4C334" w14:textId="77777777" w:rsidR="00172194" w:rsidRPr="00172194" w:rsidRDefault="00172194" w:rsidP="00172194">
            <w:pPr>
              <w:pStyle w:val="TableText"/>
              <w:jc w:val="right"/>
              <w:rPr>
                <w:rFonts w:eastAsia="Calibri"/>
                <w:highlight w:val="yellow"/>
              </w:rPr>
            </w:pPr>
            <w:r w:rsidRPr="00172194">
              <w:t>2.181</w:t>
            </w:r>
          </w:p>
        </w:tc>
        <w:tc>
          <w:tcPr>
            <w:tcW w:w="1156" w:type="dxa"/>
            <w:shd w:val="clear" w:color="auto" w:fill="auto"/>
            <w:vAlign w:val="center"/>
            <w:hideMark/>
          </w:tcPr>
          <w:p w14:paraId="048179C9" w14:textId="77777777" w:rsidR="00172194" w:rsidRPr="00172194" w:rsidRDefault="00172194" w:rsidP="00172194">
            <w:pPr>
              <w:pStyle w:val="TableText"/>
              <w:jc w:val="right"/>
              <w:rPr>
                <w:rFonts w:eastAsia="Calibri"/>
                <w:highlight w:val="yellow"/>
              </w:rPr>
            </w:pPr>
            <w:r w:rsidRPr="00172194">
              <w:t>2.475</w:t>
            </w:r>
          </w:p>
        </w:tc>
        <w:tc>
          <w:tcPr>
            <w:tcW w:w="1155" w:type="dxa"/>
            <w:shd w:val="clear" w:color="auto" w:fill="auto"/>
            <w:vAlign w:val="center"/>
            <w:hideMark/>
          </w:tcPr>
          <w:p w14:paraId="7629C9F7" w14:textId="77777777" w:rsidR="00172194" w:rsidRPr="00172194" w:rsidRDefault="00172194" w:rsidP="00172194">
            <w:pPr>
              <w:pStyle w:val="TableText"/>
              <w:jc w:val="right"/>
              <w:rPr>
                <w:rFonts w:eastAsia="Calibri"/>
                <w:highlight w:val="yellow"/>
              </w:rPr>
            </w:pPr>
            <w:r w:rsidRPr="00172194">
              <w:t>2.302</w:t>
            </w:r>
          </w:p>
        </w:tc>
        <w:tc>
          <w:tcPr>
            <w:tcW w:w="1156" w:type="dxa"/>
            <w:shd w:val="clear" w:color="auto" w:fill="auto"/>
            <w:vAlign w:val="center"/>
            <w:hideMark/>
          </w:tcPr>
          <w:p w14:paraId="3C36008B" w14:textId="77777777" w:rsidR="00172194" w:rsidRPr="00172194" w:rsidRDefault="00172194" w:rsidP="00172194">
            <w:pPr>
              <w:pStyle w:val="TableText"/>
              <w:jc w:val="right"/>
              <w:rPr>
                <w:rFonts w:eastAsia="Calibri"/>
                <w:highlight w:val="yellow"/>
              </w:rPr>
            </w:pPr>
            <w:r w:rsidRPr="00172194">
              <w:t>6.958</w:t>
            </w:r>
          </w:p>
        </w:tc>
      </w:tr>
    </w:tbl>
    <w:p w14:paraId="175F8FA5" w14:textId="1AD028AE" w:rsidR="00172194" w:rsidRDefault="00172194" w:rsidP="00172194">
      <w:pPr>
        <w:pStyle w:val="Note"/>
      </w:pPr>
      <w:r w:rsidRPr="6A37D213">
        <w:t>Note</w:t>
      </w:r>
      <w:r>
        <w:t>:</w:t>
      </w:r>
      <w:r w:rsidRPr="6A37D213">
        <w:t xml:space="preserve"> Budget sums may not total due to rounding.</w:t>
      </w:r>
    </w:p>
    <w:p w14:paraId="4FCBC2C0" w14:textId="77777777" w:rsidR="00172194" w:rsidRDefault="00172194" w:rsidP="00172194">
      <w:pPr>
        <w:sectPr w:rsidR="00172194" w:rsidSect="00EC41FD">
          <w:pgSz w:w="11907" w:h="16834" w:code="9"/>
          <w:pgMar w:top="1418" w:right="1701" w:bottom="1134" w:left="1843" w:header="284" w:footer="425" w:gutter="284"/>
          <w:cols w:space="720"/>
          <w:docGrid w:linePitch="286"/>
        </w:sectPr>
      </w:pPr>
    </w:p>
    <w:p w14:paraId="29B29C68" w14:textId="7AEB9551" w:rsidR="00172194" w:rsidRDefault="00172194" w:rsidP="00172194">
      <w:pPr>
        <w:pStyle w:val="Heading1"/>
      </w:pPr>
      <w:bookmarkStart w:id="63" w:name="_Toc1209654038"/>
      <w:bookmarkStart w:id="64" w:name="_Toc174634401"/>
      <w:r w:rsidRPr="00172194">
        <w:lastRenderedPageBreak/>
        <w:t xml:space="preserve">Problem gambling levy </w:t>
      </w:r>
      <w:bookmarkEnd w:id="63"/>
      <w:bookmarkEnd w:id="64"/>
    </w:p>
    <w:p w14:paraId="13493AE7" w14:textId="3A26BB48" w:rsidR="00270DE1" w:rsidRPr="00270DE1" w:rsidRDefault="00270DE1" w:rsidP="00270DE1">
      <w:pPr>
        <w:rPr>
          <w:b/>
          <w:bCs/>
          <w:lang w:val="en-GB"/>
        </w:rPr>
      </w:pPr>
      <w:r w:rsidRPr="00270DE1">
        <w:rPr>
          <w:b/>
          <w:bCs/>
          <w:lang w:val="en-GB"/>
        </w:rPr>
        <w:t>Funding to support gambling harm prevention and minimisation</w:t>
      </w:r>
      <w:r>
        <w:rPr>
          <w:b/>
          <w:bCs/>
          <w:lang w:val="en-GB"/>
        </w:rPr>
        <w:t>.</w:t>
      </w:r>
    </w:p>
    <w:p w14:paraId="4427078A" w14:textId="77777777" w:rsidR="00172194" w:rsidRPr="00172194" w:rsidRDefault="00172194" w:rsidP="00172194">
      <w:pPr>
        <w:pStyle w:val="Heading2"/>
      </w:pPr>
      <w:bookmarkStart w:id="65" w:name="_Toc173154254"/>
      <w:bookmarkStart w:id="66" w:name="_Toc173848536"/>
      <w:bookmarkStart w:id="67" w:name="_Toc1345657454"/>
      <w:bookmarkStart w:id="68" w:name="_Toc174634402"/>
      <w:r w:rsidRPr="00172194">
        <w:t xml:space="preserve">Setting the </w:t>
      </w:r>
      <w:bookmarkEnd w:id="65"/>
      <w:r w:rsidRPr="00172194">
        <w:t>Problem Gambling Levy</w:t>
      </w:r>
      <w:bookmarkEnd w:id="66"/>
      <w:bookmarkEnd w:id="67"/>
      <w:bookmarkEnd w:id="68"/>
    </w:p>
    <w:p w14:paraId="28591718" w14:textId="787BB2B9" w:rsidR="00172194" w:rsidRDefault="00172194" w:rsidP="00172194">
      <w:r w:rsidRPr="00324382">
        <w:t xml:space="preserve">Section 319(2) of the Act states that the purpose of the </w:t>
      </w:r>
      <w:r>
        <w:t xml:space="preserve">problem gambling </w:t>
      </w:r>
      <w:r w:rsidRPr="00324382">
        <w:t xml:space="preserve">levy is to ‘recover the cost of developing, managing, and delivering the integrated problem gambling strategy’. The levy rates are set by regulation at least every three years. The next levy period is from 1 July 2025 to 30 June 2028. </w:t>
      </w:r>
    </w:p>
    <w:p w14:paraId="3C845446" w14:textId="77777777" w:rsidR="00172194" w:rsidRPr="00324382" w:rsidRDefault="00172194" w:rsidP="00172194"/>
    <w:p w14:paraId="7CD7C503" w14:textId="7406811A" w:rsidR="00172194" w:rsidRPr="00324382" w:rsidRDefault="00172194" w:rsidP="00172194">
      <w:r>
        <w:t>Since the levy was first set in 2004, it has applied to gambling operators in four sectors: class 4, casinos, TAB NZ and Lotto New Zealand (Lotto NZ).</w:t>
      </w:r>
    </w:p>
    <w:p w14:paraId="7CAE075C" w14:textId="77777777" w:rsidR="00172194" w:rsidRPr="00172194" w:rsidRDefault="00172194" w:rsidP="00172194">
      <w:pPr>
        <w:pStyle w:val="Heading2"/>
      </w:pPr>
      <w:bookmarkStart w:id="69" w:name="_Toc173154255"/>
      <w:bookmarkStart w:id="70" w:name="_Toc173848537"/>
      <w:bookmarkStart w:id="71" w:name="_Toc540353570"/>
      <w:bookmarkStart w:id="72" w:name="_Toc174634403"/>
      <w:r w:rsidRPr="00172194">
        <w:t>Process for setting the levy rates</w:t>
      </w:r>
      <w:bookmarkEnd w:id="69"/>
      <w:bookmarkEnd w:id="70"/>
      <w:bookmarkEnd w:id="71"/>
      <w:bookmarkEnd w:id="72"/>
    </w:p>
    <w:p w14:paraId="3B5D5D9E" w14:textId="3BA1DF04" w:rsidR="00172194" w:rsidRDefault="00172194" w:rsidP="00172194">
      <w:r w:rsidRPr="00324382">
        <w:t xml:space="preserve">The Act sets out the process for developing and setting the levy rates needed to recover the cost of the strategy (see sections 318–320 of the Act). As part of this process, the Ministry is now consulting on its estimated annual funding requirements and four alternative sets of estimated levy rates for 1 July 2025 to 30 June 2028. </w:t>
      </w:r>
    </w:p>
    <w:p w14:paraId="4BF57146" w14:textId="77777777" w:rsidR="00172194" w:rsidRPr="00324382" w:rsidRDefault="00172194" w:rsidP="00172194"/>
    <w:p w14:paraId="07DD405B" w14:textId="22075596" w:rsidR="00172194" w:rsidRDefault="00172194" w:rsidP="00172194">
      <w:r w:rsidRPr="00324382">
        <w:t xml:space="preserve">The figures in the four alternative levy calculation options discussed below should be considered indicative at this stage. They will be updated before the Gambling Commission’s consultation meeting referred to below. </w:t>
      </w:r>
    </w:p>
    <w:p w14:paraId="0E6B1617" w14:textId="77777777" w:rsidR="00172194" w:rsidRPr="00324382" w:rsidRDefault="00172194" w:rsidP="00172194"/>
    <w:p w14:paraId="4DFAA140" w14:textId="3D3B257B" w:rsidR="00172194" w:rsidRDefault="00172194" w:rsidP="00172194">
      <w:r w:rsidRPr="00324382">
        <w:t>Following consultation, updated proposed levy rates will be submitted to the responsible ministers, the Minister for Mental Health (responsible for problem gambling) and the Minister of Internal Affairs and to the Gambling Commission. The Gambling Commission may then obtain its own advice around the proposed levy rates and will convene a consultation meeting. It will subsequently make recommendations to the responsible Ministers</w:t>
      </w:r>
      <w:r>
        <w:t xml:space="preserve"> with its view on the total amount of the levy for the next three years and the levy rates that should apply for each sector required to pay the levy</w:t>
      </w:r>
      <w:r w:rsidRPr="00324382">
        <w:t xml:space="preserve">. </w:t>
      </w:r>
    </w:p>
    <w:p w14:paraId="2119B135" w14:textId="77777777" w:rsidR="00172194" w:rsidRDefault="00172194" w:rsidP="00172194"/>
    <w:p w14:paraId="09713B3A" w14:textId="2D7E82FE" w:rsidR="00172194" w:rsidRPr="00324382" w:rsidRDefault="00172194" w:rsidP="00172194">
      <w:r w:rsidRPr="00324382">
        <w:t>Cabinet will approve the strategy, including the Vote Health appropriation</w:t>
      </w:r>
      <w:r>
        <w:t>,</w:t>
      </w:r>
      <w:r w:rsidRPr="00324382">
        <w:t xml:space="preserve"> </w:t>
      </w:r>
      <w:r>
        <w:t xml:space="preserve">which </w:t>
      </w:r>
      <w:r w:rsidRPr="00324382">
        <w:t>allocates funding to the Ministry and Health New Zealand to implement the strategy, and endorse the problem gambling levy regulations, which specifies the sectors that will pay the levy and the decided relevant levy rates.</w:t>
      </w:r>
    </w:p>
    <w:p w14:paraId="274409CF" w14:textId="77777777" w:rsidR="00172194" w:rsidRPr="001356DB" w:rsidRDefault="00172194" w:rsidP="00172194">
      <w:pPr>
        <w:pStyle w:val="Heading2"/>
      </w:pPr>
      <w:bookmarkStart w:id="73" w:name="_Toc173154256"/>
      <w:bookmarkStart w:id="74" w:name="_Toc173848538"/>
      <w:bookmarkStart w:id="75" w:name="_Toc974316322"/>
      <w:bookmarkStart w:id="76" w:name="_Toc174634404"/>
      <w:r w:rsidRPr="001356DB">
        <w:t>The levy formula</w:t>
      </w:r>
      <w:bookmarkEnd w:id="73"/>
      <w:bookmarkEnd w:id="74"/>
      <w:bookmarkEnd w:id="75"/>
      <w:bookmarkEnd w:id="76"/>
    </w:p>
    <w:p w14:paraId="78390145" w14:textId="57F9C4DC" w:rsidR="00172194" w:rsidRDefault="00172194" w:rsidP="00172194">
      <w:pPr>
        <w:rPr>
          <w:rFonts w:eastAsia="Segoe UI" w:cstheme="minorHAnsi"/>
        </w:rPr>
      </w:pPr>
      <w:r w:rsidRPr="00324382">
        <w:rPr>
          <w:rFonts w:eastAsia="Segoe UI" w:cstheme="minorHAnsi"/>
        </w:rPr>
        <w:t xml:space="preserve">The formula listed in section 320 of the Act ‘provides a mechanism for allocating among gambling operators, and collecting from them, the approximate cost’ of the strategy. </w:t>
      </w:r>
    </w:p>
    <w:p w14:paraId="24020CE2" w14:textId="77777777" w:rsidR="00172194" w:rsidRPr="00324382" w:rsidRDefault="00172194" w:rsidP="00172194">
      <w:pPr>
        <w:rPr>
          <w:rFonts w:cstheme="minorHAnsi"/>
        </w:rPr>
      </w:pPr>
    </w:p>
    <w:p w14:paraId="3DF2A150" w14:textId="77777777" w:rsidR="00172194" w:rsidRPr="00324382" w:rsidRDefault="00172194" w:rsidP="00172194">
      <w:pPr>
        <w:rPr>
          <w:rFonts w:cstheme="minorHAnsi"/>
        </w:rPr>
      </w:pPr>
      <w:r w:rsidRPr="00324382">
        <w:rPr>
          <w:rFonts w:eastAsia="Segoe UI" w:cstheme="minorHAnsi"/>
        </w:rPr>
        <w:lastRenderedPageBreak/>
        <w:t>The formula is:</w:t>
      </w:r>
    </w:p>
    <w:p w14:paraId="20234D9C" w14:textId="77777777" w:rsidR="00172194" w:rsidRPr="00324382" w:rsidRDefault="00172194" w:rsidP="00172194">
      <w:pPr>
        <w:spacing w:before="120"/>
        <w:ind w:left="567"/>
        <w:rPr>
          <w:rFonts w:cstheme="minorHAnsi"/>
        </w:rPr>
      </w:pPr>
      <w:r w:rsidRPr="00324382">
        <w:rPr>
          <w:rFonts w:eastAsia="Segoe UI" w:cstheme="minorHAnsi"/>
        </w:rPr>
        <w:t xml:space="preserve">Levy rate for each sector = </w:t>
      </w:r>
      <w:r w:rsidRPr="00324382">
        <w:rPr>
          <w:rFonts w:eastAsia="Segoe UI" w:cstheme="minorHAnsi"/>
          <w:u w:val="single"/>
        </w:rPr>
        <w:t>{[(A x W1) + (B x W2)] x C} plus or minus R</w:t>
      </w:r>
    </w:p>
    <w:p w14:paraId="05652175" w14:textId="77777777" w:rsidR="00172194" w:rsidRPr="00324382" w:rsidRDefault="00172194" w:rsidP="00172194">
      <w:pPr>
        <w:ind w:left="3600" w:firstLine="720"/>
        <w:rPr>
          <w:rFonts w:cstheme="minorHAnsi"/>
        </w:rPr>
      </w:pPr>
      <w:r w:rsidRPr="00324382">
        <w:rPr>
          <w:rFonts w:eastAsia="Segoe UI" w:cstheme="minorHAnsi"/>
        </w:rPr>
        <w:t>D</w:t>
      </w:r>
    </w:p>
    <w:p w14:paraId="13C1396F" w14:textId="77777777" w:rsidR="00172194" w:rsidRPr="00324382" w:rsidRDefault="00172194" w:rsidP="00172194">
      <w:pPr>
        <w:ind w:left="567"/>
        <w:rPr>
          <w:rFonts w:cstheme="minorHAnsi"/>
        </w:rPr>
      </w:pPr>
      <w:r w:rsidRPr="00324382">
        <w:rPr>
          <w:rFonts w:eastAsia="Segoe UI" w:cstheme="minorHAnsi"/>
        </w:rPr>
        <w:t>where:</w:t>
      </w:r>
    </w:p>
    <w:p w14:paraId="76C50614" w14:textId="77777777" w:rsidR="00172194" w:rsidRPr="00324382" w:rsidRDefault="00172194" w:rsidP="00172194">
      <w:pPr>
        <w:spacing w:before="120"/>
        <w:ind w:left="993" w:hanging="426"/>
        <w:rPr>
          <w:rFonts w:cstheme="minorHAnsi"/>
        </w:rPr>
      </w:pPr>
      <w:r w:rsidRPr="00324382">
        <w:rPr>
          <w:rFonts w:eastAsia="Segoe UI" w:cstheme="minorHAnsi"/>
          <w:b/>
        </w:rPr>
        <w:t>A</w:t>
      </w:r>
      <w:r w:rsidRPr="00324382">
        <w:rPr>
          <w:rFonts w:eastAsia="Segoe UI" w:cstheme="minorHAnsi"/>
        </w:rPr>
        <w:t xml:space="preserve"> =</w:t>
      </w:r>
      <w:r w:rsidRPr="00324382">
        <w:rPr>
          <w:rFonts w:cstheme="minorHAnsi"/>
        </w:rPr>
        <w:tab/>
      </w:r>
      <w:r w:rsidRPr="00324382">
        <w:rPr>
          <w:rFonts w:eastAsia="Segoe UI" w:cstheme="minorHAnsi"/>
        </w:rPr>
        <w:t>the estimated current player expenditure in a sector divided by the total estimated current player expenditure in all sectors that are subject to the levy</w:t>
      </w:r>
    </w:p>
    <w:p w14:paraId="7F87144A" w14:textId="77777777" w:rsidR="00172194" w:rsidRPr="00324382" w:rsidRDefault="00172194" w:rsidP="00172194">
      <w:pPr>
        <w:spacing w:before="120"/>
        <w:ind w:left="992" w:hanging="425"/>
        <w:rPr>
          <w:rFonts w:cstheme="minorHAnsi"/>
        </w:rPr>
      </w:pPr>
      <w:r w:rsidRPr="00324382">
        <w:rPr>
          <w:rFonts w:eastAsia="Segoe UI" w:cstheme="minorHAnsi"/>
          <w:b/>
        </w:rPr>
        <w:t>B</w:t>
      </w:r>
      <w:r w:rsidRPr="00324382">
        <w:rPr>
          <w:rFonts w:eastAsia="Segoe UI" w:cstheme="minorHAnsi"/>
        </w:rPr>
        <w:t xml:space="preserve"> =</w:t>
      </w:r>
      <w:r w:rsidRPr="00324382">
        <w:rPr>
          <w:rFonts w:cstheme="minorHAnsi"/>
        </w:rPr>
        <w:tab/>
      </w:r>
      <w:r w:rsidRPr="00324382">
        <w:rPr>
          <w:rFonts w:eastAsia="Segoe UI" w:cstheme="minorHAnsi"/>
        </w:rPr>
        <w:t>the number of customer presentations to problem gambling services that can be attributed to gambling in a sector divided by the total number of customer presentations to problem gambling services in which a sector that is subject to the levy can be identified</w:t>
      </w:r>
    </w:p>
    <w:p w14:paraId="7C2251CA" w14:textId="77777777" w:rsidR="00172194" w:rsidRPr="00324382" w:rsidRDefault="00172194" w:rsidP="00172194">
      <w:pPr>
        <w:spacing w:before="120"/>
        <w:ind w:left="992" w:hanging="425"/>
        <w:rPr>
          <w:rFonts w:cstheme="minorHAnsi"/>
        </w:rPr>
      </w:pPr>
      <w:r w:rsidRPr="00324382">
        <w:rPr>
          <w:rFonts w:eastAsia="Segoe UI" w:cstheme="minorHAnsi"/>
          <w:b/>
        </w:rPr>
        <w:t>C</w:t>
      </w:r>
      <w:r w:rsidRPr="00324382">
        <w:rPr>
          <w:rFonts w:eastAsia="Segoe UI" w:cstheme="minorHAnsi"/>
        </w:rPr>
        <w:t xml:space="preserve"> =</w:t>
      </w:r>
      <w:r w:rsidRPr="00324382">
        <w:rPr>
          <w:rFonts w:cstheme="minorHAnsi"/>
        </w:rPr>
        <w:tab/>
      </w:r>
      <w:r w:rsidRPr="00324382">
        <w:rPr>
          <w:rFonts w:eastAsia="Segoe UI" w:cstheme="minorHAnsi"/>
        </w:rPr>
        <w:t>the funding requirement for the period for which the levy is payable</w:t>
      </w:r>
    </w:p>
    <w:p w14:paraId="4BA8BCC6" w14:textId="77777777" w:rsidR="00172194" w:rsidRPr="00324382" w:rsidRDefault="00172194" w:rsidP="00172194">
      <w:pPr>
        <w:spacing w:before="120"/>
        <w:ind w:left="993" w:hanging="426"/>
        <w:rPr>
          <w:rFonts w:cstheme="minorHAnsi"/>
        </w:rPr>
      </w:pPr>
      <w:r w:rsidRPr="00324382">
        <w:rPr>
          <w:rFonts w:eastAsia="Segoe UI" w:cstheme="minorHAnsi"/>
          <w:b/>
        </w:rPr>
        <w:t>D</w:t>
      </w:r>
      <w:r w:rsidRPr="00324382">
        <w:rPr>
          <w:rFonts w:eastAsia="Segoe UI" w:cstheme="minorHAnsi"/>
        </w:rPr>
        <w:t xml:space="preserve"> =</w:t>
      </w:r>
      <w:r w:rsidRPr="00324382">
        <w:rPr>
          <w:rFonts w:cstheme="minorHAnsi"/>
        </w:rPr>
        <w:tab/>
      </w:r>
      <w:r w:rsidRPr="00324382">
        <w:rPr>
          <w:rFonts w:eastAsia="Segoe UI" w:cstheme="minorHAnsi"/>
        </w:rPr>
        <w:t>the forecast player expenditure in a sector for the period during which the levy is payable</w:t>
      </w:r>
    </w:p>
    <w:p w14:paraId="235EE4A7" w14:textId="77777777" w:rsidR="00172194" w:rsidRPr="00324382" w:rsidRDefault="00172194" w:rsidP="00172194">
      <w:pPr>
        <w:spacing w:before="120"/>
        <w:ind w:left="993" w:hanging="426"/>
        <w:rPr>
          <w:rFonts w:cstheme="minorHAnsi"/>
        </w:rPr>
      </w:pPr>
      <w:r w:rsidRPr="00324382">
        <w:rPr>
          <w:rFonts w:eastAsia="Segoe UI" w:cstheme="minorHAnsi"/>
          <w:b/>
        </w:rPr>
        <w:t>R</w:t>
      </w:r>
      <w:r w:rsidRPr="00324382">
        <w:rPr>
          <w:rFonts w:eastAsia="Segoe UI" w:cstheme="minorHAnsi"/>
        </w:rPr>
        <w:t xml:space="preserve"> =</w:t>
      </w:r>
      <w:r w:rsidRPr="00324382">
        <w:rPr>
          <w:rFonts w:cstheme="minorHAnsi"/>
        </w:rPr>
        <w:tab/>
      </w:r>
      <w:r w:rsidRPr="00324382">
        <w:rPr>
          <w:rFonts w:eastAsia="Segoe UI" w:cstheme="minorHAnsi"/>
        </w:rPr>
        <w:t>the estimated under- or over-recovery of levy from a sector in the previous levy periods</w:t>
      </w:r>
      <w:hyperlink r:id="rId43" w:anchor="_ftn1">
        <w:r w:rsidRPr="00324382">
          <w:rPr>
            <w:rStyle w:val="Hyperlink"/>
            <w:rFonts w:eastAsia="Segoe UI" w:cstheme="minorHAnsi"/>
            <w:vertAlign w:val="superscript"/>
          </w:rPr>
          <w:t>[1]</w:t>
        </w:r>
      </w:hyperlink>
    </w:p>
    <w:p w14:paraId="0A76A3A7" w14:textId="77777777" w:rsidR="00172194" w:rsidRPr="00324382" w:rsidRDefault="00172194" w:rsidP="00172194">
      <w:pPr>
        <w:spacing w:before="120"/>
        <w:ind w:left="993" w:hanging="426"/>
        <w:rPr>
          <w:rFonts w:cstheme="minorHAnsi"/>
        </w:rPr>
      </w:pPr>
      <w:r w:rsidRPr="00324382">
        <w:rPr>
          <w:rFonts w:eastAsia="Segoe UI" w:cstheme="minorHAnsi"/>
          <w:b/>
        </w:rPr>
        <w:t>W1</w:t>
      </w:r>
      <w:r w:rsidRPr="00324382">
        <w:rPr>
          <w:rFonts w:eastAsia="Segoe UI" w:cstheme="minorHAnsi"/>
        </w:rPr>
        <w:t xml:space="preserve"> and </w:t>
      </w:r>
      <w:r w:rsidRPr="00324382">
        <w:rPr>
          <w:rFonts w:eastAsia="Segoe UI" w:cstheme="minorHAnsi"/>
          <w:b/>
        </w:rPr>
        <w:t>W2</w:t>
      </w:r>
      <w:r w:rsidRPr="00324382">
        <w:rPr>
          <w:rFonts w:eastAsia="Segoe UI" w:cstheme="minorHAnsi"/>
          <w:vertAlign w:val="subscript"/>
        </w:rPr>
        <w:t xml:space="preserve"> </w:t>
      </w:r>
      <w:r w:rsidRPr="00324382">
        <w:rPr>
          <w:rFonts w:eastAsia="Segoe UI" w:cstheme="minorHAnsi"/>
        </w:rPr>
        <w:t>are weights, the sum of which is 1.</w:t>
      </w:r>
    </w:p>
    <w:p w14:paraId="0470EE00" w14:textId="77777777" w:rsidR="00172194" w:rsidRPr="00324382" w:rsidRDefault="00172194" w:rsidP="00172194">
      <w:pPr>
        <w:rPr>
          <w:rFonts w:cstheme="minorHAnsi"/>
        </w:rPr>
      </w:pPr>
      <w:r w:rsidRPr="00324382">
        <w:rPr>
          <w:rFonts w:eastAsia="Segoe UI" w:cstheme="minorHAnsi"/>
        </w:rPr>
        <w:t xml:space="preserve"> </w:t>
      </w:r>
    </w:p>
    <w:p w14:paraId="7B672F8B" w14:textId="7DB4EF39" w:rsidR="00172194" w:rsidRDefault="00172194" w:rsidP="00172194">
      <w:r w:rsidRPr="00324382">
        <w:t xml:space="preserve">The top line of the formula determines the dollar amount to be paid by each sector as its share of the total levy amount, taking into account any over- or under-recovery in previous levy periods. </w:t>
      </w:r>
    </w:p>
    <w:p w14:paraId="214A5598" w14:textId="77777777" w:rsidR="00172194" w:rsidRPr="00324382" w:rsidRDefault="00172194" w:rsidP="00172194"/>
    <w:p w14:paraId="4097D484" w14:textId="3BC273AC" w:rsidR="00172194" w:rsidRDefault="00172194" w:rsidP="00172194">
      <w:r w:rsidRPr="00324382">
        <w:t>The bottom line of the formula (</w:t>
      </w:r>
      <w:r w:rsidRPr="00324382">
        <w:rPr>
          <w:b/>
        </w:rPr>
        <w:t>D</w:t>
      </w:r>
      <w:r w:rsidRPr="00324382">
        <w:t xml:space="preserve">, forecast player expenditure in the sector) determines the levy rate that is necessary for a sector to pay its required contribution (the dollar amount) determined by the top line of the formula. </w:t>
      </w:r>
    </w:p>
    <w:p w14:paraId="2DDC63F4" w14:textId="77777777" w:rsidR="00172194" w:rsidRPr="00324382" w:rsidRDefault="00172194" w:rsidP="00172194"/>
    <w:p w14:paraId="1BC0B0E2" w14:textId="7AF352A4" w:rsidR="00172194" w:rsidRDefault="00172194" w:rsidP="00172194">
      <w:r w:rsidRPr="00324382">
        <w:t>All other things being equal, the higher the forecast player expenditure for a sector, the lower that sector’s levy rate will be. Player expenditure for each sector is defined in section 320(3) of the Act. For example, each levy rate is the amount per dollar of player expenditure a sector must pay. A rate of 0.85 means a sector must pay 0.85 cents for every dollar of player expenditure in the levy period to which the rate applies.</w:t>
      </w:r>
    </w:p>
    <w:p w14:paraId="63B656F6" w14:textId="77777777" w:rsidR="00172194" w:rsidRDefault="00172194" w:rsidP="00172194"/>
    <w:p w14:paraId="4A4E9B47" w14:textId="6532FF18" w:rsidR="00172194" w:rsidRDefault="00172194" w:rsidP="00172194">
      <w:r w:rsidRPr="00290BE0">
        <w:rPr>
          <w:rFonts w:eastAsia="Calibri" w:cs="Segoe UI"/>
          <w:b/>
          <w:bCs/>
        </w:rPr>
        <w:t>Appendix Six</w:t>
      </w:r>
      <w:r w:rsidRPr="00290BE0">
        <w:rPr>
          <w:rFonts w:eastAsia="Calibri" w:cs="Segoe UI"/>
        </w:rPr>
        <w:t xml:space="preserve"> in the Appendices document</w:t>
      </w:r>
      <w:r>
        <w:t xml:space="preserve"> steps through the detailed inputs into the formula and the underpinning data and calculations. </w:t>
      </w:r>
    </w:p>
    <w:p w14:paraId="707132DA" w14:textId="77777777" w:rsidR="00172194" w:rsidRDefault="00172194" w:rsidP="00172194"/>
    <w:p w14:paraId="44A7D014" w14:textId="77777777" w:rsidR="00172194" w:rsidRPr="00324382" w:rsidRDefault="00172194" w:rsidP="00172194">
      <w:r>
        <w:t xml:space="preserve">The following section summarises the options for setting the levy. </w:t>
      </w:r>
    </w:p>
    <w:p w14:paraId="74E66E92" w14:textId="77777777" w:rsidR="00172194" w:rsidRPr="00172194" w:rsidRDefault="00172194" w:rsidP="00172194">
      <w:pPr>
        <w:pStyle w:val="Heading3"/>
      </w:pPr>
      <w:r w:rsidRPr="00172194">
        <w:t>Weightings</w:t>
      </w:r>
    </w:p>
    <w:p w14:paraId="472CD90A" w14:textId="41B8CE0E" w:rsidR="00172194" w:rsidRDefault="00172194" w:rsidP="00172194">
      <w:pPr>
        <w:rPr>
          <w:rFonts w:eastAsia="Segoe UI"/>
        </w:rPr>
      </w:pPr>
      <w:r w:rsidRPr="00C55C23">
        <w:rPr>
          <w:rFonts w:eastAsia="Segoe UI"/>
        </w:rPr>
        <w:t>The Act requires the Ministry to apply a weighting between current player expenditure (</w:t>
      </w:r>
      <w:r w:rsidRPr="00C55C23">
        <w:rPr>
          <w:rFonts w:eastAsia="Segoe UI"/>
          <w:b/>
        </w:rPr>
        <w:t>W1</w:t>
      </w:r>
      <w:r w:rsidRPr="00C55C23">
        <w:rPr>
          <w:rFonts w:eastAsia="Segoe UI"/>
        </w:rPr>
        <w:t>) and presentations (</w:t>
      </w:r>
      <w:r w:rsidRPr="00C55C23">
        <w:rPr>
          <w:rFonts w:eastAsia="Segoe UI"/>
          <w:b/>
        </w:rPr>
        <w:t>W2</w:t>
      </w:r>
      <w:r w:rsidRPr="00C55C23">
        <w:rPr>
          <w:rFonts w:eastAsia="Segoe UI"/>
        </w:rPr>
        <w:t>) to help determine the cost (</w:t>
      </w:r>
      <w:r w:rsidRPr="00C55C23">
        <w:rPr>
          <w:rFonts w:eastAsia="Segoe UI"/>
          <w:b/>
        </w:rPr>
        <w:t>C</w:t>
      </w:r>
      <w:r w:rsidRPr="00C55C23">
        <w:rPr>
          <w:rFonts w:eastAsia="Segoe UI"/>
        </w:rPr>
        <w:t>) that each sector is required to pay in levy.</w:t>
      </w:r>
    </w:p>
    <w:p w14:paraId="69C5C879" w14:textId="77777777" w:rsidR="00172194" w:rsidRPr="00C55C23" w:rsidRDefault="00172194" w:rsidP="00172194"/>
    <w:p w14:paraId="1E8F342B" w14:textId="77777777" w:rsidR="00172194" w:rsidRPr="00C55C23" w:rsidRDefault="00172194" w:rsidP="00172194">
      <w:pPr>
        <w:rPr>
          <w:rFonts w:eastAsia="Segoe UI"/>
          <w:b/>
        </w:rPr>
      </w:pPr>
      <w:r w:rsidRPr="00C55C23">
        <w:rPr>
          <w:rFonts w:eastAsia="Segoe UI"/>
        </w:rPr>
        <w:t xml:space="preserve">Table </w:t>
      </w:r>
      <w:r>
        <w:rPr>
          <w:rFonts w:eastAsia="Segoe UI"/>
        </w:rPr>
        <w:t xml:space="preserve">5 </w:t>
      </w:r>
      <w:r w:rsidRPr="00C55C23">
        <w:rPr>
          <w:rFonts w:eastAsia="Segoe UI"/>
        </w:rPr>
        <w:t>shows the proportion of expenditure (</w:t>
      </w:r>
      <w:r w:rsidRPr="00C55C23">
        <w:rPr>
          <w:rFonts w:eastAsia="Segoe UI"/>
          <w:b/>
        </w:rPr>
        <w:t>A</w:t>
      </w:r>
      <w:r w:rsidRPr="00C55C23">
        <w:rPr>
          <w:rFonts w:eastAsia="Segoe UI"/>
        </w:rPr>
        <w:t>) from each levy-paying sector’s proportion of expenditure for the 2022/23 financial year (to be updated when 2023/24 data become available), and presentations (</w:t>
      </w:r>
      <w:r w:rsidRPr="00C55C23">
        <w:rPr>
          <w:rFonts w:eastAsia="Segoe UI"/>
          <w:b/>
        </w:rPr>
        <w:t>B</w:t>
      </w:r>
      <w:r w:rsidRPr="00C55C23">
        <w:rPr>
          <w:rFonts w:eastAsia="Segoe UI"/>
        </w:rPr>
        <w:t>) attributed to each levy-paying sector for the 12-month period from 1 January to 31 to December 2023.</w:t>
      </w:r>
    </w:p>
    <w:p w14:paraId="14B572FB" w14:textId="3032F9D9" w:rsidR="00172194" w:rsidRDefault="00172194" w:rsidP="00172194">
      <w:pPr>
        <w:pStyle w:val="Table"/>
        <w:rPr>
          <w:rFonts w:eastAsia="Segoe UI"/>
        </w:rPr>
      </w:pPr>
      <w:bookmarkStart w:id="77" w:name="_Toc174634416"/>
      <w:r>
        <w:lastRenderedPageBreak/>
        <w:t xml:space="preserve">Table </w:t>
      </w:r>
      <w:r w:rsidR="00D46B4B">
        <w:fldChar w:fldCharType="begin"/>
      </w:r>
      <w:r w:rsidR="00D46B4B">
        <w:instrText xml:space="preserve"> SEQ Table \* ARABIC </w:instrText>
      </w:r>
      <w:r w:rsidR="00D46B4B">
        <w:fldChar w:fldCharType="separate"/>
      </w:r>
      <w:r w:rsidR="009D28D8">
        <w:rPr>
          <w:noProof/>
        </w:rPr>
        <w:t>5</w:t>
      </w:r>
      <w:r w:rsidR="00D46B4B">
        <w:rPr>
          <w:noProof/>
        </w:rPr>
        <w:fldChar w:fldCharType="end"/>
      </w:r>
      <w:r>
        <w:t xml:space="preserve">: </w:t>
      </w:r>
      <w:r w:rsidRPr="00C55C23">
        <w:rPr>
          <w:rFonts w:eastAsia="Segoe UI"/>
        </w:rPr>
        <w:t xml:space="preserve">Share of expenditure (2022/23) and presentations (2023) by </w:t>
      </w:r>
      <w:r>
        <w:rPr>
          <w:rFonts w:eastAsia="Segoe UI"/>
        </w:rPr>
        <w:t xml:space="preserve">levy-paying </w:t>
      </w:r>
      <w:r w:rsidRPr="00C55C23">
        <w:rPr>
          <w:rFonts w:eastAsia="Segoe UI"/>
        </w:rPr>
        <w:t>sector</w:t>
      </w:r>
      <w:bookmarkEnd w:id="77"/>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63"/>
        <w:gridCol w:w="1055"/>
        <w:gridCol w:w="962"/>
        <w:gridCol w:w="1055"/>
        <w:gridCol w:w="962"/>
        <w:gridCol w:w="1055"/>
        <w:gridCol w:w="962"/>
        <w:gridCol w:w="1055"/>
      </w:tblGrid>
      <w:tr w:rsidR="00172194" w14:paraId="6F99FEED" w14:textId="77777777" w:rsidTr="000134CF">
        <w:tc>
          <w:tcPr>
            <w:tcW w:w="2018" w:type="dxa"/>
            <w:gridSpan w:val="2"/>
            <w:tcBorders>
              <w:top w:val="nil"/>
              <w:bottom w:val="nil"/>
            </w:tcBorders>
            <w:shd w:val="clear" w:color="auto" w:fill="D9D9D9" w:themeFill="background1" w:themeFillShade="D9"/>
          </w:tcPr>
          <w:p w14:paraId="597830BB" w14:textId="7DEF1D1B" w:rsidR="00172194" w:rsidRPr="000134CF" w:rsidRDefault="00172194" w:rsidP="000134CF">
            <w:pPr>
              <w:pStyle w:val="TableText"/>
              <w:jc w:val="center"/>
              <w:rPr>
                <w:rFonts w:eastAsia="Segoe UI"/>
                <w:b/>
                <w:bCs/>
              </w:rPr>
            </w:pPr>
            <w:r w:rsidRPr="000134CF">
              <w:rPr>
                <w:rFonts w:eastAsia="Segoe UI"/>
                <w:b/>
                <w:bCs/>
              </w:rPr>
              <w:t>Class 4</w:t>
            </w:r>
          </w:p>
        </w:tc>
        <w:tc>
          <w:tcPr>
            <w:tcW w:w="2017" w:type="dxa"/>
            <w:gridSpan w:val="2"/>
            <w:tcBorders>
              <w:top w:val="nil"/>
              <w:bottom w:val="nil"/>
            </w:tcBorders>
            <w:shd w:val="clear" w:color="auto" w:fill="D9D9D9" w:themeFill="background1" w:themeFillShade="D9"/>
          </w:tcPr>
          <w:p w14:paraId="58C5243E" w14:textId="01F1C12E" w:rsidR="00172194" w:rsidRPr="000134CF" w:rsidRDefault="00172194" w:rsidP="000134CF">
            <w:pPr>
              <w:pStyle w:val="TableText"/>
              <w:jc w:val="center"/>
              <w:rPr>
                <w:rFonts w:eastAsia="Segoe UI"/>
                <w:b/>
                <w:bCs/>
              </w:rPr>
            </w:pPr>
            <w:r w:rsidRPr="000134CF">
              <w:rPr>
                <w:rFonts w:eastAsia="Segoe UI"/>
                <w:b/>
                <w:bCs/>
              </w:rPr>
              <w:t>Casinos</w:t>
            </w:r>
          </w:p>
        </w:tc>
        <w:tc>
          <w:tcPr>
            <w:tcW w:w="2017" w:type="dxa"/>
            <w:gridSpan w:val="2"/>
            <w:tcBorders>
              <w:top w:val="nil"/>
              <w:bottom w:val="nil"/>
            </w:tcBorders>
            <w:shd w:val="clear" w:color="auto" w:fill="D9D9D9" w:themeFill="background1" w:themeFillShade="D9"/>
          </w:tcPr>
          <w:p w14:paraId="56AFCFE3" w14:textId="51B7349E" w:rsidR="00172194" w:rsidRPr="000134CF" w:rsidRDefault="00172194" w:rsidP="000134CF">
            <w:pPr>
              <w:pStyle w:val="TableText"/>
              <w:jc w:val="center"/>
              <w:rPr>
                <w:rFonts w:eastAsia="Segoe UI"/>
                <w:b/>
                <w:bCs/>
              </w:rPr>
            </w:pPr>
            <w:r w:rsidRPr="000134CF">
              <w:rPr>
                <w:rFonts w:eastAsia="Segoe UI"/>
                <w:b/>
                <w:bCs/>
              </w:rPr>
              <w:t>TAB NZ</w:t>
            </w:r>
          </w:p>
        </w:tc>
        <w:tc>
          <w:tcPr>
            <w:tcW w:w="2017" w:type="dxa"/>
            <w:gridSpan w:val="2"/>
            <w:tcBorders>
              <w:top w:val="nil"/>
              <w:bottom w:val="nil"/>
            </w:tcBorders>
            <w:shd w:val="clear" w:color="auto" w:fill="D9D9D9" w:themeFill="background1" w:themeFillShade="D9"/>
          </w:tcPr>
          <w:p w14:paraId="3D292C6C" w14:textId="1182765E" w:rsidR="00172194" w:rsidRPr="000134CF" w:rsidRDefault="00172194" w:rsidP="000134CF">
            <w:pPr>
              <w:pStyle w:val="TableText"/>
              <w:jc w:val="center"/>
              <w:rPr>
                <w:rFonts w:eastAsia="Segoe UI"/>
                <w:b/>
                <w:bCs/>
              </w:rPr>
            </w:pPr>
            <w:r w:rsidRPr="000134CF">
              <w:rPr>
                <w:rFonts w:eastAsia="Segoe UI"/>
                <w:b/>
                <w:bCs/>
              </w:rPr>
              <w:t>Lotto NZ</w:t>
            </w:r>
          </w:p>
        </w:tc>
      </w:tr>
      <w:tr w:rsidR="00172194" w14:paraId="5ABC903A" w14:textId="77777777" w:rsidTr="000134CF">
        <w:tc>
          <w:tcPr>
            <w:tcW w:w="963" w:type="dxa"/>
            <w:tcBorders>
              <w:top w:val="nil"/>
            </w:tcBorders>
            <w:shd w:val="clear" w:color="auto" w:fill="D9D9D9" w:themeFill="background1" w:themeFillShade="D9"/>
          </w:tcPr>
          <w:p w14:paraId="01D5C62F" w14:textId="20C6E3F2" w:rsidR="00172194" w:rsidRPr="000134CF" w:rsidRDefault="00172194" w:rsidP="000134CF">
            <w:pPr>
              <w:pStyle w:val="TableText"/>
              <w:rPr>
                <w:rFonts w:eastAsia="Segoe UI"/>
                <w:sz w:val="14"/>
                <w:szCs w:val="16"/>
              </w:rPr>
            </w:pPr>
            <w:r w:rsidRPr="000134CF">
              <w:rPr>
                <w:rFonts w:eastAsia="Segoe UI"/>
                <w:sz w:val="14"/>
                <w:szCs w:val="16"/>
              </w:rPr>
              <w:t>Expenditure</w:t>
            </w:r>
          </w:p>
        </w:tc>
        <w:tc>
          <w:tcPr>
            <w:tcW w:w="1055" w:type="dxa"/>
            <w:tcBorders>
              <w:top w:val="nil"/>
              <w:right w:val="single" w:sz="4" w:space="0" w:color="A6A6A6" w:themeColor="background1" w:themeShade="A6"/>
            </w:tcBorders>
            <w:shd w:val="clear" w:color="auto" w:fill="D9D9D9" w:themeFill="background1" w:themeFillShade="D9"/>
          </w:tcPr>
          <w:p w14:paraId="0120A4C3" w14:textId="09236BFF" w:rsidR="00172194" w:rsidRPr="000134CF" w:rsidRDefault="00172194" w:rsidP="000134CF">
            <w:pPr>
              <w:pStyle w:val="TableText"/>
              <w:rPr>
                <w:rFonts w:eastAsia="Segoe UI"/>
                <w:sz w:val="14"/>
                <w:szCs w:val="16"/>
              </w:rPr>
            </w:pPr>
            <w:r w:rsidRPr="000134CF">
              <w:rPr>
                <w:rFonts w:eastAsia="Segoe UI"/>
                <w:sz w:val="14"/>
                <w:szCs w:val="16"/>
              </w:rPr>
              <w:t>Presentations</w:t>
            </w:r>
          </w:p>
        </w:tc>
        <w:tc>
          <w:tcPr>
            <w:tcW w:w="962" w:type="dxa"/>
            <w:tcBorders>
              <w:top w:val="nil"/>
              <w:left w:val="single" w:sz="4" w:space="0" w:color="A6A6A6" w:themeColor="background1" w:themeShade="A6"/>
            </w:tcBorders>
            <w:shd w:val="clear" w:color="auto" w:fill="D9D9D9" w:themeFill="background1" w:themeFillShade="D9"/>
          </w:tcPr>
          <w:p w14:paraId="5C5D7C58" w14:textId="2EF2C824" w:rsidR="00172194" w:rsidRPr="000134CF" w:rsidRDefault="00172194" w:rsidP="000134CF">
            <w:pPr>
              <w:pStyle w:val="TableText"/>
              <w:rPr>
                <w:rFonts w:eastAsia="Segoe UI"/>
                <w:sz w:val="14"/>
                <w:szCs w:val="16"/>
              </w:rPr>
            </w:pPr>
            <w:r w:rsidRPr="000134CF">
              <w:rPr>
                <w:rFonts w:eastAsia="Segoe UI"/>
                <w:sz w:val="14"/>
                <w:szCs w:val="16"/>
              </w:rPr>
              <w:t>Expenditure</w:t>
            </w:r>
          </w:p>
        </w:tc>
        <w:tc>
          <w:tcPr>
            <w:tcW w:w="1055" w:type="dxa"/>
            <w:tcBorders>
              <w:top w:val="nil"/>
              <w:right w:val="single" w:sz="4" w:space="0" w:color="A6A6A6" w:themeColor="background1" w:themeShade="A6"/>
            </w:tcBorders>
            <w:shd w:val="clear" w:color="auto" w:fill="D9D9D9" w:themeFill="background1" w:themeFillShade="D9"/>
          </w:tcPr>
          <w:p w14:paraId="097832F4" w14:textId="32F4D0E4" w:rsidR="00172194" w:rsidRPr="000134CF" w:rsidRDefault="00172194" w:rsidP="000134CF">
            <w:pPr>
              <w:pStyle w:val="TableText"/>
              <w:rPr>
                <w:rFonts w:eastAsia="Segoe UI"/>
                <w:sz w:val="14"/>
                <w:szCs w:val="16"/>
              </w:rPr>
            </w:pPr>
            <w:r w:rsidRPr="000134CF">
              <w:rPr>
                <w:rFonts w:eastAsia="Segoe UI"/>
                <w:sz w:val="14"/>
                <w:szCs w:val="16"/>
              </w:rPr>
              <w:t>Presentations</w:t>
            </w:r>
          </w:p>
        </w:tc>
        <w:tc>
          <w:tcPr>
            <w:tcW w:w="962" w:type="dxa"/>
            <w:tcBorders>
              <w:top w:val="nil"/>
              <w:left w:val="single" w:sz="4" w:space="0" w:color="A6A6A6" w:themeColor="background1" w:themeShade="A6"/>
            </w:tcBorders>
            <w:shd w:val="clear" w:color="auto" w:fill="D9D9D9" w:themeFill="background1" w:themeFillShade="D9"/>
          </w:tcPr>
          <w:p w14:paraId="63476C17" w14:textId="74FE7D10" w:rsidR="00172194" w:rsidRPr="000134CF" w:rsidRDefault="00172194" w:rsidP="000134CF">
            <w:pPr>
              <w:pStyle w:val="TableText"/>
              <w:rPr>
                <w:rFonts w:eastAsia="Segoe UI"/>
                <w:sz w:val="14"/>
                <w:szCs w:val="16"/>
              </w:rPr>
            </w:pPr>
            <w:r w:rsidRPr="000134CF">
              <w:rPr>
                <w:rFonts w:eastAsia="Segoe UI"/>
                <w:sz w:val="14"/>
                <w:szCs w:val="16"/>
              </w:rPr>
              <w:t>Expenditure</w:t>
            </w:r>
          </w:p>
        </w:tc>
        <w:tc>
          <w:tcPr>
            <w:tcW w:w="1055" w:type="dxa"/>
            <w:tcBorders>
              <w:top w:val="nil"/>
              <w:right w:val="single" w:sz="4" w:space="0" w:color="A6A6A6" w:themeColor="background1" w:themeShade="A6"/>
            </w:tcBorders>
            <w:shd w:val="clear" w:color="auto" w:fill="D9D9D9" w:themeFill="background1" w:themeFillShade="D9"/>
          </w:tcPr>
          <w:p w14:paraId="460AAA10" w14:textId="6210BE87" w:rsidR="00172194" w:rsidRPr="000134CF" w:rsidRDefault="00172194" w:rsidP="000134CF">
            <w:pPr>
              <w:pStyle w:val="TableText"/>
              <w:rPr>
                <w:rFonts w:eastAsia="Segoe UI"/>
                <w:sz w:val="14"/>
                <w:szCs w:val="16"/>
              </w:rPr>
            </w:pPr>
            <w:r w:rsidRPr="000134CF">
              <w:rPr>
                <w:rFonts w:eastAsia="Segoe UI"/>
                <w:sz w:val="14"/>
                <w:szCs w:val="16"/>
              </w:rPr>
              <w:t>Presentations</w:t>
            </w:r>
          </w:p>
        </w:tc>
        <w:tc>
          <w:tcPr>
            <w:tcW w:w="962" w:type="dxa"/>
            <w:tcBorders>
              <w:top w:val="nil"/>
              <w:left w:val="single" w:sz="4" w:space="0" w:color="A6A6A6" w:themeColor="background1" w:themeShade="A6"/>
            </w:tcBorders>
            <w:shd w:val="clear" w:color="auto" w:fill="D9D9D9" w:themeFill="background1" w:themeFillShade="D9"/>
          </w:tcPr>
          <w:p w14:paraId="222AFD62" w14:textId="376A3AA7" w:rsidR="00172194" w:rsidRPr="000134CF" w:rsidRDefault="00172194" w:rsidP="000134CF">
            <w:pPr>
              <w:pStyle w:val="TableText"/>
              <w:rPr>
                <w:rFonts w:eastAsia="Segoe UI"/>
                <w:sz w:val="14"/>
                <w:szCs w:val="16"/>
              </w:rPr>
            </w:pPr>
            <w:r w:rsidRPr="000134CF">
              <w:rPr>
                <w:rFonts w:eastAsia="Segoe UI"/>
                <w:sz w:val="14"/>
                <w:szCs w:val="16"/>
              </w:rPr>
              <w:t>Expenditure</w:t>
            </w:r>
          </w:p>
        </w:tc>
        <w:tc>
          <w:tcPr>
            <w:tcW w:w="1055" w:type="dxa"/>
            <w:tcBorders>
              <w:top w:val="nil"/>
            </w:tcBorders>
            <w:shd w:val="clear" w:color="auto" w:fill="D9D9D9" w:themeFill="background1" w:themeFillShade="D9"/>
          </w:tcPr>
          <w:p w14:paraId="66475CB6" w14:textId="0158EAF2" w:rsidR="00172194" w:rsidRPr="000134CF" w:rsidRDefault="00172194" w:rsidP="000134CF">
            <w:pPr>
              <w:pStyle w:val="TableText"/>
              <w:rPr>
                <w:rFonts w:eastAsia="Segoe UI"/>
                <w:sz w:val="14"/>
                <w:szCs w:val="16"/>
              </w:rPr>
            </w:pPr>
            <w:r w:rsidRPr="000134CF">
              <w:rPr>
                <w:rFonts w:eastAsia="Segoe UI"/>
                <w:sz w:val="14"/>
                <w:szCs w:val="16"/>
              </w:rPr>
              <w:t>Presentations</w:t>
            </w:r>
          </w:p>
        </w:tc>
      </w:tr>
      <w:tr w:rsidR="000134CF" w14:paraId="76CBFA9A" w14:textId="77777777" w:rsidTr="000134CF">
        <w:tc>
          <w:tcPr>
            <w:tcW w:w="963" w:type="dxa"/>
          </w:tcPr>
          <w:p w14:paraId="0EF5E04F" w14:textId="455B5C9A" w:rsidR="000134CF" w:rsidRDefault="000134CF" w:rsidP="000134CF">
            <w:pPr>
              <w:pStyle w:val="TableText"/>
              <w:jc w:val="center"/>
              <w:rPr>
                <w:rFonts w:eastAsia="Segoe UI"/>
              </w:rPr>
            </w:pPr>
            <w:r w:rsidRPr="00C55C23">
              <w:rPr>
                <w:rFonts w:eastAsia="Segoe UI"/>
              </w:rPr>
              <w:t>0.388</w:t>
            </w:r>
          </w:p>
        </w:tc>
        <w:tc>
          <w:tcPr>
            <w:tcW w:w="1055" w:type="dxa"/>
            <w:tcBorders>
              <w:right w:val="single" w:sz="4" w:space="0" w:color="A6A6A6" w:themeColor="background1" w:themeShade="A6"/>
            </w:tcBorders>
          </w:tcPr>
          <w:p w14:paraId="09AAE502" w14:textId="5CFC49F9" w:rsidR="000134CF" w:rsidRDefault="000134CF" w:rsidP="000134CF">
            <w:pPr>
              <w:pStyle w:val="TableText"/>
              <w:jc w:val="center"/>
              <w:rPr>
                <w:rFonts w:eastAsia="Segoe UI"/>
              </w:rPr>
            </w:pPr>
            <w:r w:rsidRPr="00C55C23">
              <w:rPr>
                <w:rFonts w:eastAsia="Segoe UI"/>
              </w:rPr>
              <w:t>0.543</w:t>
            </w:r>
          </w:p>
        </w:tc>
        <w:tc>
          <w:tcPr>
            <w:tcW w:w="962" w:type="dxa"/>
            <w:tcBorders>
              <w:left w:val="single" w:sz="4" w:space="0" w:color="A6A6A6" w:themeColor="background1" w:themeShade="A6"/>
            </w:tcBorders>
          </w:tcPr>
          <w:p w14:paraId="7C203AF1" w14:textId="55AEC0FA" w:rsidR="000134CF" w:rsidRDefault="000134CF" w:rsidP="000134CF">
            <w:pPr>
              <w:pStyle w:val="TableText"/>
              <w:jc w:val="center"/>
              <w:rPr>
                <w:rFonts w:eastAsia="Segoe UI"/>
              </w:rPr>
            </w:pPr>
            <w:r w:rsidRPr="00C55C23">
              <w:rPr>
                <w:rFonts w:eastAsia="Segoe UI"/>
              </w:rPr>
              <w:t>0.219</w:t>
            </w:r>
          </w:p>
        </w:tc>
        <w:tc>
          <w:tcPr>
            <w:tcW w:w="1055" w:type="dxa"/>
            <w:tcBorders>
              <w:right w:val="single" w:sz="4" w:space="0" w:color="A6A6A6" w:themeColor="background1" w:themeShade="A6"/>
            </w:tcBorders>
          </w:tcPr>
          <w:p w14:paraId="7B8218BF" w14:textId="2C2E29C3" w:rsidR="000134CF" w:rsidRDefault="000134CF" w:rsidP="000134CF">
            <w:pPr>
              <w:pStyle w:val="TableText"/>
              <w:jc w:val="center"/>
              <w:rPr>
                <w:rFonts w:eastAsia="Segoe UI"/>
              </w:rPr>
            </w:pPr>
            <w:r w:rsidRPr="00C55C23">
              <w:rPr>
                <w:rFonts w:eastAsia="Segoe UI"/>
              </w:rPr>
              <w:t>0.204</w:t>
            </w:r>
          </w:p>
        </w:tc>
        <w:tc>
          <w:tcPr>
            <w:tcW w:w="962" w:type="dxa"/>
            <w:tcBorders>
              <w:left w:val="single" w:sz="4" w:space="0" w:color="A6A6A6" w:themeColor="background1" w:themeShade="A6"/>
            </w:tcBorders>
          </w:tcPr>
          <w:p w14:paraId="48FC587D" w14:textId="0204E9BF" w:rsidR="000134CF" w:rsidRDefault="000134CF" w:rsidP="000134CF">
            <w:pPr>
              <w:pStyle w:val="TableText"/>
              <w:jc w:val="center"/>
              <w:rPr>
                <w:rFonts w:eastAsia="Segoe UI"/>
              </w:rPr>
            </w:pPr>
            <w:r w:rsidRPr="00C55C23">
              <w:rPr>
                <w:rFonts w:eastAsia="Segoe UI"/>
              </w:rPr>
              <w:t>0.136</w:t>
            </w:r>
          </w:p>
        </w:tc>
        <w:tc>
          <w:tcPr>
            <w:tcW w:w="1055" w:type="dxa"/>
            <w:tcBorders>
              <w:right w:val="single" w:sz="4" w:space="0" w:color="A6A6A6" w:themeColor="background1" w:themeShade="A6"/>
            </w:tcBorders>
          </w:tcPr>
          <w:p w14:paraId="13DB8C0E" w14:textId="1187F7F1" w:rsidR="000134CF" w:rsidRDefault="000134CF" w:rsidP="000134CF">
            <w:pPr>
              <w:pStyle w:val="TableText"/>
              <w:jc w:val="center"/>
              <w:rPr>
                <w:rFonts w:eastAsia="Segoe UI"/>
              </w:rPr>
            </w:pPr>
            <w:r w:rsidRPr="00C55C23">
              <w:rPr>
                <w:rFonts w:eastAsia="Segoe UI"/>
              </w:rPr>
              <w:t>0.102</w:t>
            </w:r>
          </w:p>
        </w:tc>
        <w:tc>
          <w:tcPr>
            <w:tcW w:w="962" w:type="dxa"/>
            <w:tcBorders>
              <w:left w:val="single" w:sz="4" w:space="0" w:color="A6A6A6" w:themeColor="background1" w:themeShade="A6"/>
            </w:tcBorders>
          </w:tcPr>
          <w:p w14:paraId="6898A3FD" w14:textId="283F8AD5" w:rsidR="000134CF" w:rsidRDefault="000134CF" w:rsidP="000134CF">
            <w:pPr>
              <w:pStyle w:val="TableText"/>
              <w:jc w:val="center"/>
              <w:rPr>
                <w:rFonts w:eastAsia="Segoe UI"/>
              </w:rPr>
            </w:pPr>
            <w:r w:rsidRPr="00C55C23">
              <w:rPr>
                <w:rFonts w:eastAsia="Segoe UI"/>
              </w:rPr>
              <w:t>0.257</w:t>
            </w:r>
          </w:p>
        </w:tc>
        <w:tc>
          <w:tcPr>
            <w:tcW w:w="1055" w:type="dxa"/>
          </w:tcPr>
          <w:p w14:paraId="42D815E0" w14:textId="28BDD34A" w:rsidR="000134CF" w:rsidRDefault="000134CF" w:rsidP="000134CF">
            <w:pPr>
              <w:pStyle w:val="TableText"/>
              <w:jc w:val="center"/>
              <w:rPr>
                <w:rFonts w:eastAsia="Segoe UI"/>
              </w:rPr>
            </w:pPr>
            <w:r w:rsidRPr="00C55C23">
              <w:rPr>
                <w:rFonts w:eastAsia="Segoe UI"/>
              </w:rPr>
              <w:t>0.150</w:t>
            </w:r>
          </w:p>
        </w:tc>
      </w:tr>
    </w:tbl>
    <w:p w14:paraId="25230BAE" w14:textId="77777777" w:rsidR="00172194" w:rsidRPr="00C55C23" w:rsidRDefault="00172194" w:rsidP="00172194">
      <w:pPr>
        <w:rPr>
          <w:rFonts w:cstheme="minorHAnsi"/>
        </w:rPr>
      </w:pPr>
      <w:r w:rsidRPr="00C55C23">
        <w:rPr>
          <w:rFonts w:eastAsia="Segoe UI" w:cstheme="minorHAnsi"/>
          <w:szCs w:val="21"/>
        </w:rPr>
        <w:t xml:space="preserve"> </w:t>
      </w:r>
    </w:p>
    <w:p w14:paraId="4C83D7AB" w14:textId="77777777" w:rsidR="00172194" w:rsidRPr="006D5016" w:rsidRDefault="00172194" w:rsidP="000134CF">
      <w:r w:rsidRPr="006D5016">
        <w:rPr>
          <w:rFonts w:eastAsia="Segoe UI"/>
        </w:rPr>
        <w:t>The top line of the levy formula determines the amount each sector shall pay. When a sector’s proportion of expenditure is substantially different from its proportion of presentations (W1 and W2 respectively), the weighting between expenditure and presentations is critical to determine how much each sector will be required to pay.</w:t>
      </w:r>
    </w:p>
    <w:p w14:paraId="78F5A391" w14:textId="77777777" w:rsidR="00172194" w:rsidRPr="000134CF" w:rsidRDefault="00172194" w:rsidP="000134CF">
      <w:pPr>
        <w:pStyle w:val="Heading2"/>
      </w:pPr>
      <w:bookmarkStart w:id="78" w:name="_Toc173154257"/>
      <w:bookmarkStart w:id="79" w:name="_Toc173848539"/>
      <w:bookmarkStart w:id="80" w:name="_Toc2137475844"/>
      <w:bookmarkStart w:id="81" w:name="_Toc174634405"/>
      <w:r w:rsidRPr="000134CF">
        <w:t>Options and levy calculations</w:t>
      </w:r>
      <w:bookmarkEnd w:id="78"/>
      <w:bookmarkEnd w:id="79"/>
      <w:bookmarkEnd w:id="80"/>
      <w:bookmarkEnd w:id="81"/>
      <w:r w:rsidRPr="000134CF">
        <w:t xml:space="preserve"> </w:t>
      </w:r>
    </w:p>
    <w:p w14:paraId="0290F9D3" w14:textId="3355200E" w:rsidR="00172194" w:rsidRDefault="00172194" w:rsidP="00172194">
      <w:r w:rsidRPr="006D5016">
        <w:t xml:space="preserve">Tables </w:t>
      </w:r>
      <w:r>
        <w:t xml:space="preserve">6–9 </w:t>
      </w:r>
      <w:r w:rsidRPr="006D5016">
        <w:t>set out the implications for each of the four alternative levy weightings 5/95, 10/90, 20/80 and 30/70 respectively, based on an appropriation of $8</w:t>
      </w:r>
      <w:r w:rsidR="00296D56">
        <w:t>7</w:t>
      </w:r>
      <w:r w:rsidRPr="006D5016">
        <w:t>.</w:t>
      </w:r>
      <w:r w:rsidR="00296D56">
        <w:t>7</w:t>
      </w:r>
      <w:r w:rsidRPr="006D5016">
        <w:t xml:space="preserve">18 million to the health sector to cover costs to the Ministry and Health New Zealand, for problem gambling activities for 2025/26 to 2027/28. </w:t>
      </w:r>
    </w:p>
    <w:p w14:paraId="3FBBDDC0" w14:textId="77777777" w:rsidR="000134CF" w:rsidRPr="006D5016" w:rsidRDefault="000134CF" w:rsidP="00172194"/>
    <w:p w14:paraId="0ECCC8C8" w14:textId="77777777" w:rsidR="00172194" w:rsidRPr="006D5016" w:rsidRDefault="00172194" w:rsidP="00172194">
      <w:pPr>
        <w:rPr>
          <w:rFonts w:cstheme="minorHAnsi"/>
        </w:rPr>
      </w:pPr>
      <w:r w:rsidRPr="006D5016">
        <w:rPr>
          <w:rFonts w:eastAsia="Segoe UI" w:cstheme="minorHAnsi"/>
        </w:rPr>
        <w:t xml:space="preserve">Each table shows the levy rate per sector and the expected amount of levy payments over the three-year period and compares these with each sector’s levy payments for the current levy period to 30 June 2025. A positive figure indicates that the sector is expected to pay more in the next levy period, and a negative figure indicates that the sector is expected to pay less. </w:t>
      </w:r>
    </w:p>
    <w:p w14:paraId="613F4BD1" w14:textId="63F850D1" w:rsidR="00172194" w:rsidRPr="006D5016" w:rsidRDefault="00172194" w:rsidP="00172194">
      <w:pPr>
        <w:pStyle w:val="Table"/>
      </w:pPr>
      <w:bookmarkStart w:id="82" w:name="_Toc174634417"/>
      <w:r>
        <w:t xml:space="preserve">Table </w:t>
      </w:r>
      <w:r w:rsidR="00D46B4B">
        <w:fldChar w:fldCharType="begin"/>
      </w:r>
      <w:r w:rsidR="00D46B4B">
        <w:instrText xml:space="preserve"> SEQ Table \* ARABIC </w:instrText>
      </w:r>
      <w:r w:rsidR="00D46B4B">
        <w:fldChar w:fldCharType="separate"/>
      </w:r>
      <w:r w:rsidR="009D28D8">
        <w:rPr>
          <w:noProof/>
        </w:rPr>
        <w:t>6</w:t>
      </w:r>
      <w:r w:rsidR="00D46B4B">
        <w:rPr>
          <w:noProof/>
        </w:rPr>
        <w:fldChar w:fldCharType="end"/>
      </w:r>
      <w:r>
        <w:t xml:space="preserve">: </w:t>
      </w:r>
      <w:r w:rsidRPr="006D5016">
        <w:rPr>
          <w:rFonts w:eastAsia="Segoe UI"/>
        </w:rPr>
        <w:t>Estimated levy rates and payments ($m) per sector, 5/95 weighting</w:t>
      </w:r>
      <w:bookmarkEnd w:id="82"/>
    </w:p>
    <w:tbl>
      <w:tblPr>
        <w:tblW w:w="8222" w:type="dxa"/>
        <w:tblBorders>
          <w:top w:val="single" w:sz="8" w:space="0" w:color="A6A6A6" w:themeColor="background1" w:themeShade="A6"/>
          <w:bottom w:val="single" w:sz="8" w:space="0" w:color="A6A6A6" w:themeColor="background1" w:themeShade="A6"/>
          <w:insideH w:val="single" w:sz="8" w:space="0" w:color="A6A6A6" w:themeColor="background1" w:themeShade="A6"/>
        </w:tblBorders>
        <w:tblLayout w:type="fixed"/>
        <w:tblLook w:val="06A0" w:firstRow="1" w:lastRow="0" w:firstColumn="1" w:lastColumn="0" w:noHBand="1" w:noVBand="1"/>
      </w:tblPr>
      <w:tblGrid>
        <w:gridCol w:w="3775"/>
        <w:gridCol w:w="1111"/>
        <w:gridCol w:w="1112"/>
        <w:gridCol w:w="1112"/>
        <w:gridCol w:w="1112"/>
      </w:tblGrid>
      <w:tr w:rsidR="00172194" w:rsidRPr="000134CF" w14:paraId="61ADAA91" w14:textId="77777777" w:rsidTr="000134CF">
        <w:trPr>
          <w:trHeight w:val="300"/>
        </w:trPr>
        <w:tc>
          <w:tcPr>
            <w:tcW w:w="3775" w:type="dxa"/>
            <w:tcBorders>
              <w:top w:val="nil"/>
              <w:bottom w:val="nil"/>
            </w:tcBorders>
            <w:shd w:val="clear" w:color="auto" w:fill="D9D9D9" w:themeFill="background1" w:themeFillShade="D9"/>
            <w:tcMar>
              <w:left w:w="57" w:type="dxa"/>
              <w:right w:w="57" w:type="dxa"/>
            </w:tcMar>
          </w:tcPr>
          <w:p w14:paraId="544C7361" w14:textId="77777777" w:rsidR="00172194" w:rsidRPr="000134CF" w:rsidRDefault="00172194" w:rsidP="000134CF">
            <w:pPr>
              <w:pStyle w:val="TableText"/>
              <w:rPr>
                <w:b/>
                <w:bCs/>
              </w:rPr>
            </w:pPr>
            <w:r w:rsidRPr="000134CF">
              <w:rPr>
                <w:rFonts w:eastAsia="Segoe UI"/>
                <w:b/>
                <w:bCs/>
              </w:rPr>
              <w:t>Collection period starts 1 July 2025 (all GST exclusive)</w:t>
            </w:r>
          </w:p>
        </w:tc>
        <w:tc>
          <w:tcPr>
            <w:tcW w:w="1111" w:type="dxa"/>
            <w:tcBorders>
              <w:top w:val="nil"/>
              <w:bottom w:val="nil"/>
            </w:tcBorders>
            <w:shd w:val="clear" w:color="auto" w:fill="D9D9D9" w:themeFill="background1" w:themeFillShade="D9"/>
            <w:tcMar>
              <w:left w:w="108" w:type="dxa"/>
              <w:right w:w="108" w:type="dxa"/>
            </w:tcMar>
          </w:tcPr>
          <w:p w14:paraId="13F34401" w14:textId="77777777" w:rsidR="00172194" w:rsidRPr="000134CF" w:rsidRDefault="00172194" w:rsidP="0012551A">
            <w:pPr>
              <w:pStyle w:val="TableText"/>
              <w:jc w:val="center"/>
              <w:rPr>
                <w:b/>
                <w:bCs/>
              </w:rPr>
            </w:pPr>
            <w:r w:rsidRPr="000134CF">
              <w:rPr>
                <w:rFonts w:eastAsia="Segoe UI"/>
                <w:b/>
                <w:bCs/>
              </w:rPr>
              <w:t>Class 4</w:t>
            </w:r>
          </w:p>
        </w:tc>
        <w:tc>
          <w:tcPr>
            <w:tcW w:w="1112" w:type="dxa"/>
            <w:tcBorders>
              <w:top w:val="nil"/>
              <w:bottom w:val="nil"/>
            </w:tcBorders>
            <w:shd w:val="clear" w:color="auto" w:fill="D9D9D9" w:themeFill="background1" w:themeFillShade="D9"/>
            <w:tcMar>
              <w:left w:w="108" w:type="dxa"/>
              <w:right w:w="108" w:type="dxa"/>
            </w:tcMar>
          </w:tcPr>
          <w:p w14:paraId="7684A630" w14:textId="77777777" w:rsidR="00172194" w:rsidRPr="000134CF" w:rsidRDefault="00172194" w:rsidP="0012551A">
            <w:pPr>
              <w:pStyle w:val="TableText"/>
              <w:jc w:val="center"/>
              <w:rPr>
                <w:b/>
                <w:bCs/>
              </w:rPr>
            </w:pPr>
            <w:r w:rsidRPr="000134CF">
              <w:rPr>
                <w:rFonts w:eastAsia="Segoe UI"/>
                <w:b/>
                <w:bCs/>
              </w:rPr>
              <w:t>Casinos</w:t>
            </w:r>
          </w:p>
        </w:tc>
        <w:tc>
          <w:tcPr>
            <w:tcW w:w="1112" w:type="dxa"/>
            <w:tcBorders>
              <w:top w:val="nil"/>
              <w:bottom w:val="nil"/>
            </w:tcBorders>
            <w:shd w:val="clear" w:color="auto" w:fill="D9D9D9" w:themeFill="background1" w:themeFillShade="D9"/>
            <w:tcMar>
              <w:left w:w="108" w:type="dxa"/>
              <w:right w:w="108" w:type="dxa"/>
            </w:tcMar>
          </w:tcPr>
          <w:p w14:paraId="59E878BF" w14:textId="77777777" w:rsidR="00172194" w:rsidRPr="000134CF" w:rsidRDefault="00172194" w:rsidP="0012551A">
            <w:pPr>
              <w:pStyle w:val="TableText"/>
              <w:jc w:val="center"/>
              <w:rPr>
                <w:b/>
                <w:bCs/>
              </w:rPr>
            </w:pPr>
            <w:r w:rsidRPr="000134CF">
              <w:rPr>
                <w:rFonts w:eastAsia="Segoe UI"/>
                <w:b/>
                <w:bCs/>
              </w:rPr>
              <w:t>TAB NZ</w:t>
            </w:r>
          </w:p>
        </w:tc>
        <w:tc>
          <w:tcPr>
            <w:tcW w:w="1112" w:type="dxa"/>
            <w:tcBorders>
              <w:top w:val="nil"/>
              <w:bottom w:val="nil"/>
            </w:tcBorders>
            <w:shd w:val="clear" w:color="auto" w:fill="D9D9D9" w:themeFill="background1" w:themeFillShade="D9"/>
            <w:tcMar>
              <w:left w:w="57" w:type="dxa"/>
              <w:right w:w="57" w:type="dxa"/>
            </w:tcMar>
          </w:tcPr>
          <w:p w14:paraId="466D1439" w14:textId="77777777" w:rsidR="00172194" w:rsidRPr="000134CF" w:rsidRDefault="00172194" w:rsidP="0012551A">
            <w:pPr>
              <w:pStyle w:val="TableText"/>
              <w:jc w:val="center"/>
              <w:rPr>
                <w:b/>
                <w:bCs/>
              </w:rPr>
            </w:pPr>
            <w:r w:rsidRPr="000134CF">
              <w:rPr>
                <w:rFonts w:eastAsia="Segoe UI"/>
                <w:b/>
                <w:bCs/>
              </w:rPr>
              <w:t>Lotto NZ</w:t>
            </w:r>
          </w:p>
        </w:tc>
      </w:tr>
      <w:tr w:rsidR="00172194" w14:paraId="6AA68216" w14:textId="77777777" w:rsidTr="000134CF">
        <w:trPr>
          <w:trHeight w:val="300"/>
        </w:trPr>
        <w:tc>
          <w:tcPr>
            <w:tcW w:w="3775" w:type="dxa"/>
            <w:tcBorders>
              <w:top w:val="nil"/>
            </w:tcBorders>
            <w:tcMar>
              <w:left w:w="57" w:type="dxa"/>
              <w:right w:w="57" w:type="dxa"/>
            </w:tcMar>
          </w:tcPr>
          <w:p w14:paraId="5E75710A" w14:textId="77777777" w:rsidR="00172194" w:rsidRPr="006D5016" w:rsidRDefault="00172194" w:rsidP="000134CF">
            <w:pPr>
              <w:pStyle w:val="TableText"/>
            </w:pPr>
            <w:r w:rsidRPr="006D5016">
              <w:rPr>
                <w:rFonts w:eastAsia="Segoe UI"/>
              </w:rPr>
              <w:t>Sector levy rates (%)</w:t>
            </w:r>
          </w:p>
        </w:tc>
        <w:tc>
          <w:tcPr>
            <w:tcW w:w="1111" w:type="dxa"/>
            <w:tcBorders>
              <w:top w:val="nil"/>
            </w:tcBorders>
            <w:tcMar>
              <w:left w:w="108" w:type="dxa"/>
              <w:right w:w="108" w:type="dxa"/>
            </w:tcMar>
          </w:tcPr>
          <w:p w14:paraId="5A7E69D8" w14:textId="77777777" w:rsidR="00172194" w:rsidRPr="006D5016" w:rsidRDefault="00172194" w:rsidP="0012551A">
            <w:pPr>
              <w:pStyle w:val="TableText"/>
              <w:jc w:val="center"/>
            </w:pPr>
            <w:r w:rsidRPr="006D5016">
              <w:rPr>
                <w:rFonts w:eastAsia="Segoe UI"/>
              </w:rPr>
              <w:t>1.33</w:t>
            </w:r>
          </w:p>
        </w:tc>
        <w:tc>
          <w:tcPr>
            <w:tcW w:w="1112" w:type="dxa"/>
            <w:tcBorders>
              <w:top w:val="nil"/>
            </w:tcBorders>
            <w:tcMar>
              <w:left w:w="108" w:type="dxa"/>
              <w:right w:w="108" w:type="dxa"/>
            </w:tcMar>
          </w:tcPr>
          <w:p w14:paraId="3EAF5BCF" w14:textId="2B3A5FB7" w:rsidR="00172194" w:rsidRPr="006D5016" w:rsidRDefault="00172194" w:rsidP="0012551A">
            <w:pPr>
              <w:pStyle w:val="TableText"/>
              <w:jc w:val="center"/>
            </w:pPr>
            <w:r w:rsidRPr="006D5016">
              <w:rPr>
                <w:rFonts w:eastAsia="Segoe UI"/>
              </w:rPr>
              <w:t>0.8</w:t>
            </w:r>
            <w:r w:rsidR="00296D56">
              <w:rPr>
                <w:rFonts w:eastAsia="Segoe UI"/>
              </w:rPr>
              <w:t>7</w:t>
            </w:r>
          </w:p>
        </w:tc>
        <w:tc>
          <w:tcPr>
            <w:tcW w:w="1112" w:type="dxa"/>
            <w:tcBorders>
              <w:top w:val="nil"/>
            </w:tcBorders>
            <w:tcMar>
              <w:left w:w="108" w:type="dxa"/>
              <w:right w:w="108" w:type="dxa"/>
            </w:tcMar>
          </w:tcPr>
          <w:p w14:paraId="6861F3F5" w14:textId="77777777" w:rsidR="00172194" w:rsidRPr="006D5016" w:rsidRDefault="00172194" w:rsidP="0012551A">
            <w:pPr>
              <w:pStyle w:val="TableText"/>
              <w:jc w:val="center"/>
            </w:pPr>
            <w:r w:rsidRPr="006D5016">
              <w:rPr>
                <w:rFonts w:eastAsia="Segoe UI"/>
              </w:rPr>
              <w:t>0.67</w:t>
            </w:r>
          </w:p>
        </w:tc>
        <w:tc>
          <w:tcPr>
            <w:tcW w:w="1112" w:type="dxa"/>
            <w:tcBorders>
              <w:top w:val="nil"/>
            </w:tcBorders>
            <w:tcMar>
              <w:left w:w="57" w:type="dxa"/>
              <w:right w:w="57" w:type="dxa"/>
            </w:tcMar>
          </w:tcPr>
          <w:p w14:paraId="10D8DD17" w14:textId="77777777" w:rsidR="00172194" w:rsidRPr="006D5016" w:rsidRDefault="00172194" w:rsidP="0012551A">
            <w:pPr>
              <w:pStyle w:val="TableText"/>
              <w:jc w:val="center"/>
            </w:pPr>
            <w:r w:rsidRPr="006D5016">
              <w:rPr>
                <w:rFonts w:eastAsia="Segoe UI"/>
              </w:rPr>
              <w:t>0.62</w:t>
            </w:r>
          </w:p>
        </w:tc>
      </w:tr>
      <w:tr w:rsidR="00172194" w14:paraId="32580EE4" w14:textId="77777777" w:rsidTr="000134CF">
        <w:trPr>
          <w:trHeight w:val="300"/>
        </w:trPr>
        <w:tc>
          <w:tcPr>
            <w:tcW w:w="3775" w:type="dxa"/>
            <w:tcMar>
              <w:left w:w="57" w:type="dxa"/>
              <w:right w:w="57" w:type="dxa"/>
            </w:tcMar>
          </w:tcPr>
          <w:p w14:paraId="10D971D1" w14:textId="77777777" w:rsidR="00172194" w:rsidRPr="006D5016" w:rsidRDefault="00172194" w:rsidP="000134CF">
            <w:pPr>
              <w:pStyle w:val="TableText"/>
            </w:pPr>
            <w:r w:rsidRPr="006D5016">
              <w:rPr>
                <w:rFonts w:eastAsia="Segoe UI"/>
              </w:rPr>
              <w:t>Expected levy payment ($m)</w:t>
            </w:r>
          </w:p>
        </w:tc>
        <w:tc>
          <w:tcPr>
            <w:tcW w:w="1111" w:type="dxa"/>
            <w:tcMar>
              <w:left w:w="108" w:type="dxa"/>
              <w:right w:w="108" w:type="dxa"/>
            </w:tcMar>
          </w:tcPr>
          <w:p w14:paraId="00F02104" w14:textId="77777777" w:rsidR="00172194" w:rsidRPr="006D5016" w:rsidRDefault="00172194" w:rsidP="0012551A">
            <w:pPr>
              <w:pStyle w:val="TableText"/>
              <w:jc w:val="center"/>
            </w:pPr>
            <w:r w:rsidRPr="006D5016">
              <w:rPr>
                <w:rFonts w:eastAsia="Segoe UI"/>
              </w:rPr>
              <w:t>47.713</w:t>
            </w:r>
          </w:p>
        </w:tc>
        <w:tc>
          <w:tcPr>
            <w:tcW w:w="1112" w:type="dxa"/>
            <w:tcMar>
              <w:left w:w="108" w:type="dxa"/>
              <w:right w:w="108" w:type="dxa"/>
            </w:tcMar>
          </w:tcPr>
          <w:p w14:paraId="172F51E0" w14:textId="6D56D60B" w:rsidR="00172194" w:rsidRPr="006D5016" w:rsidRDefault="00172194" w:rsidP="0012551A">
            <w:pPr>
              <w:pStyle w:val="TableText"/>
              <w:jc w:val="center"/>
            </w:pPr>
            <w:r w:rsidRPr="006D5016">
              <w:rPr>
                <w:rFonts w:eastAsia="Segoe UI"/>
              </w:rPr>
              <w:t>18.</w:t>
            </w:r>
            <w:r w:rsidR="00296D56">
              <w:rPr>
                <w:rFonts w:eastAsia="Segoe UI"/>
              </w:rPr>
              <w:t>446</w:t>
            </w:r>
          </w:p>
        </w:tc>
        <w:tc>
          <w:tcPr>
            <w:tcW w:w="1112" w:type="dxa"/>
            <w:tcMar>
              <w:left w:w="108" w:type="dxa"/>
              <w:right w:w="108" w:type="dxa"/>
            </w:tcMar>
          </w:tcPr>
          <w:p w14:paraId="0D64B36E" w14:textId="77777777" w:rsidR="00172194" w:rsidRPr="006D5016" w:rsidRDefault="00172194" w:rsidP="0012551A">
            <w:pPr>
              <w:pStyle w:val="TableText"/>
              <w:jc w:val="center"/>
            </w:pPr>
            <w:r w:rsidRPr="006D5016">
              <w:rPr>
                <w:rFonts w:eastAsia="Segoe UI"/>
              </w:rPr>
              <w:t>8.583</w:t>
            </w:r>
          </w:p>
        </w:tc>
        <w:tc>
          <w:tcPr>
            <w:tcW w:w="1112" w:type="dxa"/>
            <w:tcMar>
              <w:left w:w="57" w:type="dxa"/>
              <w:right w:w="57" w:type="dxa"/>
            </w:tcMar>
          </w:tcPr>
          <w:p w14:paraId="6B4432A7" w14:textId="77777777" w:rsidR="00172194" w:rsidRPr="006D5016" w:rsidRDefault="00172194" w:rsidP="0012551A">
            <w:pPr>
              <w:pStyle w:val="TableText"/>
              <w:jc w:val="center"/>
            </w:pPr>
            <w:r w:rsidRPr="006D5016">
              <w:rPr>
                <w:rFonts w:eastAsia="Segoe UI"/>
              </w:rPr>
              <w:t>15.127</w:t>
            </w:r>
          </w:p>
        </w:tc>
      </w:tr>
      <w:tr w:rsidR="00172194" w14:paraId="65CFC3B9" w14:textId="77777777" w:rsidTr="000134CF">
        <w:trPr>
          <w:trHeight w:val="300"/>
        </w:trPr>
        <w:tc>
          <w:tcPr>
            <w:tcW w:w="3775" w:type="dxa"/>
            <w:tcMar>
              <w:left w:w="57" w:type="dxa"/>
              <w:right w:w="57" w:type="dxa"/>
            </w:tcMar>
          </w:tcPr>
          <w:p w14:paraId="7740175E" w14:textId="77777777" w:rsidR="00172194" w:rsidRPr="006D5016" w:rsidRDefault="00172194" w:rsidP="000134CF">
            <w:pPr>
              <w:pStyle w:val="TableText"/>
            </w:pPr>
            <w:r w:rsidRPr="006D5016">
              <w:rPr>
                <w:rFonts w:eastAsia="Segoe UI"/>
              </w:rPr>
              <w:t>($m) Comparison with current levy payments (negative = less)</w:t>
            </w:r>
          </w:p>
        </w:tc>
        <w:tc>
          <w:tcPr>
            <w:tcW w:w="1111" w:type="dxa"/>
            <w:tcMar>
              <w:left w:w="108" w:type="dxa"/>
              <w:right w:w="108" w:type="dxa"/>
            </w:tcMar>
          </w:tcPr>
          <w:p w14:paraId="70CD697B" w14:textId="77777777" w:rsidR="00172194" w:rsidRPr="006D5016" w:rsidRDefault="00172194" w:rsidP="0012551A">
            <w:pPr>
              <w:pStyle w:val="TableText"/>
              <w:jc w:val="center"/>
            </w:pPr>
            <w:r w:rsidRPr="006D5016">
              <w:rPr>
                <w:rFonts w:eastAsia="Segoe UI"/>
              </w:rPr>
              <w:t>12.787</w:t>
            </w:r>
          </w:p>
        </w:tc>
        <w:tc>
          <w:tcPr>
            <w:tcW w:w="1112" w:type="dxa"/>
            <w:tcMar>
              <w:left w:w="108" w:type="dxa"/>
              <w:right w:w="108" w:type="dxa"/>
            </w:tcMar>
          </w:tcPr>
          <w:p w14:paraId="13548919" w14:textId="63767350" w:rsidR="00172194" w:rsidRPr="006D5016" w:rsidRDefault="00172194" w:rsidP="0012551A">
            <w:pPr>
              <w:pStyle w:val="TableText"/>
              <w:jc w:val="center"/>
            </w:pPr>
            <w:r w:rsidRPr="006D5016">
              <w:rPr>
                <w:rFonts w:eastAsia="Segoe UI"/>
              </w:rPr>
              <w:t>2.</w:t>
            </w:r>
            <w:r w:rsidR="00296D56">
              <w:rPr>
                <w:rFonts w:eastAsia="Segoe UI"/>
              </w:rPr>
              <w:t>486</w:t>
            </w:r>
          </w:p>
        </w:tc>
        <w:tc>
          <w:tcPr>
            <w:tcW w:w="1112" w:type="dxa"/>
            <w:tcMar>
              <w:left w:w="108" w:type="dxa"/>
              <w:right w:w="108" w:type="dxa"/>
            </w:tcMar>
          </w:tcPr>
          <w:p w14:paraId="2D1C4FD6" w14:textId="77777777" w:rsidR="00172194" w:rsidRPr="006D5016" w:rsidRDefault="00172194" w:rsidP="0012551A">
            <w:pPr>
              <w:pStyle w:val="TableText"/>
              <w:jc w:val="center"/>
            </w:pPr>
            <w:r w:rsidRPr="006D5016">
              <w:rPr>
                <w:rFonts w:eastAsia="Segoe UI"/>
              </w:rPr>
              <w:t>-0.167</w:t>
            </w:r>
          </w:p>
        </w:tc>
        <w:tc>
          <w:tcPr>
            <w:tcW w:w="1112" w:type="dxa"/>
            <w:tcMar>
              <w:left w:w="57" w:type="dxa"/>
              <w:right w:w="57" w:type="dxa"/>
            </w:tcMar>
          </w:tcPr>
          <w:p w14:paraId="322F90B8" w14:textId="77777777" w:rsidR="00172194" w:rsidRPr="006D5016" w:rsidRDefault="00172194" w:rsidP="0012551A">
            <w:pPr>
              <w:pStyle w:val="TableText"/>
              <w:jc w:val="center"/>
            </w:pPr>
            <w:r w:rsidRPr="006D5016">
              <w:rPr>
                <w:rFonts w:eastAsia="Segoe UI"/>
              </w:rPr>
              <w:t>4.111</w:t>
            </w:r>
          </w:p>
        </w:tc>
      </w:tr>
    </w:tbl>
    <w:p w14:paraId="03A94786" w14:textId="77777777" w:rsidR="00BB6735" w:rsidRDefault="00BB6735" w:rsidP="00172194">
      <w:pPr>
        <w:pStyle w:val="Table"/>
      </w:pPr>
    </w:p>
    <w:p w14:paraId="1029873F" w14:textId="180EB4AE" w:rsidR="00BB6735" w:rsidRPr="006D5016" w:rsidRDefault="00BB6735" w:rsidP="00BB6735">
      <w:pPr>
        <w:pStyle w:val="Table"/>
      </w:pPr>
      <w:r>
        <w:t xml:space="preserve">Table </w:t>
      </w:r>
      <w:r>
        <w:fldChar w:fldCharType="begin"/>
      </w:r>
      <w:r>
        <w:instrText xml:space="preserve"> SEQ Table \* ARABIC </w:instrText>
      </w:r>
      <w:r>
        <w:fldChar w:fldCharType="separate"/>
      </w:r>
      <w:r w:rsidR="009D28D8">
        <w:rPr>
          <w:noProof/>
        </w:rPr>
        <w:t>7</w:t>
      </w:r>
      <w:r>
        <w:rPr>
          <w:noProof/>
        </w:rPr>
        <w:fldChar w:fldCharType="end"/>
      </w:r>
      <w:r>
        <w:t xml:space="preserve">: </w:t>
      </w:r>
      <w:r w:rsidRPr="006D5016">
        <w:rPr>
          <w:rFonts w:eastAsia="Segoe UI"/>
        </w:rPr>
        <w:t>Estimated levy rates and payments ($m) per sector, 10/90 weighting</w:t>
      </w:r>
    </w:p>
    <w:tbl>
      <w:tblPr>
        <w:tblW w:w="8222" w:type="dxa"/>
        <w:tblLayout w:type="fixed"/>
        <w:tblLook w:val="06A0" w:firstRow="1" w:lastRow="0" w:firstColumn="1" w:lastColumn="0" w:noHBand="1" w:noVBand="1"/>
      </w:tblPr>
      <w:tblGrid>
        <w:gridCol w:w="3772"/>
        <w:gridCol w:w="1112"/>
        <w:gridCol w:w="1113"/>
        <w:gridCol w:w="1112"/>
        <w:gridCol w:w="1113"/>
      </w:tblGrid>
      <w:tr w:rsidR="00BB6735" w:rsidRPr="000134CF" w14:paraId="69578E97" w14:textId="77777777" w:rsidTr="008D665F">
        <w:trPr>
          <w:trHeight w:val="300"/>
        </w:trPr>
        <w:tc>
          <w:tcPr>
            <w:tcW w:w="3772" w:type="dxa"/>
            <w:tcBorders>
              <w:top w:val="nil"/>
              <w:left w:val="nil"/>
              <w:bottom w:val="nil"/>
              <w:right w:val="nil"/>
            </w:tcBorders>
            <w:shd w:val="clear" w:color="auto" w:fill="D9D9D9" w:themeFill="background1" w:themeFillShade="D9"/>
            <w:tcMar>
              <w:left w:w="57" w:type="dxa"/>
              <w:right w:w="57" w:type="dxa"/>
            </w:tcMar>
          </w:tcPr>
          <w:p w14:paraId="24362BC5" w14:textId="77777777" w:rsidR="00BB6735" w:rsidRPr="000134CF" w:rsidRDefault="00BB6735" w:rsidP="008D665F">
            <w:pPr>
              <w:pStyle w:val="TableText"/>
              <w:rPr>
                <w:b/>
                <w:bCs/>
              </w:rPr>
            </w:pPr>
            <w:r w:rsidRPr="000134CF">
              <w:rPr>
                <w:rFonts w:eastAsia="Segoe UI"/>
                <w:b/>
                <w:bCs/>
              </w:rPr>
              <w:t>Collection period starts 1 July 2025 (all GST exclusive)</w:t>
            </w:r>
          </w:p>
        </w:tc>
        <w:tc>
          <w:tcPr>
            <w:tcW w:w="1112" w:type="dxa"/>
            <w:tcBorders>
              <w:top w:val="nil"/>
              <w:left w:val="nil"/>
              <w:bottom w:val="nil"/>
              <w:right w:val="nil"/>
            </w:tcBorders>
            <w:shd w:val="clear" w:color="auto" w:fill="D9D9D9" w:themeFill="background1" w:themeFillShade="D9"/>
            <w:tcMar>
              <w:left w:w="108" w:type="dxa"/>
              <w:right w:w="108" w:type="dxa"/>
            </w:tcMar>
          </w:tcPr>
          <w:p w14:paraId="4D39DAAA" w14:textId="77777777" w:rsidR="00BB6735" w:rsidRPr="000134CF" w:rsidRDefault="00BB6735" w:rsidP="008D665F">
            <w:pPr>
              <w:pStyle w:val="TableText"/>
              <w:jc w:val="center"/>
              <w:rPr>
                <w:b/>
                <w:bCs/>
              </w:rPr>
            </w:pPr>
            <w:r w:rsidRPr="000134CF">
              <w:rPr>
                <w:rFonts w:eastAsia="Segoe UI"/>
                <w:b/>
                <w:bCs/>
              </w:rPr>
              <w:t>Class 4</w:t>
            </w:r>
          </w:p>
        </w:tc>
        <w:tc>
          <w:tcPr>
            <w:tcW w:w="1113" w:type="dxa"/>
            <w:tcBorders>
              <w:top w:val="nil"/>
              <w:left w:val="nil"/>
              <w:bottom w:val="nil"/>
              <w:right w:val="nil"/>
            </w:tcBorders>
            <w:shd w:val="clear" w:color="auto" w:fill="D9D9D9" w:themeFill="background1" w:themeFillShade="D9"/>
            <w:tcMar>
              <w:left w:w="108" w:type="dxa"/>
              <w:right w:w="108" w:type="dxa"/>
            </w:tcMar>
          </w:tcPr>
          <w:p w14:paraId="3F868B24" w14:textId="77777777" w:rsidR="00BB6735" w:rsidRPr="000134CF" w:rsidRDefault="00BB6735" w:rsidP="008D665F">
            <w:pPr>
              <w:pStyle w:val="TableText"/>
              <w:jc w:val="center"/>
              <w:rPr>
                <w:b/>
                <w:bCs/>
              </w:rPr>
            </w:pPr>
            <w:r w:rsidRPr="000134CF">
              <w:rPr>
                <w:rFonts w:eastAsia="Segoe UI"/>
                <w:b/>
                <w:bCs/>
              </w:rPr>
              <w:t>Casinos</w:t>
            </w:r>
          </w:p>
        </w:tc>
        <w:tc>
          <w:tcPr>
            <w:tcW w:w="1112" w:type="dxa"/>
            <w:tcBorders>
              <w:top w:val="nil"/>
              <w:left w:val="nil"/>
              <w:bottom w:val="nil"/>
              <w:right w:val="nil"/>
            </w:tcBorders>
            <w:shd w:val="clear" w:color="auto" w:fill="D9D9D9" w:themeFill="background1" w:themeFillShade="D9"/>
            <w:tcMar>
              <w:left w:w="108" w:type="dxa"/>
              <w:right w:w="108" w:type="dxa"/>
            </w:tcMar>
          </w:tcPr>
          <w:p w14:paraId="2794C6B0" w14:textId="77777777" w:rsidR="00BB6735" w:rsidRPr="000134CF" w:rsidRDefault="00BB6735" w:rsidP="008D665F">
            <w:pPr>
              <w:pStyle w:val="TableText"/>
              <w:jc w:val="center"/>
              <w:rPr>
                <w:b/>
                <w:bCs/>
              </w:rPr>
            </w:pPr>
            <w:r w:rsidRPr="000134CF">
              <w:rPr>
                <w:rFonts w:eastAsia="Segoe UI"/>
                <w:b/>
                <w:bCs/>
              </w:rPr>
              <w:t>TAB NZ</w:t>
            </w:r>
          </w:p>
        </w:tc>
        <w:tc>
          <w:tcPr>
            <w:tcW w:w="1113" w:type="dxa"/>
            <w:tcBorders>
              <w:top w:val="nil"/>
              <w:left w:val="nil"/>
              <w:bottom w:val="nil"/>
              <w:right w:val="nil"/>
            </w:tcBorders>
            <w:shd w:val="clear" w:color="auto" w:fill="D9D9D9" w:themeFill="background1" w:themeFillShade="D9"/>
            <w:tcMar>
              <w:left w:w="57" w:type="dxa"/>
              <w:right w:w="57" w:type="dxa"/>
            </w:tcMar>
          </w:tcPr>
          <w:p w14:paraId="119702EA" w14:textId="77777777" w:rsidR="00BB6735" w:rsidRPr="000134CF" w:rsidRDefault="00BB6735" w:rsidP="008D665F">
            <w:pPr>
              <w:pStyle w:val="TableText"/>
              <w:jc w:val="center"/>
              <w:rPr>
                <w:b/>
                <w:bCs/>
              </w:rPr>
            </w:pPr>
            <w:r w:rsidRPr="000134CF">
              <w:rPr>
                <w:rFonts w:eastAsia="Segoe UI"/>
                <w:b/>
                <w:bCs/>
              </w:rPr>
              <w:t>Lotto NZ</w:t>
            </w:r>
          </w:p>
        </w:tc>
      </w:tr>
      <w:tr w:rsidR="00BB6735" w14:paraId="70FC8390" w14:textId="77777777" w:rsidTr="008D665F">
        <w:trPr>
          <w:trHeight w:val="300"/>
        </w:trPr>
        <w:tc>
          <w:tcPr>
            <w:tcW w:w="3772" w:type="dxa"/>
            <w:tcBorders>
              <w:top w:val="nil"/>
              <w:left w:val="nil"/>
              <w:bottom w:val="single" w:sz="8" w:space="0" w:color="BFBFBF" w:themeColor="background1" w:themeShade="BF"/>
              <w:right w:val="nil"/>
            </w:tcBorders>
            <w:tcMar>
              <w:left w:w="57" w:type="dxa"/>
              <w:right w:w="57" w:type="dxa"/>
            </w:tcMar>
          </w:tcPr>
          <w:p w14:paraId="5F0630E9" w14:textId="77777777" w:rsidR="00BB6735" w:rsidRPr="006D5016" w:rsidRDefault="00BB6735" w:rsidP="008D665F">
            <w:pPr>
              <w:pStyle w:val="TableText"/>
            </w:pPr>
            <w:r w:rsidRPr="006D5016">
              <w:rPr>
                <w:rFonts w:eastAsia="Segoe UI"/>
              </w:rPr>
              <w:t>Sector levy rates (%)</w:t>
            </w:r>
          </w:p>
        </w:tc>
        <w:tc>
          <w:tcPr>
            <w:tcW w:w="1112" w:type="dxa"/>
            <w:tcBorders>
              <w:top w:val="nil"/>
              <w:left w:val="nil"/>
              <w:bottom w:val="single" w:sz="8" w:space="0" w:color="A6A6A6" w:themeColor="background1" w:themeShade="A6"/>
              <w:right w:val="nil"/>
            </w:tcBorders>
            <w:tcMar>
              <w:left w:w="108" w:type="dxa"/>
              <w:right w:w="108" w:type="dxa"/>
            </w:tcMar>
          </w:tcPr>
          <w:p w14:paraId="0B8F56BB" w14:textId="77777777" w:rsidR="00BB6735" w:rsidRPr="006D5016" w:rsidRDefault="00BB6735" w:rsidP="008D665F">
            <w:pPr>
              <w:pStyle w:val="TableText"/>
              <w:jc w:val="center"/>
            </w:pPr>
            <w:r w:rsidRPr="006D5016">
              <w:rPr>
                <w:rFonts w:eastAsia="Segoe UI"/>
              </w:rPr>
              <w:t>1.31</w:t>
            </w:r>
          </w:p>
        </w:tc>
        <w:tc>
          <w:tcPr>
            <w:tcW w:w="1113" w:type="dxa"/>
            <w:tcBorders>
              <w:top w:val="nil"/>
              <w:left w:val="nil"/>
              <w:bottom w:val="single" w:sz="8" w:space="0" w:color="A6A6A6" w:themeColor="background1" w:themeShade="A6"/>
              <w:right w:val="nil"/>
            </w:tcBorders>
            <w:tcMar>
              <w:left w:w="108" w:type="dxa"/>
              <w:right w:w="108" w:type="dxa"/>
            </w:tcMar>
          </w:tcPr>
          <w:p w14:paraId="14FEEF9F" w14:textId="77777777" w:rsidR="00BB6735" w:rsidRPr="006D5016" w:rsidRDefault="00BB6735" w:rsidP="008D665F">
            <w:pPr>
              <w:pStyle w:val="TableText"/>
              <w:jc w:val="center"/>
            </w:pPr>
            <w:r w:rsidRPr="006D5016">
              <w:rPr>
                <w:rFonts w:eastAsia="Segoe UI"/>
              </w:rPr>
              <w:t>0.88</w:t>
            </w:r>
          </w:p>
        </w:tc>
        <w:tc>
          <w:tcPr>
            <w:tcW w:w="1112" w:type="dxa"/>
            <w:tcBorders>
              <w:top w:val="nil"/>
              <w:left w:val="nil"/>
              <w:bottom w:val="single" w:sz="8" w:space="0" w:color="A6A6A6" w:themeColor="background1" w:themeShade="A6"/>
              <w:right w:val="nil"/>
            </w:tcBorders>
            <w:tcMar>
              <w:left w:w="108" w:type="dxa"/>
              <w:right w:w="108" w:type="dxa"/>
            </w:tcMar>
          </w:tcPr>
          <w:p w14:paraId="133B5645" w14:textId="77777777" w:rsidR="00BB6735" w:rsidRPr="006D5016" w:rsidRDefault="00BB6735" w:rsidP="008D665F">
            <w:pPr>
              <w:pStyle w:val="TableText"/>
              <w:jc w:val="center"/>
            </w:pPr>
            <w:r w:rsidRPr="006D5016">
              <w:rPr>
                <w:rFonts w:eastAsia="Segoe UI"/>
              </w:rPr>
              <w:t>0.68</w:t>
            </w:r>
          </w:p>
        </w:tc>
        <w:tc>
          <w:tcPr>
            <w:tcW w:w="1113" w:type="dxa"/>
            <w:tcBorders>
              <w:top w:val="nil"/>
              <w:left w:val="nil"/>
              <w:bottom w:val="single" w:sz="8" w:space="0" w:color="A6A6A6" w:themeColor="background1" w:themeShade="A6"/>
              <w:right w:val="nil"/>
            </w:tcBorders>
            <w:tcMar>
              <w:left w:w="57" w:type="dxa"/>
              <w:right w:w="57" w:type="dxa"/>
            </w:tcMar>
          </w:tcPr>
          <w:p w14:paraId="66694EAF" w14:textId="77777777" w:rsidR="00BB6735" w:rsidRPr="006D5016" w:rsidRDefault="00BB6735" w:rsidP="008D665F">
            <w:pPr>
              <w:pStyle w:val="TableText"/>
              <w:jc w:val="center"/>
            </w:pPr>
            <w:r w:rsidRPr="006D5016">
              <w:rPr>
                <w:rFonts w:eastAsia="Segoe UI"/>
              </w:rPr>
              <w:t>0.64</w:t>
            </w:r>
          </w:p>
        </w:tc>
      </w:tr>
      <w:tr w:rsidR="00BB6735" w14:paraId="34A914A7" w14:textId="77777777" w:rsidTr="008D665F">
        <w:trPr>
          <w:trHeight w:val="300"/>
        </w:trPr>
        <w:tc>
          <w:tcPr>
            <w:tcW w:w="3772" w:type="dxa"/>
            <w:tcBorders>
              <w:top w:val="single" w:sz="8" w:space="0" w:color="BFBFBF" w:themeColor="background1" w:themeShade="BF"/>
              <w:left w:val="nil"/>
              <w:bottom w:val="single" w:sz="8" w:space="0" w:color="BFBFBF" w:themeColor="background1" w:themeShade="BF"/>
              <w:right w:val="nil"/>
            </w:tcBorders>
            <w:tcMar>
              <w:left w:w="57" w:type="dxa"/>
              <w:right w:w="57" w:type="dxa"/>
            </w:tcMar>
          </w:tcPr>
          <w:p w14:paraId="22500C0C" w14:textId="77777777" w:rsidR="00BB6735" w:rsidRPr="006D5016" w:rsidRDefault="00BB6735" w:rsidP="008D665F">
            <w:pPr>
              <w:pStyle w:val="TableText"/>
            </w:pPr>
            <w:r w:rsidRPr="006D5016">
              <w:rPr>
                <w:rFonts w:eastAsia="Segoe UI"/>
              </w:rPr>
              <w:t>Expected levy payment ($m)</w:t>
            </w:r>
          </w:p>
        </w:tc>
        <w:tc>
          <w:tcPr>
            <w:tcW w:w="111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73EAEF04" w14:textId="77777777" w:rsidR="00BB6735" w:rsidRPr="006D5016" w:rsidRDefault="00BB6735" w:rsidP="008D665F">
            <w:pPr>
              <w:pStyle w:val="TableText"/>
              <w:jc w:val="center"/>
            </w:pPr>
            <w:r w:rsidRPr="006D5016">
              <w:rPr>
                <w:rFonts w:eastAsia="Segoe UI"/>
              </w:rPr>
              <w:t>46.996</w:t>
            </w:r>
          </w:p>
        </w:tc>
        <w:tc>
          <w:tcPr>
            <w:tcW w:w="111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16E0514F" w14:textId="77777777" w:rsidR="00BB6735" w:rsidRPr="006D5016" w:rsidRDefault="00BB6735" w:rsidP="008D665F">
            <w:pPr>
              <w:pStyle w:val="TableText"/>
              <w:jc w:val="center"/>
            </w:pPr>
            <w:r w:rsidRPr="006D5016">
              <w:rPr>
                <w:rFonts w:eastAsia="Segoe UI"/>
              </w:rPr>
              <w:t>18.658</w:t>
            </w:r>
          </w:p>
        </w:tc>
        <w:tc>
          <w:tcPr>
            <w:tcW w:w="111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369C0A0F" w14:textId="77777777" w:rsidR="00BB6735" w:rsidRPr="006D5016" w:rsidRDefault="00BB6735" w:rsidP="008D665F">
            <w:pPr>
              <w:pStyle w:val="TableText"/>
              <w:jc w:val="center"/>
            </w:pPr>
            <w:r w:rsidRPr="006D5016">
              <w:rPr>
                <w:rFonts w:eastAsia="Segoe UI"/>
              </w:rPr>
              <w:t>8.711</w:t>
            </w:r>
          </w:p>
        </w:tc>
        <w:tc>
          <w:tcPr>
            <w:tcW w:w="1113"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1B3AAA6F" w14:textId="77777777" w:rsidR="00BB6735" w:rsidRPr="006D5016" w:rsidRDefault="00BB6735" w:rsidP="008D665F">
            <w:pPr>
              <w:pStyle w:val="TableText"/>
              <w:jc w:val="center"/>
            </w:pPr>
            <w:r w:rsidRPr="006D5016">
              <w:rPr>
                <w:rFonts w:eastAsia="Segoe UI"/>
              </w:rPr>
              <w:t>15.615</w:t>
            </w:r>
          </w:p>
        </w:tc>
      </w:tr>
      <w:tr w:rsidR="00BB6735" w14:paraId="3BC664C7" w14:textId="77777777" w:rsidTr="008D665F">
        <w:trPr>
          <w:trHeight w:val="300"/>
        </w:trPr>
        <w:tc>
          <w:tcPr>
            <w:tcW w:w="3772" w:type="dxa"/>
            <w:tcBorders>
              <w:top w:val="single" w:sz="8" w:space="0" w:color="BFBFBF" w:themeColor="background1" w:themeShade="BF"/>
              <w:left w:val="nil"/>
              <w:bottom w:val="single" w:sz="8" w:space="0" w:color="A6A6A6" w:themeColor="background1" w:themeShade="A6"/>
              <w:right w:val="nil"/>
            </w:tcBorders>
            <w:tcMar>
              <w:left w:w="57" w:type="dxa"/>
              <w:right w:w="57" w:type="dxa"/>
            </w:tcMar>
          </w:tcPr>
          <w:p w14:paraId="558A2A93" w14:textId="77777777" w:rsidR="00BB6735" w:rsidRPr="006D5016" w:rsidRDefault="00BB6735" w:rsidP="008D665F">
            <w:pPr>
              <w:pStyle w:val="TableText"/>
            </w:pPr>
            <w:r w:rsidRPr="006D5016">
              <w:rPr>
                <w:rFonts w:eastAsia="Segoe UI"/>
              </w:rPr>
              <w:t>($m) Comparison with current levy payments (negative = less)</w:t>
            </w:r>
          </w:p>
        </w:tc>
        <w:tc>
          <w:tcPr>
            <w:tcW w:w="111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3090366D" w14:textId="77777777" w:rsidR="00BB6735" w:rsidRPr="006D5016" w:rsidRDefault="00BB6735" w:rsidP="008D665F">
            <w:pPr>
              <w:pStyle w:val="TableText"/>
              <w:jc w:val="center"/>
            </w:pPr>
            <w:r w:rsidRPr="006D5016">
              <w:rPr>
                <w:rFonts w:eastAsia="Segoe UI"/>
              </w:rPr>
              <w:t>12.070</w:t>
            </w:r>
          </w:p>
        </w:tc>
        <w:tc>
          <w:tcPr>
            <w:tcW w:w="111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2784B217" w14:textId="77777777" w:rsidR="00BB6735" w:rsidRPr="006D5016" w:rsidRDefault="00BB6735" w:rsidP="008D665F">
            <w:pPr>
              <w:pStyle w:val="TableText"/>
              <w:jc w:val="center"/>
            </w:pPr>
            <w:r w:rsidRPr="006D5016">
              <w:rPr>
                <w:rFonts w:eastAsia="Segoe UI"/>
              </w:rPr>
              <w:t>2.698</w:t>
            </w:r>
          </w:p>
        </w:tc>
        <w:tc>
          <w:tcPr>
            <w:tcW w:w="111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28B0E291" w14:textId="77777777" w:rsidR="00BB6735" w:rsidRPr="006D5016" w:rsidRDefault="00BB6735" w:rsidP="008D665F">
            <w:pPr>
              <w:pStyle w:val="TableText"/>
              <w:jc w:val="center"/>
            </w:pPr>
            <w:r w:rsidRPr="006D5016">
              <w:rPr>
                <w:rFonts w:eastAsia="Segoe UI"/>
              </w:rPr>
              <w:t>-0.039</w:t>
            </w:r>
          </w:p>
        </w:tc>
        <w:tc>
          <w:tcPr>
            <w:tcW w:w="1113"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24F08FB9" w14:textId="77777777" w:rsidR="00BB6735" w:rsidRPr="006D5016" w:rsidRDefault="00BB6735" w:rsidP="008D665F">
            <w:pPr>
              <w:pStyle w:val="TableText"/>
              <w:jc w:val="center"/>
            </w:pPr>
            <w:r w:rsidRPr="006D5016">
              <w:rPr>
                <w:rFonts w:eastAsia="Segoe UI"/>
              </w:rPr>
              <w:t>4.599</w:t>
            </w:r>
          </w:p>
        </w:tc>
      </w:tr>
    </w:tbl>
    <w:p w14:paraId="296BB2E6" w14:textId="77777777" w:rsidR="00BB6735" w:rsidRDefault="00BB6735" w:rsidP="00172194">
      <w:pPr>
        <w:pStyle w:val="Table"/>
        <w:sectPr w:rsidR="00BB6735" w:rsidSect="00EC41FD">
          <w:pgSz w:w="11907" w:h="16834" w:code="9"/>
          <w:pgMar w:top="1418" w:right="1701" w:bottom="1134" w:left="1843" w:header="284" w:footer="425" w:gutter="284"/>
          <w:cols w:space="720"/>
          <w:docGrid w:linePitch="286"/>
        </w:sectPr>
      </w:pPr>
    </w:p>
    <w:p w14:paraId="26E0A23F" w14:textId="5DF65A08" w:rsidR="00172194" w:rsidRPr="006D5016" w:rsidRDefault="00172194" w:rsidP="00172194">
      <w:pPr>
        <w:pStyle w:val="Table"/>
      </w:pPr>
      <w:bookmarkStart w:id="83" w:name="_Toc174634419"/>
      <w:r>
        <w:lastRenderedPageBreak/>
        <w:t xml:space="preserve">Table </w:t>
      </w:r>
      <w:r w:rsidR="00D46B4B">
        <w:fldChar w:fldCharType="begin"/>
      </w:r>
      <w:r w:rsidR="00D46B4B">
        <w:instrText xml:space="preserve"> SEQ Table \* ARABIC </w:instrText>
      </w:r>
      <w:r w:rsidR="00D46B4B">
        <w:fldChar w:fldCharType="separate"/>
      </w:r>
      <w:r w:rsidR="009D28D8">
        <w:rPr>
          <w:noProof/>
        </w:rPr>
        <w:t>8</w:t>
      </w:r>
      <w:r w:rsidR="00D46B4B">
        <w:rPr>
          <w:noProof/>
        </w:rPr>
        <w:fldChar w:fldCharType="end"/>
      </w:r>
      <w:r>
        <w:t xml:space="preserve">: </w:t>
      </w:r>
      <w:r w:rsidRPr="006D5016">
        <w:rPr>
          <w:rFonts w:eastAsia="Segoe UI"/>
        </w:rPr>
        <w:t>Estimated levy rates and payments ($m) per sector, 20/80 weighting</w:t>
      </w:r>
      <w:bookmarkEnd w:id="83"/>
    </w:p>
    <w:tbl>
      <w:tblPr>
        <w:tblW w:w="8222" w:type="dxa"/>
        <w:tblLayout w:type="fixed"/>
        <w:tblLook w:val="06A0" w:firstRow="1" w:lastRow="0" w:firstColumn="1" w:lastColumn="0" w:noHBand="1" w:noVBand="1"/>
      </w:tblPr>
      <w:tblGrid>
        <w:gridCol w:w="3783"/>
        <w:gridCol w:w="1109"/>
        <w:gridCol w:w="1110"/>
        <w:gridCol w:w="1110"/>
        <w:gridCol w:w="1110"/>
      </w:tblGrid>
      <w:tr w:rsidR="00172194" w:rsidRPr="000134CF" w14:paraId="075C5FF6" w14:textId="77777777" w:rsidTr="000134CF">
        <w:trPr>
          <w:trHeight w:val="300"/>
        </w:trPr>
        <w:tc>
          <w:tcPr>
            <w:tcW w:w="3783" w:type="dxa"/>
            <w:tcBorders>
              <w:top w:val="nil"/>
              <w:left w:val="nil"/>
              <w:bottom w:val="nil"/>
              <w:right w:val="nil"/>
            </w:tcBorders>
            <w:shd w:val="clear" w:color="auto" w:fill="D9D9D9" w:themeFill="background1" w:themeFillShade="D9"/>
            <w:tcMar>
              <w:left w:w="57" w:type="dxa"/>
              <w:right w:w="57" w:type="dxa"/>
            </w:tcMar>
          </w:tcPr>
          <w:p w14:paraId="12BD20D5" w14:textId="77777777" w:rsidR="00172194" w:rsidRPr="000134CF" w:rsidRDefault="00172194" w:rsidP="000134CF">
            <w:pPr>
              <w:pStyle w:val="TableText"/>
              <w:rPr>
                <w:b/>
                <w:bCs/>
              </w:rPr>
            </w:pPr>
            <w:r w:rsidRPr="000134CF">
              <w:rPr>
                <w:rFonts w:eastAsia="Segoe UI"/>
                <w:b/>
                <w:bCs/>
              </w:rPr>
              <w:t>Collection period starts 1 July 2025 (all GST exclusive)</w:t>
            </w:r>
          </w:p>
        </w:tc>
        <w:tc>
          <w:tcPr>
            <w:tcW w:w="1109" w:type="dxa"/>
            <w:tcBorders>
              <w:top w:val="nil"/>
              <w:left w:val="nil"/>
              <w:bottom w:val="nil"/>
              <w:right w:val="nil"/>
            </w:tcBorders>
            <w:shd w:val="clear" w:color="auto" w:fill="D9D9D9" w:themeFill="background1" w:themeFillShade="D9"/>
            <w:tcMar>
              <w:left w:w="108" w:type="dxa"/>
              <w:right w:w="108" w:type="dxa"/>
            </w:tcMar>
          </w:tcPr>
          <w:p w14:paraId="7CA14BF7" w14:textId="77777777" w:rsidR="00172194" w:rsidRPr="000134CF" w:rsidRDefault="00172194" w:rsidP="000134CF">
            <w:pPr>
              <w:pStyle w:val="TableText"/>
              <w:jc w:val="center"/>
              <w:rPr>
                <w:b/>
                <w:bCs/>
              </w:rPr>
            </w:pPr>
            <w:r w:rsidRPr="000134CF">
              <w:rPr>
                <w:rFonts w:eastAsia="Segoe UI"/>
                <w:b/>
                <w:bCs/>
              </w:rPr>
              <w:t>Class 4</w:t>
            </w:r>
          </w:p>
        </w:tc>
        <w:tc>
          <w:tcPr>
            <w:tcW w:w="1110" w:type="dxa"/>
            <w:tcBorders>
              <w:top w:val="nil"/>
              <w:left w:val="nil"/>
              <w:bottom w:val="nil"/>
              <w:right w:val="nil"/>
            </w:tcBorders>
            <w:shd w:val="clear" w:color="auto" w:fill="D9D9D9" w:themeFill="background1" w:themeFillShade="D9"/>
            <w:tcMar>
              <w:left w:w="108" w:type="dxa"/>
              <w:right w:w="108" w:type="dxa"/>
            </w:tcMar>
          </w:tcPr>
          <w:p w14:paraId="52EC3299" w14:textId="77777777" w:rsidR="00172194" w:rsidRPr="000134CF" w:rsidRDefault="00172194" w:rsidP="000134CF">
            <w:pPr>
              <w:pStyle w:val="TableText"/>
              <w:jc w:val="center"/>
              <w:rPr>
                <w:b/>
                <w:bCs/>
              </w:rPr>
            </w:pPr>
            <w:r w:rsidRPr="000134CF">
              <w:rPr>
                <w:rFonts w:eastAsia="Segoe UI"/>
                <w:b/>
                <w:bCs/>
              </w:rPr>
              <w:t>Casinos</w:t>
            </w:r>
          </w:p>
        </w:tc>
        <w:tc>
          <w:tcPr>
            <w:tcW w:w="1110" w:type="dxa"/>
            <w:tcBorders>
              <w:top w:val="nil"/>
              <w:left w:val="nil"/>
              <w:bottom w:val="nil"/>
              <w:right w:val="nil"/>
            </w:tcBorders>
            <w:shd w:val="clear" w:color="auto" w:fill="D9D9D9" w:themeFill="background1" w:themeFillShade="D9"/>
            <w:tcMar>
              <w:left w:w="108" w:type="dxa"/>
              <w:right w:w="108" w:type="dxa"/>
            </w:tcMar>
          </w:tcPr>
          <w:p w14:paraId="4A5DF8C4" w14:textId="77777777" w:rsidR="00172194" w:rsidRPr="000134CF" w:rsidRDefault="00172194" w:rsidP="000134CF">
            <w:pPr>
              <w:pStyle w:val="TableText"/>
              <w:jc w:val="center"/>
              <w:rPr>
                <w:b/>
                <w:bCs/>
              </w:rPr>
            </w:pPr>
            <w:r w:rsidRPr="000134CF">
              <w:rPr>
                <w:rFonts w:eastAsia="Segoe UI"/>
                <w:b/>
                <w:bCs/>
              </w:rPr>
              <w:t>TAB NZ</w:t>
            </w:r>
          </w:p>
        </w:tc>
        <w:tc>
          <w:tcPr>
            <w:tcW w:w="1110" w:type="dxa"/>
            <w:tcBorders>
              <w:top w:val="nil"/>
              <w:left w:val="nil"/>
              <w:bottom w:val="nil"/>
              <w:right w:val="nil"/>
            </w:tcBorders>
            <w:shd w:val="clear" w:color="auto" w:fill="D9D9D9" w:themeFill="background1" w:themeFillShade="D9"/>
            <w:tcMar>
              <w:left w:w="57" w:type="dxa"/>
              <w:right w:w="57" w:type="dxa"/>
            </w:tcMar>
          </w:tcPr>
          <w:p w14:paraId="121D413C" w14:textId="77777777" w:rsidR="00172194" w:rsidRPr="000134CF" w:rsidRDefault="00172194" w:rsidP="000134CF">
            <w:pPr>
              <w:pStyle w:val="TableText"/>
              <w:jc w:val="center"/>
              <w:rPr>
                <w:b/>
                <w:bCs/>
              </w:rPr>
            </w:pPr>
            <w:r w:rsidRPr="000134CF">
              <w:rPr>
                <w:rFonts w:eastAsia="Segoe UI"/>
                <w:b/>
                <w:bCs/>
              </w:rPr>
              <w:t>Lotto NZ</w:t>
            </w:r>
          </w:p>
        </w:tc>
      </w:tr>
      <w:tr w:rsidR="00172194" w14:paraId="503B01BC" w14:textId="77777777" w:rsidTr="000134CF">
        <w:trPr>
          <w:trHeight w:val="300"/>
        </w:trPr>
        <w:tc>
          <w:tcPr>
            <w:tcW w:w="3783" w:type="dxa"/>
            <w:tcBorders>
              <w:top w:val="nil"/>
              <w:left w:val="nil"/>
              <w:bottom w:val="single" w:sz="8" w:space="0" w:color="BFBFBF" w:themeColor="background1" w:themeShade="BF"/>
              <w:right w:val="nil"/>
            </w:tcBorders>
            <w:tcMar>
              <w:left w:w="57" w:type="dxa"/>
              <w:right w:w="57" w:type="dxa"/>
            </w:tcMar>
          </w:tcPr>
          <w:p w14:paraId="7DDA0694" w14:textId="77777777" w:rsidR="00172194" w:rsidRPr="006D5016" w:rsidRDefault="00172194" w:rsidP="000134CF">
            <w:pPr>
              <w:pStyle w:val="TableText"/>
            </w:pPr>
            <w:r w:rsidRPr="006D5016">
              <w:rPr>
                <w:rFonts w:eastAsia="Segoe UI"/>
              </w:rPr>
              <w:t>Sector levy rates (%)</w:t>
            </w:r>
          </w:p>
        </w:tc>
        <w:tc>
          <w:tcPr>
            <w:tcW w:w="1109" w:type="dxa"/>
            <w:tcBorders>
              <w:top w:val="nil"/>
              <w:left w:val="nil"/>
              <w:bottom w:val="single" w:sz="8" w:space="0" w:color="A6A6A6" w:themeColor="background1" w:themeShade="A6"/>
              <w:right w:val="nil"/>
            </w:tcBorders>
            <w:tcMar>
              <w:left w:w="108" w:type="dxa"/>
              <w:right w:w="108" w:type="dxa"/>
            </w:tcMar>
          </w:tcPr>
          <w:p w14:paraId="303B4E08" w14:textId="78F48835" w:rsidR="00172194" w:rsidRPr="006D5016" w:rsidRDefault="00172194" w:rsidP="000134CF">
            <w:pPr>
              <w:pStyle w:val="TableText"/>
              <w:jc w:val="center"/>
            </w:pPr>
            <w:r w:rsidRPr="006D5016">
              <w:rPr>
                <w:rFonts w:eastAsia="Segoe UI"/>
              </w:rPr>
              <w:t>1.2</w:t>
            </w:r>
            <w:r w:rsidR="00FC4DFD">
              <w:rPr>
                <w:rFonts w:eastAsia="Segoe UI"/>
              </w:rPr>
              <w:t>7</w:t>
            </w:r>
          </w:p>
        </w:tc>
        <w:tc>
          <w:tcPr>
            <w:tcW w:w="1110" w:type="dxa"/>
            <w:tcBorders>
              <w:top w:val="nil"/>
              <w:left w:val="nil"/>
              <w:bottom w:val="single" w:sz="8" w:space="0" w:color="A6A6A6" w:themeColor="background1" w:themeShade="A6"/>
              <w:right w:val="nil"/>
            </w:tcBorders>
            <w:tcMar>
              <w:left w:w="108" w:type="dxa"/>
              <w:right w:w="108" w:type="dxa"/>
            </w:tcMar>
          </w:tcPr>
          <w:p w14:paraId="6E2D62E5" w14:textId="05B99B9E" w:rsidR="00172194" w:rsidRPr="006D5016" w:rsidRDefault="00172194" w:rsidP="000134CF">
            <w:pPr>
              <w:pStyle w:val="TableText"/>
              <w:jc w:val="center"/>
            </w:pPr>
            <w:r w:rsidRPr="006D5016">
              <w:rPr>
                <w:rFonts w:eastAsia="Segoe UI"/>
              </w:rPr>
              <w:t>0.8</w:t>
            </w:r>
            <w:r w:rsidR="00213F19">
              <w:rPr>
                <w:rFonts w:eastAsia="Segoe UI"/>
              </w:rPr>
              <w:t>8</w:t>
            </w:r>
          </w:p>
        </w:tc>
        <w:tc>
          <w:tcPr>
            <w:tcW w:w="1110" w:type="dxa"/>
            <w:tcBorders>
              <w:top w:val="nil"/>
              <w:left w:val="nil"/>
              <w:bottom w:val="single" w:sz="8" w:space="0" w:color="A6A6A6" w:themeColor="background1" w:themeShade="A6"/>
              <w:right w:val="nil"/>
            </w:tcBorders>
            <w:tcMar>
              <w:left w:w="108" w:type="dxa"/>
              <w:right w:w="108" w:type="dxa"/>
            </w:tcMar>
          </w:tcPr>
          <w:p w14:paraId="5E37CACC" w14:textId="0B837DA2" w:rsidR="00172194" w:rsidRPr="006D5016" w:rsidRDefault="00172194" w:rsidP="000134CF">
            <w:pPr>
              <w:pStyle w:val="TableText"/>
              <w:jc w:val="center"/>
            </w:pPr>
            <w:r w:rsidRPr="006D5016">
              <w:rPr>
                <w:rFonts w:eastAsia="Segoe UI"/>
              </w:rPr>
              <w:t>0.7</w:t>
            </w:r>
            <w:r w:rsidR="00213F19">
              <w:rPr>
                <w:rFonts w:eastAsia="Segoe UI"/>
              </w:rPr>
              <w:t>0</w:t>
            </w:r>
          </w:p>
        </w:tc>
        <w:tc>
          <w:tcPr>
            <w:tcW w:w="1110" w:type="dxa"/>
            <w:tcBorders>
              <w:top w:val="nil"/>
              <w:left w:val="nil"/>
              <w:bottom w:val="single" w:sz="8" w:space="0" w:color="A6A6A6" w:themeColor="background1" w:themeShade="A6"/>
              <w:right w:val="nil"/>
            </w:tcBorders>
            <w:tcMar>
              <w:left w:w="57" w:type="dxa"/>
              <w:right w:w="57" w:type="dxa"/>
            </w:tcMar>
          </w:tcPr>
          <w:p w14:paraId="1D6BEB9F" w14:textId="77777777" w:rsidR="00172194" w:rsidRPr="006D5016" w:rsidRDefault="00172194" w:rsidP="000134CF">
            <w:pPr>
              <w:pStyle w:val="TableText"/>
              <w:jc w:val="center"/>
            </w:pPr>
            <w:r w:rsidRPr="006D5016">
              <w:rPr>
                <w:rFonts w:eastAsia="Segoe UI"/>
              </w:rPr>
              <w:t>0.68</w:t>
            </w:r>
          </w:p>
        </w:tc>
      </w:tr>
      <w:tr w:rsidR="00172194" w14:paraId="47868952" w14:textId="77777777" w:rsidTr="000134CF">
        <w:trPr>
          <w:trHeight w:val="300"/>
        </w:trPr>
        <w:tc>
          <w:tcPr>
            <w:tcW w:w="3783" w:type="dxa"/>
            <w:tcBorders>
              <w:top w:val="single" w:sz="8" w:space="0" w:color="BFBFBF" w:themeColor="background1" w:themeShade="BF"/>
              <w:left w:val="nil"/>
              <w:bottom w:val="single" w:sz="8" w:space="0" w:color="BFBFBF" w:themeColor="background1" w:themeShade="BF"/>
              <w:right w:val="nil"/>
            </w:tcBorders>
            <w:tcMar>
              <w:left w:w="57" w:type="dxa"/>
              <w:right w:w="57" w:type="dxa"/>
            </w:tcMar>
          </w:tcPr>
          <w:p w14:paraId="02BE7460" w14:textId="77777777" w:rsidR="00172194" w:rsidRPr="006D5016" w:rsidRDefault="00172194" w:rsidP="000134CF">
            <w:pPr>
              <w:pStyle w:val="TableText"/>
            </w:pPr>
            <w:r w:rsidRPr="006D5016">
              <w:rPr>
                <w:rFonts w:eastAsia="Segoe UI"/>
              </w:rPr>
              <w:t>Expected levy payment ($m)</w:t>
            </w:r>
          </w:p>
        </w:tc>
        <w:tc>
          <w:tcPr>
            <w:tcW w:w="1109"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F8329A4" w14:textId="5A0C7153" w:rsidR="00172194" w:rsidRPr="006D5016" w:rsidRDefault="003F529C" w:rsidP="000134CF">
            <w:pPr>
              <w:pStyle w:val="TableText"/>
              <w:jc w:val="center"/>
            </w:pPr>
            <w:r>
              <w:rPr>
                <w:rFonts w:eastAsia="Segoe UI"/>
              </w:rPr>
              <w:t>45.561</w:t>
            </w:r>
          </w:p>
        </w:tc>
        <w:tc>
          <w:tcPr>
            <w:tcW w:w="111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45E15D36" w14:textId="23F8DA7B" w:rsidR="00172194" w:rsidRPr="006D5016" w:rsidRDefault="00172194" w:rsidP="000134CF">
            <w:pPr>
              <w:pStyle w:val="TableText"/>
              <w:jc w:val="center"/>
            </w:pPr>
            <w:r w:rsidRPr="006D5016">
              <w:rPr>
                <w:rFonts w:eastAsia="Segoe UI"/>
              </w:rPr>
              <w:t>18.</w:t>
            </w:r>
            <w:r w:rsidR="00FC4DFD">
              <w:rPr>
                <w:rFonts w:eastAsia="Segoe UI"/>
              </w:rPr>
              <w:t>6</w:t>
            </w:r>
            <w:r w:rsidR="003F529C">
              <w:rPr>
                <w:rFonts w:eastAsia="Segoe UI"/>
              </w:rPr>
              <w:t>58</w:t>
            </w:r>
          </w:p>
        </w:tc>
        <w:tc>
          <w:tcPr>
            <w:tcW w:w="111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71C1A8EC" w14:textId="35472981" w:rsidR="00172194" w:rsidRPr="006D5016" w:rsidRDefault="00FC4DFD" w:rsidP="000134CF">
            <w:pPr>
              <w:pStyle w:val="TableText"/>
              <w:jc w:val="center"/>
            </w:pPr>
            <w:r>
              <w:rPr>
                <w:rFonts w:eastAsia="Segoe UI"/>
              </w:rPr>
              <w:t>8.967</w:t>
            </w:r>
          </w:p>
        </w:tc>
        <w:tc>
          <w:tcPr>
            <w:tcW w:w="1110"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2D7A4A71" w14:textId="77777777" w:rsidR="00172194" w:rsidRPr="006D5016" w:rsidRDefault="00172194" w:rsidP="000134CF">
            <w:pPr>
              <w:pStyle w:val="TableText"/>
              <w:jc w:val="center"/>
            </w:pPr>
            <w:r w:rsidRPr="006D5016">
              <w:rPr>
                <w:rFonts w:eastAsia="Segoe UI"/>
              </w:rPr>
              <w:t>16.591</w:t>
            </w:r>
          </w:p>
        </w:tc>
      </w:tr>
      <w:tr w:rsidR="00172194" w14:paraId="26F6B351" w14:textId="77777777" w:rsidTr="000134CF">
        <w:trPr>
          <w:trHeight w:val="300"/>
        </w:trPr>
        <w:tc>
          <w:tcPr>
            <w:tcW w:w="3783" w:type="dxa"/>
            <w:tcBorders>
              <w:top w:val="single" w:sz="8" w:space="0" w:color="BFBFBF" w:themeColor="background1" w:themeShade="BF"/>
              <w:left w:val="nil"/>
              <w:bottom w:val="single" w:sz="8" w:space="0" w:color="A6A6A6" w:themeColor="background1" w:themeShade="A6"/>
              <w:right w:val="nil"/>
            </w:tcBorders>
            <w:tcMar>
              <w:left w:w="57" w:type="dxa"/>
              <w:right w:w="57" w:type="dxa"/>
            </w:tcMar>
          </w:tcPr>
          <w:p w14:paraId="0F4EF871" w14:textId="77777777" w:rsidR="00172194" w:rsidRPr="006D5016" w:rsidRDefault="00172194" w:rsidP="000134CF">
            <w:pPr>
              <w:pStyle w:val="TableText"/>
            </w:pPr>
            <w:r w:rsidRPr="006D5016">
              <w:rPr>
                <w:rFonts w:eastAsia="Segoe UI"/>
              </w:rPr>
              <w:t>($m) Comparison with current levy payments (negative = less)</w:t>
            </w:r>
          </w:p>
        </w:tc>
        <w:tc>
          <w:tcPr>
            <w:tcW w:w="1109"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639DBEDF" w14:textId="2C45B0CA" w:rsidR="00172194" w:rsidRPr="006D5016" w:rsidRDefault="00172194" w:rsidP="000134CF">
            <w:pPr>
              <w:pStyle w:val="TableText"/>
              <w:jc w:val="center"/>
            </w:pPr>
            <w:r w:rsidRPr="006D5016">
              <w:rPr>
                <w:rFonts w:eastAsia="Segoe UI"/>
              </w:rPr>
              <w:t>10.</w:t>
            </w:r>
            <w:r w:rsidR="00213F19">
              <w:rPr>
                <w:rFonts w:eastAsia="Segoe UI"/>
              </w:rPr>
              <w:t>635</w:t>
            </w:r>
          </w:p>
        </w:tc>
        <w:tc>
          <w:tcPr>
            <w:tcW w:w="111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35B05737" w14:textId="1864A8F4" w:rsidR="00172194" w:rsidRPr="006D5016" w:rsidRDefault="00172194" w:rsidP="000134CF">
            <w:pPr>
              <w:pStyle w:val="TableText"/>
              <w:jc w:val="center"/>
            </w:pPr>
            <w:r w:rsidRPr="006D5016">
              <w:rPr>
                <w:rFonts w:eastAsia="Segoe UI"/>
              </w:rPr>
              <w:t>2.</w:t>
            </w:r>
            <w:r w:rsidR="00213F19">
              <w:rPr>
                <w:rFonts w:eastAsia="Segoe UI"/>
              </w:rPr>
              <w:t>698</w:t>
            </w:r>
          </w:p>
        </w:tc>
        <w:tc>
          <w:tcPr>
            <w:tcW w:w="111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490EA987" w14:textId="6CB93AA6" w:rsidR="00172194" w:rsidRPr="006D5016" w:rsidRDefault="00172194" w:rsidP="000134CF">
            <w:pPr>
              <w:pStyle w:val="TableText"/>
              <w:jc w:val="center"/>
            </w:pPr>
            <w:r w:rsidRPr="006D5016">
              <w:rPr>
                <w:rFonts w:eastAsia="Segoe UI"/>
              </w:rPr>
              <w:t>0.</w:t>
            </w:r>
            <w:r w:rsidR="00213F19">
              <w:rPr>
                <w:rFonts w:eastAsia="Segoe UI"/>
              </w:rPr>
              <w:t>217</w:t>
            </w:r>
          </w:p>
        </w:tc>
        <w:tc>
          <w:tcPr>
            <w:tcW w:w="1110"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528A83FF" w14:textId="77777777" w:rsidR="00172194" w:rsidRPr="006D5016" w:rsidRDefault="00172194" w:rsidP="000134CF">
            <w:pPr>
              <w:pStyle w:val="TableText"/>
              <w:jc w:val="center"/>
            </w:pPr>
            <w:r w:rsidRPr="006D5016">
              <w:rPr>
                <w:rFonts w:eastAsia="Segoe UI"/>
              </w:rPr>
              <w:t>5.575</w:t>
            </w:r>
          </w:p>
        </w:tc>
      </w:tr>
    </w:tbl>
    <w:p w14:paraId="71FE398B" w14:textId="77777777" w:rsidR="000134CF" w:rsidRDefault="000134CF" w:rsidP="00172194">
      <w:pPr>
        <w:pStyle w:val="Table"/>
      </w:pPr>
    </w:p>
    <w:p w14:paraId="6149F08F" w14:textId="16AC5DDF" w:rsidR="00172194" w:rsidRPr="006D5016" w:rsidRDefault="00172194" w:rsidP="00172194">
      <w:pPr>
        <w:pStyle w:val="Table"/>
      </w:pPr>
      <w:bookmarkStart w:id="84" w:name="_Toc174634420"/>
      <w:r>
        <w:t xml:space="preserve">Table </w:t>
      </w:r>
      <w:r w:rsidR="00D46B4B">
        <w:fldChar w:fldCharType="begin"/>
      </w:r>
      <w:r w:rsidR="00D46B4B">
        <w:instrText xml:space="preserve"> SEQ Table \* ARABIC </w:instrText>
      </w:r>
      <w:r w:rsidR="00D46B4B">
        <w:fldChar w:fldCharType="separate"/>
      </w:r>
      <w:r w:rsidR="009D28D8">
        <w:rPr>
          <w:noProof/>
        </w:rPr>
        <w:t>9</w:t>
      </w:r>
      <w:r w:rsidR="00D46B4B">
        <w:rPr>
          <w:noProof/>
        </w:rPr>
        <w:fldChar w:fldCharType="end"/>
      </w:r>
      <w:r>
        <w:t xml:space="preserve">: </w:t>
      </w:r>
      <w:r w:rsidRPr="006D5016">
        <w:rPr>
          <w:rFonts w:eastAsia="Segoe UI"/>
        </w:rPr>
        <w:t>Estimated levy rates and payments ($m) per sector, 30/70 weighting</w:t>
      </w:r>
      <w:bookmarkEnd w:id="84"/>
    </w:p>
    <w:tbl>
      <w:tblPr>
        <w:tblW w:w="8222" w:type="dxa"/>
        <w:tblLayout w:type="fixed"/>
        <w:tblLook w:val="06A0" w:firstRow="1" w:lastRow="0" w:firstColumn="1" w:lastColumn="0" w:noHBand="1" w:noVBand="1"/>
      </w:tblPr>
      <w:tblGrid>
        <w:gridCol w:w="3747"/>
        <w:gridCol w:w="1118"/>
        <w:gridCol w:w="1119"/>
        <w:gridCol w:w="1119"/>
        <w:gridCol w:w="1119"/>
      </w:tblGrid>
      <w:tr w:rsidR="00172194" w:rsidRPr="000134CF" w14:paraId="4B1FEAAB" w14:textId="77777777" w:rsidTr="000134CF">
        <w:trPr>
          <w:trHeight w:val="300"/>
        </w:trPr>
        <w:tc>
          <w:tcPr>
            <w:tcW w:w="3747" w:type="dxa"/>
            <w:tcBorders>
              <w:top w:val="nil"/>
              <w:left w:val="nil"/>
              <w:bottom w:val="nil"/>
              <w:right w:val="nil"/>
            </w:tcBorders>
            <w:shd w:val="clear" w:color="auto" w:fill="D9D9D9" w:themeFill="background1" w:themeFillShade="D9"/>
            <w:tcMar>
              <w:left w:w="57" w:type="dxa"/>
              <w:right w:w="57" w:type="dxa"/>
            </w:tcMar>
          </w:tcPr>
          <w:p w14:paraId="6C9E7863" w14:textId="77777777" w:rsidR="00172194" w:rsidRPr="000134CF" w:rsidRDefault="00172194" w:rsidP="000134CF">
            <w:pPr>
              <w:pStyle w:val="TableText"/>
              <w:rPr>
                <w:b/>
                <w:bCs/>
              </w:rPr>
            </w:pPr>
            <w:r w:rsidRPr="000134CF">
              <w:rPr>
                <w:rFonts w:eastAsia="Segoe UI"/>
                <w:b/>
                <w:bCs/>
              </w:rPr>
              <w:t>Collection period starts 1 July 2025 (all GST exclusive)</w:t>
            </w:r>
          </w:p>
        </w:tc>
        <w:tc>
          <w:tcPr>
            <w:tcW w:w="1118" w:type="dxa"/>
            <w:tcBorders>
              <w:top w:val="nil"/>
              <w:left w:val="nil"/>
              <w:bottom w:val="nil"/>
              <w:right w:val="nil"/>
            </w:tcBorders>
            <w:shd w:val="clear" w:color="auto" w:fill="D9D9D9" w:themeFill="background1" w:themeFillShade="D9"/>
            <w:tcMar>
              <w:left w:w="108" w:type="dxa"/>
              <w:right w:w="108" w:type="dxa"/>
            </w:tcMar>
          </w:tcPr>
          <w:p w14:paraId="167D5106" w14:textId="77777777" w:rsidR="00172194" w:rsidRPr="000134CF" w:rsidRDefault="00172194" w:rsidP="000134CF">
            <w:pPr>
              <w:pStyle w:val="TableText"/>
              <w:jc w:val="center"/>
              <w:rPr>
                <w:b/>
                <w:bCs/>
              </w:rPr>
            </w:pPr>
            <w:r w:rsidRPr="000134CF">
              <w:rPr>
                <w:rFonts w:eastAsia="Segoe UI"/>
                <w:b/>
                <w:bCs/>
              </w:rPr>
              <w:t>Class 4</w:t>
            </w:r>
          </w:p>
        </w:tc>
        <w:tc>
          <w:tcPr>
            <w:tcW w:w="1119" w:type="dxa"/>
            <w:tcBorders>
              <w:top w:val="nil"/>
              <w:left w:val="nil"/>
              <w:bottom w:val="nil"/>
              <w:right w:val="nil"/>
            </w:tcBorders>
            <w:shd w:val="clear" w:color="auto" w:fill="D9D9D9" w:themeFill="background1" w:themeFillShade="D9"/>
            <w:tcMar>
              <w:left w:w="108" w:type="dxa"/>
              <w:right w:w="108" w:type="dxa"/>
            </w:tcMar>
          </w:tcPr>
          <w:p w14:paraId="609A0BC0" w14:textId="77777777" w:rsidR="00172194" w:rsidRPr="000134CF" w:rsidRDefault="00172194" w:rsidP="000134CF">
            <w:pPr>
              <w:pStyle w:val="TableText"/>
              <w:jc w:val="center"/>
              <w:rPr>
                <w:b/>
                <w:bCs/>
              </w:rPr>
            </w:pPr>
            <w:r w:rsidRPr="000134CF">
              <w:rPr>
                <w:rFonts w:eastAsia="Segoe UI"/>
                <w:b/>
                <w:bCs/>
              </w:rPr>
              <w:t>Casinos</w:t>
            </w:r>
          </w:p>
        </w:tc>
        <w:tc>
          <w:tcPr>
            <w:tcW w:w="1119" w:type="dxa"/>
            <w:tcBorders>
              <w:top w:val="nil"/>
              <w:left w:val="nil"/>
              <w:bottom w:val="nil"/>
              <w:right w:val="nil"/>
            </w:tcBorders>
            <w:shd w:val="clear" w:color="auto" w:fill="D9D9D9" w:themeFill="background1" w:themeFillShade="D9"/>
            <w:tcMar>
              <w:left w:w="108" w:type="dxa"/>
              <w:right w:w="108" w:type="dxa"/>
            </w:tcMar>
          </w:tcPr>
          <w:p w14:paraId="10C1A3EA" w14:textId="77777777" w:rsidR="00172194" w:rsidRPr="000134CF" w:rsidRDefault="00172194" w:rsidP="000134CF">
            <w:pPr>
              <w:pStyle w:val="TableText"/>
              <w:jc w:val="center"/>
              <w:rPr>
                <w:b/>
                <w:bCs/>
              </w:rPr>
            </w:pPr>
            <w:r w:rsidRPr="000134CF">
              <w:rPr>
                <w:rFonts w:eastAsia="Segoe UI"/>
                <w:b/>
                <w:bCs/>
              </w:rPr>
              <w:t>TAB NZ</w:t>
            </w:r>
          </w:p>
        </w:tc>
        <w:tc>
          <w:tcPr>
            <w:tcW w:w="1119" w:type="dxa"/>
            <w:tcBorders>
              <w:top w:val="nil"/>
              <w:left w:val="nil"/>
              <w:bottom w:val="nil"/>
              <w:right w:val="nil"/>
            </w:tcBorders>
            <w:shd w:val="clear" w:color="auto" w:fill="D9D9D9" w:themeFill="background1" w:themeFillShade="D9"/>
            <w:tcMar>
              <w:left w:w="57" w:type="dxa"/>
              <w:right w:w="57" w:type="dxa"/>
            </w:tcMar>
          </w:tcPr>
          <w:p w14:paraId="6FB9EF58" w14:textId="77777777" w:rsidR="00172194" w:rsidRPr="000134CF" w:rsidRDefault="00172194" w:rsidP="000134CF">
            <w:pPr>
              <w:pStyle w:val="TableText"/>
              <w:jc w:val="center"/>
              <w:rPr>
                <w:b/>
                <w:bCs/>
              </w:rPr>
            </w:pPr>
            <w:r w:rsidRPr="000134CF">
              <w:rPr>
                <w:rFonts w:eastAsia="Segoe UI"/>
                <w:b/>
                <w:bCs/>
              </w:rPr>
              <w:t>Lotto NZ</w:t>
            </w:r>
          </w:p>
        </w:tc>
      </w:tr>
      <w:tr w:rsidR="00172194" w14:paraId="02E1A51D" w14:textId="77777777" w:rsidTr="000134CF">
        <w:trPr>
          <w:trHeight w:val="300"/>
        </w:trPr>
        <w:tc>
          <w:tcPr>
            <w:tcW w:w="3747" w:type="dxa"/>
            <w:tcBorders>
              <w:top w:val="nil"/>
              <w:left w:val="nil"/>
              <w:bottom w:val="single" w:sz="8" w:space="0" w:color="BFBFBF" w:themeColor="background1" w:themeShade="BF"/>
              <w:right w:val="nil"/>
            </w:tcBorders>
            <w:tcMar>
              <w:left w:w="57" w:type="dxa"/>
              <w:right w:w="57" w:type="dxa"/>
            </w:tcMar>
          </w:tcPr>
          <w:p w14:paraId="227A8AF3" w14:textId="77777777" w:rsidR="00172194" w:rsidRPr="006D5016" w:rsidRDefault="00172194" w:rsidP="000134CF">
            <w:pPr>
              <w:pStyle w:val="TableText"/>
            </w:pPr>
            <w:r w:rsidRPr="006D5016">
              <w:rPr>
                <w:rFonts w:eastAsia="Segoe UI"/>
              </w:rPr>
              <w:t>Sector levy rates (%)</w:t>
            </w:r>
          </w:p>
        </w:tc>
        <w:tc>
          <w:tcPr>
            <w:tcW w:w="1118" w:type="dxa"/>
            <w:tcBorders>
              <w:top w:val="nil"/>
              <w:left w:val="nil"/>
              <w:bottom w:val="single" w:sz="8" w:space="0" w:color="A6A6A6" w:themeColor="background1" w:themeShade="A6"/>
              <w:right w:val="nil"/>
            </w:tcBorders>
            <w:shd w:val="clear" w:color="auto" w:fill="FFFFFF" w:themeFill="background1"/>
            <w:tcMar>
              <w:left w:w="108" w:type="dxa"/>
              <w:right w:w="108" w:type="dxa"/>
            </w:tcMar>
          </w:tcPr>
          <w:p w14:paraId="5231442C" w14:textId="37AEB88B" w:rsidR="00172194" w:rsidRPr="006D5016" w:rsidRDefault="00172194" w:rsidP="000134CF">
            <w:pPr>
              <w:pStyle w:val="TableText"/>
              <w:jc w:val="center"/>
            </w:pPr>
            <w:r w:rsidRPr="006D5016">
              <w:rPr>
                <w:rFonts w:eastAsia="Segoe UI"/>
              </w:rPr>
              <w:t>1.2</w:t>
            </w:r>
            <w:r w:rsidR="00F543A1">
              <w:rPr>
                <w:rFonts w:eastAsia="Segoe UI"/>
              </w:rPr>
              <w:t>3</w:t>
            </w:r>
          </w:p>
        </w:tc>
        <w:tc>
          <w:tcPr>
            <w:tcW w:w="1119" w:type="dxa"/>
            <w:tcBorders>
              <w:top w:val="nil"/>
              <w:left w:val="nil"/>
              <w:bottom w:val="single" w:sz="8" w:space="0" w:color="A6A6A6" w:themeColor="background1" w:themeShade="A6"/>
              <w:right w:val="nil"/>
            </w:tcBorders>
            <w:shd w:val="clear" w:color="auto" w:fill="FFFFFF" w:themeFill="background1"/>
            <w:tcMar>
              <w:left w:w="108" w:type="dxa"/>
              <w:right w:w="108" w:type="dxa"/>
            </w:tcMar>
          </w:tcPr>
          <w:p w14:paraId="47113928" w14:textId="77777777" w:rsidR="00172194" w:rsidRPr="006D5016" w:rsidRDefault="00172194" w:rsidP="000134CF">
            <w:pPr>
              <w:pStyle w:val="TableText"/>
              <w:jc w:val="center"/>
            </w:pPr>
            <w:r w:rsidRPr="006D5016">
              <w:rPr>
                <w:rFonts w:eastAsia="Segoe UI"/>
              </w:rPr>
              <w:t>0.89</w:t>
            </w:r>
          </w:p>
        </w:tc>
        <w:tc>
          <w:tcPr>
            <w:tcW w:w="1119" w:type="dxa"/>
            <w:tcBorders>
              <w:top w:val="nil"/>
              <w:left w:val="nil"/>
              <w:bottom w:val="single" w:sz="8" w:space="0" w:color="A6A6A6" w:themeColor="background1" w:themeShade="A6"/>
              <w:right w:val="nil"/>
            </w:tcBorders>
            <w:shd w:val="clear" w:color="auto" w:fill="FFFFFF" w:themeFill="background1"/>
            <w:tcMar>
              <w:left w:w="108" w:type="dxa"/>
              <w:right w:w="108" w:type="dxa"/>
            </w:tcMar>
          </w:tcPr>
          <w:p w14:paraId="7ACA7FF4" w14:textId="77777777" w:rsidR="00172194" w:rsidRPr="006D5016" w:rsidRDefault="00172194" w:rsidP="000134CF">
            <w:pPr>
              <w:pStyle w:val="TableText"/>
              <w:jc w:val="center"/>
            </w:pPr>
            <w:r w:rsidRPr="006D5016">
              <w:rPr>
                <w:rFonts w:eastAsia="Segoe UI"/>
              </w:rPr>
              <w:t>0.73</w:t>
            </w:r>
          </w:p>
        </w:tc>
        <w:tc>
          <w:tcPr>
            <w:tcW w:w="1119" w:type="dxa"/>
            <w:tcBorders>
              <w:top w:val="nil"/>
              <w:left w:val="nil"/>
              <w:bottom w:val="single" w:sz="8" w:space="0" w:color="A6A6A6" w:themeColor="background1" w:themeShade="A6"/>
              <w:right w:val="nil"/>
            </w:tcBorders>
            <w:shd w:val="clear" w:color="auto" w:fill="FFFFFF" w:themeFill="background1"/>
            <w:tcMar>
              <w:left w:w="57" w:type="dxa"/>
              <w:right w:w="57" w:type="dxa"/>
            </w:tcMar>
          </w:tcPr>
          <w:p w14:paraId="459BBE55" w14:textId="77777777" w:rsidR="00172194" w:rsidRPr="006D5016" w:rsidRDefault="00172194" w:rsidP="000134CF">
            <w:pPr>
              <w:pStyle w:val="TableText"/>
              <w:jc w:val="center"/>
            </w:pPr>
            <w:r w:rsidRPr="006D5016">
              <w:rPr>
                <w:rFonts w:eastAsia="Segoe UI"/>
              </w:rPr>
              <w:t>0.72</w:t>
            </w:r>
          </w:p>
        </w:tc>
      </w:tr>
      <w:tr w:rsidR="00172194" w14:paraId="0AA77FA8" w14:textId="77777777" w:rsidTr="000134CF">
        <w:trPr>
          <w:trHeight w:val="300"/>
        </w:trPr>
        <w:tc>
          <w:tcPr>
            <w:tcW w:w="3747" w:type="dxa"/>
            <w:tcBorders>
              <w:top w:val="single" w:sz="8" w:space="0" w:color="BFBFBF" w:themeColor="background1" w:themeShade="BF"/>
              <w:left w:val="nil"/>
              <w:bottom w:val="single" w:sz="8" w:space="0" w:color="BFBFBF" w:themeColor="background1" w:themeShade="BF"/>
              <w:right w:val="nil"/>
            </w:tcBorders>
            <w:tcMar>
              <w:left w:w="57" w:type="dxa"/>
              <w:right w:w="57" w:type="dxa"/>
            </w:tcMar>
          </w:tcPr>
          <w:p w14:paraId="25880208" w14:textId="77777777" w:rsidR="00172194" w:rsidRPr="006D5016" w:rsidRDefault="00172194" w:rsidP="000134CF">
            <w:pPr>
              <w:pStyle w:val="TableText"/>
            </w:pPr>
            <w:r w:rsidRPr="006D5016">
              <w:rPr>
                <w:rFonts w:eastAsia="Segoe UI"/>
              </w:rPr>
              <w:t>Expected levy payment ($m)</w:t>
            </w:r>
          </w:p>
        </w:tc>
        <w:tc>
          <w:tcPr>
            <w:tcW w:w="11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6DC2C519" w14:textId="5829EEB3" w:rsidR="00172194" w:rsidRPr="006D5016" w:rsidRDefault="00172194" w:rsidP="000134CF">
            <w:pPr>
              <w:pStyle w:val="TableText"/>
              <w:jc w:val="center"/>
            </w:pPr>
            <w:r w:rsidRPr="006D5016">
              <w:rPr>
                <w:rFonts w:eastAsia="Segoe UI"/>
              </w:rPr>
              <w:t>44.</w:t>
            </w:r>
            <w:r w:rsidR="00F543A1">
              <w:rPr>
                <w:rFonts w:eastAsia="Segoe UI"/>
              </w:rPr>
              <w:t>126</w:t>
            </w:r>
          </w:p>
        </w:tc>
        <w:tc>
          <w:tcPr>
            <w:tcW w:w="1119"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641038E8" w14:textId="77777777" w:rsidR="00172194" w:rsidRPr="006D5016" w:rsidRDefault="00172194" w:rsidP="000134CF">
            <w:pPr>
              <w:pStyle w:val="TableText"/>
              <w:jc w:val="center"/>
            </w:pPr>
            <w:r w:rsidRPr="006D5016">
              <w:rPr>
                <w:rFonts w:eastAsia="Segoe UI"/>
              </w:rPr>
              <w:t>18.870</w:t>
            </w:r>
          </w:p>
        </w:tc>
        <w:tc>
          <w:tcPr>
            <w:tcW w:w="1119"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D63FA9D" w14:textId="77777777" w:rsidR="00172194" w:rsidRPr="006D5016" w:rsidRDefault="00172194" w:rsidP="000134CF">
            <w:pPr>
              <w:pStyle w:val="TableText"/>
              <w:jc w:val="center"/>
            </w:pPr>
            <w:r w:rsidRPr="006D5016">
              <w:rPr>
                <w:rFonts w:eastAsia="Segoe UI"/>
              </w:rPr>
              <w:t>9.351</w:t>
            </w:r>
          </w:p>
        </w:tc>
        <w:tc>
          <w:tcPr>
            <w:tcW w:w="1119"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5F924D2C" w14:textId="77777777" w:rsidR="00172194" w:rsidRPr="006D5016" w:rsidRDefault="00172194" w:rsidP="000134CF">
            <w:pPr>
              <w:pStyle w:val="TableText"/>
              <w:jc w:val="center"/>
            </w:pPr>
            <w:r w:rsidRPr="006D5016">
              <w:rPr>
                <w:rFonts w:eastAsia="Segoe UI"/>
              </w:rPr>
              <w:t>17.567</w:t>
            </w:r>
          </w:p>
        </w:tc>
      </w:tr>
      <w:tr w:rsidR="00172194" w14:paraId="091F91CB" w14:textId="77777777" w:rsidTr="000134CF">
        <w:trPr>
          <w:trHeight w:val="300"/>
        </w:trPr>
        <w:tc>
          <w:tcPr>
            <w:tcW w:w="3747" w:type="dxa"/>
            <w:tcBorders>
              <w:top w:val="single" w:sz="8" w:space="0" w:color="BFBFBF" w:themeColor="background1" w:themeShade="BF"/>
              <w:left w:val="nil"/>
              <w:bottom w:val="single" w:sz="8" w:space="0" w:color="A6A6A6" w:themeColor="background1" w:themeShade="A6"/>
              <w:right w:val="nil"/>
            </w:tcBorders>
            <w:tcMar>
              <w:left w:w="57" w:type="dxa"/>
              <w:right w:w="57" w:type="dxa"/>
            </w:tcMar>
          </w:tcPr>
          <w:p w14:paraId="56D90E5F" w14:textId="77777777" w:rsidR="00172194" w:rsidRPr="006D5016" w:rsidRDefault="00172194" w:rsidP="000134CF">
            <w:pPr>
              <w:pStyle w:val="TableText"/>
            </w:pPr>
            <w:r w:rsidRPr="006D5016">
              <w:rPr>
                <w:rFonts w:eastAsia="Segoe UI"/>
              </w:rPr>
              <w:t>($m) Comparison with current levy payments (negative = less)</w:t>
            </w:r>
          </w:p>
        </w:tc>
        <w:tc>
          <w:tcPr>
            <w:tcW w:w="11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60093125" w14:textId="1408533D" w:rsidR="00172194" w:rsidRPr="006D5016" w:rsidRDefault="00172194" w:rsidP="000134CF">
            <w:pPr>
              <w:pStyle w:val="TableText"/>
              <w:jc w:val="center"/>
            </w:pPr>
            <w:r w:rsidRPr="006D5016">
              <w:rPr>
                <w:rFonts w:eastAsia="Segoe UI"/>
              </w:rPr>
              <w:t>9.</w:t>
            </w:r>
            <w:r w:rsidR="00F543A1">
              <w:rPr>
                <w:rFonts w:eastAsia="Segoe UI"/>
              </w:rPr>
              <w:t>200</w:t>
            </w:r>
          </w:p>
        </w:tc>
        <w:tc>
          <w:tcPr>
            <w:tcW w:w="1119"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BAF4217" w14:textId="77777777" w:rsidR="00172194" w:rsidRPr="006D5016" w:rsidRDefault="00172194" w:rsidP="000134CF">
            <w:pPr>
              <w:pStyle w:val="TableText"/>
              <w:jc w:val="center"/>
            </w:pPr>
            <w:r w:rsidRPr="006D5016">
              <w:rPr>
                <w:rFonts w:eastAsia="Segoe UI"/>
              </w:rPr>
              <w:t>2.910</w:t>
            </w:r>
          </w:p>
        </w:tc>
        <w:tc>
          <w:tcPr>
            <w:tcW w:w="1119"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6D874A8A" w14:textId="77777777" w:rsidR="00172194" w:rsidRPr="006D5016" w:rsidRDefault="00172194" w:rsidP="000134CF">
            <w:pPr>
              <w:pStyle w:val="TableText"/>
              <w:jc w:val="center"/>
            </w:pPr>
            <w:r w:rsidRPr="006D5016">
              <w:rPr>
                <w:rFonts w:eastAsia="Segoe UI"/>
              </w:rPr>
              <w:t>0.601</w:t>
            </w:r>
          </w:p>
        </w:tc>
        <w:tc>
          <w:tcPr>
            <w:tcW w:w="1119"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7A437655" w14:textId="77777777" w:rsidR="00172194" w:rsidRPr="006D5016" w:rsidRDefault="00172194" w:rsidP="000134CF">
            <w:pPr>
              <w:pStyle w:val="TableText"/>
              <w:jc w:val="center"/>
            </w:pPr>
            <w:r w:rsidRPr="006D5016">
              <w:rPr>
                <w:rFonts w:eastAsia="Segoe UI"/>
              </w:rPr>
              <w:t>6.551</w:t>
            </w:r>
          </w:p>
        </w:tc>
      </w:tr>
    </w:tbl>
    <w:p w14:paraId="1B28D66A" w14:textId="09EE9185" w:rsidR="00172194" w:rsidRPr="000134CF" w:rsidRDefault="00E463F2" w:rsidP="000134CF">
      <w:pPr>
        <w:pStyle w:val="Heading3"/>
      </w:pPr>
      <w:r>
        <w:t>C</w:t>
      </w:r>
      <w:r w:rsidR="00172194" w:rsidRPr="000134CF">
        <w:t>omment on weighting options</w:t>
      </w:r>
    </w:p>
    <w:p w14:paraId="08B666CB" w14:textId="77777777" w:rsidR="00172194" w:rsidRPr="006D5016" w:rsidRDefault="00172194" w:rsidP="000134CF">
      <w:r w:rsidRPr="006D5016">
        <w:t xml:space="preserve">Tables </w:t>
      </w:r>
      <w:r>
        <w:t xml:space="preserve">6–9 </w:t>
      </w:r>
      <w:r w:rsidRPr="006D5016">
        <w:t>show that, under each scenario:</w:t>
      </w:r>
    </w:p>
    <w:p w14:paraId="58923BC2" w14:textId="77777777" w:rsidR="00172194" w:rsidRPr="000134CF" w:rsidRDefault="00172194" w:rsidP="000134CF">
      <w:pPr>
        <w:pStyle w:val="Bullet"/>
        <w:rPr>
          <w:rFonts w:eastAsia="Segoe UI"/>
        </w:rPr>
      </w:pPr>
      <w:r w:rsidRPr="000134CF">
        <w:rPr>
          <w:rFonts w:eastAsia="Segoe UI"/>
        </w:rPr>
        <w:t>the higher the weighting on expenditure:</w:t>
      </w:r>
    </w:p>
    <w:p w14:paraId="7D0B5C49" w14:textId="4F81604E" w:rsidR="00172194" w:rsidRPr="003A6635" w:rsidRDefault="00172194" w:rsidP="000134CF">
      <w:pPr>
        <w:pStyle w:val="Dash"/>
      </w:pPr>
      <w:r w:rsidRPr="003A6635">
        <w:t>the higher the share of the levy to be paid by Lotto N</w:t>
      </w:r>
      <w:r>
        <w:t>Z</w:t>
      </w:r>
      <w:r w:rsidRPr="003A6635">
        <w:t xml:space="preserve"> because that sector’s proportion of</w:t>
      </w:r>
      <w:r w:rsidR="00B82FFE">
        <w:t xml:space="preserve"> </w:t>
      </w:r>
      <w:r w:rsidRPr="003A6635">
        <w:t>expenditure is much higher than its proportion of presentations</w:t>
      </w:r>
    </w:p>
    <w:p w14:paraId="37E0626B" w14:textId="77777777" w:rsidR="00172194" w:rsidRPr="003A6635" w:rsidRDefault="00172194" w:rsidP="000134CF">
      <w:pPr>
        <w:pStyle w:val="Dash"/>
      </w:pPr>
      <w:r w:rsidRPr="003A6635">
        <w:t>the higher the share to be paid by the TAB NZ</w:t>
      </w:r>
    </w:p>
    <w:p w14:paraId="362C6D20" w14:textId="77777777" w:rsidR="00172194" w:rsidRPr="000134CF" w:rsidRDefault="00172194" w:rsidP="000134CF">
      <w:pPr>
        <w:pStyle w:val="Bullet"/>
        <w:rPr>
          <w:rFonts w:eastAsia="Segoe UI"/>
        </w:rPr>
      </w:pPr>
      <w:r w:rsidRPr="000134CF">
        <w:rPr>
          <w:rFonts w:eastAsia="Segoe UI"/>
        </w:rPr>
        <w:t>the higher the weighting on presentations:</w:t>
      </w:r>
    </w:p>
    <w:p w14:paraId="61633EB0" w14:textId="41942137" w:rsidR="00172194" w:rsidRPr="006D5016" w:rsidRDefault="00172194" w:rsidP="000134CF">
      <w:pPr>
        <w:pStyle w:val="Dash"/>
      </w:pPr>
      <w:r w:rsidRPr="006D5016">
        <w:t>the higher the share to be paid by the class 4 sector (because 54% presentations are attributed to that sector, but its proportion of expenditure is much lower)</w:t>
      </w:r>
    </w:p>
    <w:p w14:paraId="3768CC84" w14:textId="77777777" w:rsidR="00172194" w:rsidRPr="006D5016" w:rsidRDefault="00172194" w:rsidP="000134CF">
      <w:pPr>
        <w:pStyle w:val="Dash"/>
      </w:pPr>
      <w:r w:rsidRPr="006D5016">
        <w:t>the lower the share to be paid by Lotto N</w:t>
      </w:r>
      <w:r>
        <w:t>Z</w:t>
      </w:r>
      <w:r w:rsidRPr="006D5016">
        <w:t xml:space="preserve"> and the TAB NZ</w:t>
      </w:r>
    </w:p>
    <w:p w14:paraId="4A7AB0FB" w14:textId="77777777" w:rsidR="00172194" w:rsidRPr="000134CF" w:rsidRDefault="00172194" w:rsidP="000134CF">
      <w:pPr>
        <w:pStyle w:val="Bullet"/>
        <w:rPr>
          <w:rFonts w:eastAsia="Segoe UI"/>
        </w:rPr>
      </w:pPr>
      <w:r w:rsidRPr="000134CF">
        <w:rPr>
          <w:rFonts w:eastAsia="Segoe UI"/>
        </w:rPr>
        <w:t>the share of the levy to be paid by casinos is not very sensitive to any weighting changes because that sector’s proportion of expenditure is relatively close to its proportion of presentations.</w:t>
      </w:r>
    </w:p>
    <w:p w14:paraId="7A29851F" w14:textId="77777777" w:rsidR="000134CF" w:rsidRDefault="000134CF" w:rsidP="00172194">
      <w:pPr>
        <w:rPr>
          <w:rFonts w:eastAsia="Segoe UI"/>
        </w:rPr>
      </w:pPr>
    </w:p>
    <w:p w14:paraId="3C239A8B" w14:textId="77777777" w:rsidR="00963C71" w:rsidRDefault="00172194" w:rsidP="000134CF">
      <w:pPr>
        <w:rPr>
          <w:rFonts w:eastAsia="Segoe UI"/>
        </w:rPr>
      </w:pPr>
      <w:r w:rsidRPr="006D5016">
        <w:rPr>
          <w:rFonts w:eastAsia="Segoe UI"/>
        </w:rPr>
        <w:t xml:space="preserve">The proposed levy rates for each gambling sector, except the TAB NZ, would be higher under any weighting option for 2025/26 to 2027/28 than they are for the current levy period; based on levy payments received, forecast expenditure for the remainder of the three-year period to 30 June 2025 and the proposed budget appropriations. Sector payments would also increase compared with what they pay now, except for the TAB NZ under weighting options 5/95 and 10/90. </w:t>
      </w:r>
    </w:p>
    <w:p w14:paraId="5A29736F" w14:textId="77777777" w:rsidR="00963C71" w:rsidRDefault="00963C71" w:rsidP="000134CF">
      <w:pPr>
        <w:rPr>
          <w:rFonts w:eastAsia="Segoe UI"/>
        </w:rPr>
      </w:pPr>
    </w:p>
    <w:p w14:paraId="6D30F5E4" w14:textId="4233887A" w:rsidR="00172194" w:rsidRPr="00963C71" w:rsidRDefault="00172194" w:rsidP="000134CF">
      <w:pPr>
        <w:rPr>
          <w:rFonts w:eastAsia="Segoe UI"/>
        </w:rPr>
      </w:pPr>
      <w:r w:rsidRPr="006D5016">
        <w:rPr>
          <w:rFonts w:eastAsia="Segoe UI"/>
        </w:rPr>
        <w:t>Because some underpayments are predicted for the levy period to 30 June 2025, and the proposed cost of services for the 2025/26 to 2027/28 levy period is higher, the proposed levy rates and expected levy payments for each sector are also higher than for the period to 30 June 2025. The levy formula calculation adjusts for these factors in generating levy rates for the next levy period.</w:t>
      </w:r>
    </w:p>
    <w:p w14:paraId="74D6A236" w14:textId="77777777" w:rsidR="000134CF" w:rsidRDefault="000134CF" w:rsidP="00172194">
      <w:pPr>
        <w:sectPr w:rsidR="000134CF" w:rsidSect="00EC41FD">
          <w:pgSz w:w="11907" w:h="16834" w:code="9"/>
          <w:pgMar w:top="1418" w:right="1701" w:bottom="1134" w:left="1843" w:header="284" w:footer="425" w:gutter="284"/>
          <w:cols w:space="720"/>
          <w:docGrid w:linePitch="286"/>
        </w:sectPr>
      </w:pPr>
    </w:p>
    <w:p w14:paraId="5D4AAA88" w14:textId="77777777" w:rsidR="002422D8" w:rsidRPr="002422D8" w:rsidRDefault="002422D8" w:rsidP="002422D8">
      <w:pPr>
        <w:pStyle w:val="Heading1"/>
      </w:pPr>
      <w:bookmarkStart w:id="85" w:name="_Toc542701511"/>
      <w:bookmarkStart w:id="86" w:name="_Toc174634406"/>
      <w:r w:rsidRPr="002422D8">
        <w:lastRenderedPageBreak/>
        <w:t>Making a submission</w:t>
      </w:r>
      <w:bookmarkEnd w:id="85"/>
      <w:bookmarkEnd w:id="86"/>
    </w:p>
    <w:p w14:paraId="147CF861" w14:textId="77777777" w:rsidR="002422D8" w:rsidRPr="002422D8" w:rsidRDefault="002422D8" w:rsidP="00E67033">
      <w:pPr>
        <w:pStyle w:val="Heading3"/>
      </w:pPr>
      <w:bookmarkStart w:id="87" w:name="_Toc173848541"/>
      <w:bookmarkStart w:id="88" w:name="_Toc173855606"/>
      <w:bookmarkStart w:id="89" w:name="_Toc173922700"/>
      <w:bookmarkStart w:id="90" w:name="_Toc1696823083"/>
      <w:r w:rsidRPr="002422D8">
        <w:t>Your feedback</w:t>
      </w:r>
      <w:bookmarkEnd w:id="87"/>
      <w:bookmarkEnd w:id="88"/>
      <w:bookmarkEnd w:id="89"/>
      <w:bookmarkEnd w:id="90"/>
    </w:p>
    <w:p w14:paraId="195153F8" w14:textId="62AC72B5" w:rsidR="002422D8" w:rsidRDefault="002422D8" w:rsidP="002422D8">
      <w:pPr>
        <w:rPr>
          <w:rFonts w:eastAsia="Segoe UI"/>
        </w:rPr>
      </w:pPr>
      <w:r w:rsidRPr="4589387C">
        <w:rPr>
          <w:rFonts w:eastAsia="Segoe UI"/>
        </w:rPr>
        <w:t xml:space="preserve">The Ministry of Health (the Ministry) welcomes your thoughts and feedback on this draft strategy, which outlines the proposed strategic direction and services to prevent and minimise gambling harm, and the associated gambling levy rates, to apply from 1 July 2025 to 30 June 2028. </w:t>
      </w:r>
    </w:p>
    <w:p w14:paraId="0CB98683" w14:textId="77777777" w:rsidR="002422D8" w:rsidRDefault="002422D8" w:rsidP="002422D8">
      <w:pPr>
        <w:rPr>
          <w:rFonts w:eastAsia="Segoe UI"/>
        </w:rPr>
      </w:pPr>
    </w:p>
    <w:p w14:paraId="600F0372" w14:textId="77777777" w:rsidR="002422D8" w:rsidRPr="00152E1F" w:rsidRDefault="002422D8" w:rsidP="002422D8">
      <w:pPr>
        <w:rPr>
          <w:rFonts w:eastAsia="Segoe UI"/>
        </w:rPr>
      </w:pPr>
      <w:r w:rsidRPr="4589387C">
        <w:rPr>
          <w:rFonts w:eastAsia="Segoe UI"/>
        </w:rPr>
        <w:t xml:space="preserve">Your feedback is vital to help us develop the final strategy. </w:t>
      </w:r>
    </w:p>
    <w:p w14:paraId="3B0408A7" w14:textId="77777777" w:rsidR="002422D8" w:rsidRPr="002422D8" w:rsidRDefault="002422D8" w:rsidP="00E67033">
      <w:pPr>
        <w:pStyle w:val="Heading4"/>
      </w:pPr>
      <w:r w:rsidRPr="002422D8">
        <w:t>How to provide feedback</w:t>
      </w:r>
    </w:p>
    <w:p w14:paraId="24CCB926" w14:textId="77777777" w:rsidR="002422D8" w:rsidRPr="00152E1F" w:rsidRDefault="002422D8" w:rsidP="002422D8">
      <w:pPr>
        <w:rPr>
          <w:rFonts w:eastAsia="Segoe UI"/>
        </w:rPr>
      </w:pPr>
      <w:r w:rsidRPr="4589387C">
        <w:rPr>
          <w:rFonts w:eastAsia="Segoe UI"/>
        </w:rPr>
        <w:t>You can provide feedback by:</w:t>
      </w:r>
    </w:p>
    <w:p w14:paraId="5CE7AF69" w14:textId="77777777" w:rsidR="002422D8" w:rsidRPr="00D9303E" w:rsidRDefault="002422D8" w:rsidP="002422D8">
      <w:pPr>
        <w:pStyle w:val="Bullet"/>
        <w:rPr>
          <w:rFonts w:eastAsia="Segoe UI"/>
          <w:color w:val="595959" w:themeColor="text1" w:themeTint="A6"/>
        </w:rPr>
      </w:pPr>
      <w:r w:rsidRPr="007F5262">
        <w:rPr>
          <w:rFonts w:eastAsia="Segoe UI"/>
        </w:rPr>
        <w:t xml:space="preserve">making an online submission at </w:t>
      </w:r>
      <w:hyperlink r:id="rId44">
        <w:r w:rsidRPr="002422D8">
          <w:rPr>
            <w:rStyle w:val="Hyperlink"/>
            <w:rFonts w:eastAsia="Segoe UI"/>
          </w:rPr>
          <w:t>https://consult.health.govt.nz</w:t>
        </w:r>
      </w:hyperlink>
    </w:p>
    <w:p w14:paraId="3F41295C" w14:textId="77777777" w:rsidR="002422D8" w:rsidRPr="007F5262" w:rsidRDefault="002422D8" w:rsidP="002422D8">
      <w:pPr>
        <w:pStyle w:val="Bullet"/>
        <w:rPr>
          <w:rFonts w:eastAsia="Segoe UI"/>
        </w:rPr>
      </w:pPr>
      <w:r w:rsidRPr="007F5262">
        <w:rPr>
          <w:rFonts w:eastAsia="Segoe UI"/>
        </w:rPr>
        <w:t xml:space="preserve">filling in this form and emailing it to </w:t>
      </w:r>
      <w:hyperlink r:id="rId45" w:history="1">
        <w:r w:rsidRPr="002422D8">
          <w:rPr>
            <w:rStyle w:val="Hyperlink"/>
            <w:rFonts w:eastAsia="Segoe UI"/>
          </w:rPr>
          <w:t>gamblingharm@health.govt.nz</w:t>
        </w:r>
      </w:hyperlink>
    </w:p>
    <w:p w14:paraId="41DC7C93" w14:textId="60E2D69A" w:rsidR="002422D8" w:rsidRPr="007F5262" w:rsidRDefault="002422D8" w:rsidP="002422D8">
      <w:pPr>
        <w:pStyle w:val="Bullet"/>
        <w:rPr>
          <w:rFonts w:eastAsia="Segoe UI"/>
        </w:rPr>
      </w:pPr>
      <w:r w:rsidRPr="007F5262">
        <w:rPr>
          <w:rFonts w:eastAsia="Segoe UI"/>
        </w:rPr>
        <w:t xml:space="preserve">attending a consultation meeting (meeting details will be made available </w:t>
      </w:r>
      <w:r w:rsidR="00693FE2">
        <w:rPr>
          <w:rFonts w:eastAsia="Segoe UI"/>
        </w:rPr>
        <w:t>at</w:t>
      </w:r>
      <w:r w:rsidRPr="007F5262">
        <w:rPr>
          <w:rFonts w:eastAsia="Segoe UI"/>
        </w:rPr>
        <w:t xml:space="preserve"> </w:t>
      </w:r>
      <w:hyperlink r:id="rId46">
        <w:r w:rsidRPr="002422D8">
          <w:rPr>
            <w:rStyle w:val="Hyperlink"/>
            <w:rFonts w:eastAsia="Segoe UI"/>
          </w:rPr>
          <w:t>https://consult.health.govt.nz</w:t>
        </w:r>
      </w:hyperlink>
      <w:r w:rsidRPr="007F5262">
        <w:rPr>
          <w:rFonts w:eastAsia="Segoe UI"/>
        </w:rPr>
        <w:t>).</w:t>
      </w:r>
    </w:p>
    <w:p w14:paraId="42A3D830" w14:textId="77777777" w:rsidR="002422D8" w:rsidRPr="007F5262" w:rsidRDefault="002422D8" w:rsidP="002422D8">
      <w:pPr>
        <w:pStyle w:val="Bullet"/>
        <w:rPr>
          <w:rFonts w:eastAsia="Segoe UI"/>
        </w:rPr>
      </w:pPr>
      <w:r>
        <w:rPr>
          <w:rFonts w:eastAsia="Segoe UI"/>
        </w:rPr>
        <w:t>e</w:t>
      </w:r>
      <w:r w:rsidRPr="007F5262">
        <w:rPr>
          <w:rFonts w:eastAsia="Segoe UI"/>
        </w:rPr>
        <w:t xml:space="preserve">mailing your thoughts to </w:t>
      </w:r>
      <w:hyperlink r:id="rId47" w:history="1">
        <w:r w:rsidRPr="002422D8">
          <w:rPr>
            <w:rStyle w:val="Hyperlink"/>
            <w:rFonts w:eastAsia="Segoe UI"/>
          </w:rPr>
          <w:t>gamblingharm@health.govt.nz</w:t>
        </w:r>
      </w:hyperlink>
      <w:r>
        <w:rPr>
          <w:rStyle w:val="Hyperlink"/>
          <w:rFonts w:eastAsia="Segoe UI" w:cs="Segoe UI"/>
          <w:b w:val="0"/>
          <w:szCs w:val="21"/>
        </w:rPr>
        <w:t>.</w:t>
      </w:r>
    </w:p>
    <w:p w14:paraId="22A9798A" w14:textId="77777777" w:rsidR="002422D8" w:rsidRPr="00152E1F" w:rsidRDefault="002422D8" w:rsidP="00E67033">
      <w:pPr>
        <w:pStyle w:val="Heading3"/>
      </w:pPr>
      <w:bookmarkStart w:id="91" w:name="_Toc173848542"/>
      <w:bookmarkStart w:id="92" w:name="_Toc173855607"/>
      <w:bookmarkStart w:id="93" w:name="_Toc173922701"/>
      <w:bookmarkStart w:id="94" w:name="_Toc160984418"/>
      <w:r>
        <w:t>Closing date for submissions</w:t>
      </w:r>
      <w:bookmarkEnd w:id="91"/>
      <w:bookmarkEnd w:id="92"/>
      <w:bookmarkEnd w:id="93"/>
      <w:bookmarkEnd w:id="94"/>
    </w:p>
    <w:p w14:paraId="5AA85D47" w14:textId="50AB6157" w:rsidR="002422D8" w:rsidRPr="00152E1F" w:rsidRDefault="002422D8" w:rsidP="008B792A">
      <w:pPr>
        <w:rPr>
          <w:rFonts w:asciiTheme="majorHAnsi" w:eastAsiaTheme="majorEastAsia" w:hAnsiTheme="majorHAnsi" w:cstheme="majorBidi"/>
          <w:color w:val="244061" w:themeColor="accent1" w:themeShade="80"/>
          <w:sz w:val="24"/>
          <w:szCs w:val="24"/>
        </w:rPr>
      </w:pPr>
      <w:r w:rsidRPr="4589387C">
        <w:rPr>
          <w:rFonts w:eastAsia="Segoe UI"/>
        </w:rPr>
        <w:t xml:space="preserve">The Ministry must receive your submission by 5pm on </w:t>
      </w:r>
      <w:r w:rsidR="006208F9">
        <w:rPr>
          <w:rFonts w:eastAsia="Segoe UI"/>
          <w:b/>
          <w:bCs/>
        </w:rPr>
        <w:t>6</w:t>
      </w:r>
      <w:r w:rsidR="00DA20A3">
        <w:rPr>
          <w:rFonts w:eastAsia="Segoe UI"/>
          <w:b/>
          <w:bCs/>
        </w:rPr>
        <w:t xml:space="preserve"> October 2024.</w:t>
      </w:r>
      <w:r w:rsidRPr="4589387C">
        <w:rPr>
          <w:rFonts w:eastAsia="Segoe UI"/>
        </w:rPr>
        <w:t xml:space="preserve"> Any submissions received after this due date may not be included in the analysis of submissions, even if they were posted earlier. You might prefer to email your submission to ensure that the Ministry receives it on time. </w:t>
      </w:r>
    </w:p>
    <w:p w14:paraId="080F44D6" w14:textId="77777777" w:rsidR="002422D8" w:rsidRPr="008B792A" w:rsidRDefault="002422D8" w:rsidP="00E67033">
      <w:pPr>
        <w:pStyle w:val="Heading3"/>
      </w:pPr>
      <w:bookmarkStart w:id="95" w:name="_Toc173848543"/>
      <w:bookmarkStart w:id="96" w:name="_Toc173855608"/>
      <w:bookmarkStart w:id="97" w:name="_Toc173922702"/>
      <w:bookmarkStart w:id="98" w:name="_Toc1773233813"/>
      <w:r w:rsidRPr="008B792A">
        <w:t>Information about the person/organisation providing feedback</w:t>
      </w:r>
      <w:bookmarkEnd w:id="95"/>
      <w:bookmarkEnd w:id="96"/>
      <w:bookmarkEnd w:id="97"/>
      <w:bookmarkEnd w:id="98"/>
    </w:p>
    <w:p w14:paraId="4CD089A0" w14:textId="3EC69CEF" w:rsidR="002422D8" w:rsidRDefault="002422D8" w:rsidP="002422D8">
      <w:pPr>
        <w:rPr>
          <w:rFonts w:eastAsia="Segoe UI" w:cs="Segoe UI"/>
          <w:szCs w:val="21"/>
        </w:rPr>
      </w:pPr>
      <w:r w:rsidRPr="4589387C">
        <w:rPr>
          <w:rFonts w:eastAsia="Segoe UI" w:cs="Segoe UI"/>
          <w:szCs w:val="21"/>
        </w:rPr>
        <w:t>We encourage you to fill in this section. The information you provide will help us analyse your feedback. However, your submission will still be accepted if you do not fill in this section.</w:t>
      </w:r>
    </w:p>
    <w:p w14:paraId="647F4BB9" w14:textId="77777777" w:rsidR="008B792A" w:rsidRPr="00152E1F" w:rsidRDefault="008B792A" w:rsidP="002422D8">
      <w:pPr>
        <w:rPr>
          <w:rFonts w:eastAsia="Segoe UI" w:cs="Segoe UI"/>
          <w:szCs w:val="21"/>
        </w:rPr>
      </w:pPr>
    </w:p>
    <w:tbl>
      <w:tblPr>
        <w:tblW w:w="8134"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023"/>
        <w:gridCol w:w="4111"/>
      </w:tblGrid>
      <w:tr w:rsidR="008B792A" w:rsidRPr="00475EAB" w14:paraId="6F360A34" w14:textId="77777777" w:rsidTr="00B657AF">
        <w:trPr>
          <w:cantSplit/>
        </w:trPr>
        <w:tc>
          <w:tcPr>
            <w:tcW w:w="4023" w:type="dxa"/>
            <w:tcBorders>
              <w:top w:val="nil"/>
              <w:bottom w:val="nil"/>
            </w:tcBorders>
          </w:tcPr>
          <w:p w14:paraId="5C32AE9A" w14:textId="77777777" w:rsidR="008B792A" w:rsidRPr="00475EAB" w:rsidRDefault="008B792A" w:rsidP="00B657AF">
            <w:pPr>
              <w:tabs>
                <w:tab w:val="right" w:pos="3915"/>
              </w:tabs>
            </w:pPr>
            <w:r w:rsidRPr="00475EAB">
              <w:t>This submission was completed by:</w:t>
            </w:r>
            <w:r w:rsidRPr="00475EAB">
              <w:tab/>
            </w:r>
            <w:r w:rsidRPr="00475EAB">
              <w:rPr>
                <w:i/>
                <w:sz w:val="18"/>
              </w:rPr>
              <w:t>(name)</w:t>
            </w:r>
          </w:p>
        </w:tc>
        <w:tc>
          <w:tcPr>
            <w:tcW w:w="4111" w:type="dxa"/>
            <w:tcBorders>
              <w:top w:val="nil"/>
            </w:tcBorders>
            <w:vAlign w:val="bottom"/>
          </w:tcPr>
          <w:p w14:paraId="1F6134DF" w14:textId="77777777" w:rsidR="008B792A" w:rsidRPr="00475EAB" w:rsidRDefault="008B792A" w:rsidP="00B657AF">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8B792A" w:rsidRPr="00475EAB" w14:paraId="70EB14CB" w14:textId="77777777" w:rsidTr="00B657AF">
        <w:trPr>
          <w:cantSplit/>
        </w:trPr>
        <w:tc>
          <w:tcPr>
            <w:tcW w:w="4023" w:type="dxa"/>
            <w:tcBorders>
              <w:top w:val="nil"/>
              <w:bottom w:val="nil"/>
            </w:tcBorders>
          </w:tcPr>
          <w:p w14:paraId="073259C4" w14:textId="77777777" w:rsidR="008B792A" w:rsidRPr="00475EAB" w:rsidRDefault="008B792A" w:rsidP="00B657AF">
            <w:pPr>
              <w:tabs>
                <w:tab w:val="right" w:pos="3915"/>
              </w:tabs>
              <w:spacing w:before="120"/>
            </w:pPr>
            <w:r w:rsidRPr="00475EAB">
              <w:t>Address:</w:t>
            </w:r>
            <w:r w:rsidRPr="00475EAB">
              <w:tab/>
            </w:r>
            <w:r w:rsidRPr="00475EAB">
              <w:rPr>
                <w:i/>
                <w:sz w:val="18"/>
              </w:rPr>
              <w:t>(street/box number)</w:t>
            </w:r>
          </w:p>
        </w:tc>
        <w:tc>
          <w:tcPr>
            <w:tcW w:w="4111" w:type="dxa"/>
            <w:vAlign w:val="bottom"/>
          </w:tcPr>
          <w:p w14:paraId="31AA64D5" w14:textId="77777777" w:rsidR="008B792A" w:rsidRPr="00475EAB" w:rsidRDefault="008B792A" w:rsidP="00B657AF">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8B792A" w:rsidRPr="00475EAB" w14:paraId="5D0CDD9A" w14:textId="77777777" w:rsidTr="00B657AF">
        <w:trPr>
          <w:cantSplit/>
        </w:trPr>
        <w:tc>
          <w:tcPr>
            <w:tcW w:w="4023" w:type="dxa"/>
            <w:tcBorders>
              <w:top w:val="nil"/>
              <w:bottom w:val="nil"/>
            </w:tcBorders>
          </w:tcPr>
          <w:p w14:paraId="0589B2A6" w14:textId="77777777" w:rsidR="008B792A" w:rsidRPr="00475EAB" w:rsidRDefault="008B792A" w:rsidP="00B657AF">
            <w:pPr>
              <w:tabs>
                <w:tab w:val="right" w:pos="3915"/>
              </w:tabs>
              <w:spacing w:before="120"/>
              <w:rPr>
                <w:i/>
              </w:rPr>
            </w:pPr>
            <w:r w:rsidRPr="00475EAB">
              <w:tab/>
            </w:r>
            <w:r w:rsidRPr="00475EAB">
              <w:rPr>
                <w:i/>
                <w:sz w:val="18"/>
              </w:rPr>
              <w:t>(town/city and postcode)</w:t>
            </w:r>
          </w:p>
        </w:tc>
        <w:tc>
          <w:tcPr>
            <w:tcW w:w="4111" w:type="dxa"/>
            <w:vAlign w:val="bottom"/>
          </w:tcPr>
          <w:p w14:paraId="0E974A5F" w14:textId="77777777" w:rsidR="008B792A" w:rsidRPr="00475EAB" w:rsidRDefault="008B792A" w:rsidP="00B657AF">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8B792A" w:rsidRPr="00475EAB" w14:paraId="1A368CF9" w14:textId="77777777" w:rsidTr="00B657AF">
        <w:trPr>
          <w:cantSplit/>
        </w:trPr>
        <w:tc>
          <w:tcPr>
            <w:tcW w:w="4023" w:type="dxa"/>
            <w:tcBorders>
              <w:top w:val="nil"/>
              <w:bottom w:val="nil"/>
            </w:tcBorders>
          </w:tcPr>
          <w:p w14:paraId="519E3489" w14:textId="77777777" w:rsidR="008B792A" w:rsidRPr="00475EAB" w:rsidRDefault="008B792A" w:rsidP="00B657AF">
            <w:pPr>
              <w:spacing w:before="120"/>
            </w:pPr>
            <w:r w:rsidRPr="00475EAB">
              <w:t>Email:</w:t>
            </w:r>
          </w:p>
        </w:tc>
        <w:tc>
          <w:tcPr>
            <w:tcW w:w="4111" w:type="dxa"/>
            <w:vAlign w:val="bottom"/>
          </w:tcPr>
          <w:p w14:paraId="3D525292" w14:textId="77777777" w:rsidR="008B792A" w:rsidRPr="00475EAB" w:rsidRDefault="008B792A" w:rsidP="00B657AF">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8B792A" w:rsidRPr="00475EAB" w14:paraId="66B271E4" w14:textId="77777777" w:rsidTr="00B657AF">
        <w:trPr>
          <w:cantSplit/>
        </w:trPr>
        <w:tc>
          <w:tcPr>
            <w:tcW w:w="4023" w:type="dxa"/>
            <w:tcBorders>
              <w:top w:val="nil"/>
              <w:bottom w:val="nil"/>
            </w:tcBorders>
          </w:tcPr>
          <w:p w14:paraId="39CAEF72" w14:textId="6D478C42" w:rsidR="008B792A" w:rsidRPr="00475EAB" w:rsidRDefault="008B792A" w:rsidP="008B792A">
            <w:pPr>
              <w:tabs>
                <w:tab w:val="right" w:pos="3912"/>
              </w:tabs>
              <w:spacing w:before="120"/>
            </w:pPr>
            <w:r w:rsidRPr="00475EAB">
              <w:t>Organisation</w:t>
            </w:r>
            <w:r w:rsidRPr="008B792A">
              <w:rPr>
                <w:i/>
                <w:sz w:val="18"/>
              </w:rPr>
              <w:t xml:space="preserve"> (if applicable)</w:t>
            </w:r>
            <w:r>
              <w:rPr>
                <w:i/>
                <w:sz w:val="18"/>
              </w:rPr>
              <w:t>:</w:t>
            </w:r>
          </w:p>
        </w:tc>
        <w:tc>
          <w:tcPr>
            <w:tcW w:w="4111" w:type="dxa"/>
            <w:vAlign w:val="bottom"/>
          </w:tcPr>
          <w:p w14:paraId="3950AABA" w14:textId="77777777" w:rsidR="008B792A" w:rsidRPr="00475EAB" w:rsidRDefault="008B792A" w:rsidP="00B657AF">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8B792A" w:rsidRPr="00475EAB" w14:paraId="48C2E2E6" w14:textId="77777777" w:rsidTr="00B657AF">
        <w:trPr>
          <w:cantSplit/>
        </w:trPr>
        <w:tc>
          <w:tcPr>
            <w:tcW w:w="4023" w:type="dxa"/>
            <w:tcBorders>
              <w:top w:val="nil"/>
              <w:bottom w:val="nil"/>
            </w:tcBorders>
          </w:tcPr>
          <w:p w14:paraId="66C82D3D" w14:textId="13A87492" w:rsidR="008B792A" w:rsidRPr="00475EAB" w:rsidRDefault="008B792A" w:rsidP="008B792A">
            <w:pPr>
              <w:tabs>
                <w:tab w:val="right" w:pos="3912"/>
              </w:tabs>
              <w:spacing w:before="120"/>
            </w:pPr>
            <w:r w:rsidRPr="00475EAB">
              <w:t>Position</w:t>
            </w:r>
            <w:r>
              <w:t xml:space="preserve"> </w:t>
            </w:r>
            <w:r w:rsidRPr="008B792A">
              <w:rPr>
                <w:i/>
                <w:sz w:val="18"/>
              </w:rPr>
              <w:t>(if applicable)</w:t>
            </w:r>
            <w:r>
              <w:rPr>
                <w:i/>
                <w:sz w:val="18"/>
              </w:rPr>
              <w:t>:</w:t>
            </w:r>
          </w:p>
        </w:tc>
        <w:tc>
          <w:tcPr>
            <w:tcW w:w="4111" w:type="dxa"/>
            <w:vAlign w:val="bottom"/>
          </w:tcPr>
          <w:p w14:paraId="287C6F34" w14:textId="77777777" w:rsidR="008B792A" w:rsidRPr="00475EAB" w:rsidRDefault="008B792A" w:rsidP="00B657AF">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7DEE3B67" w14:textId="13AD6E25" w:rsidR="008B792A" w:rsidRDefault="008B792A" w:rsidP="008B792A">
      <w:pPr>
        <w:keepNext/>
        <w:spacing w:after="120"/>
        <w:rPr>
          <w:rFonts w:eastAsia="Segoe UI" w:cs="Segoe UI"/>
          <w:sz w:val="18"/>
          <w:szCs w:val="18"/>
        </w:rPr>
      </w:pPr>
      <w:r w:rsidRPr="4589387C">
        <w:rPr>
          <w:rFonts w:eastAsia="Segoe UI" w:cs="Segoe UI"/>
          <w:szCs w:val="21"/>
        </w:rPr>
        <w:lastRenderedPageBreak/>
        <w:t xml:space="preserve">This submission </w:t>
      </w:r>
      <w:r w:rsidRPr="4589387C">
        <w:rPr>
          <w:rFonts w:eastAsia="Segoe UI" w:cs="Segoe UI"/>
          <w:i/>
          <w:iCs/>
          <w:sz w:val="18"/>
          <w:szCs w:val="18"/>
        </w:rPr>
        <w:t>(tick one box only)</w:t>
      </w:r>
      <w:r w:rsidRPr="4589387C">
        <w:rPr>
          <w:rFonts w:eastAsia="Segoe UI" w:cs="Segoe UI"/>
          <w:sz w:val="18"/>
          <w:szCs w:val="18"/>
        </w:rPr>
        <w:t>:</w:t>
      </w:r>
    </w:p>
    <w:p w14:paraId="45B6C49B" w14:textId="16970AA5" w:rsidR="008B792A" w:rsidRPr="00023BEA" w:rsidRDefault="00000000" w:rsidP="008B792A">
      <w:pPr>
        <w:tabs>
          <w:tab w:val="left" w:pos="567"/>
          <w:tab w:val="left" w:pos="3544"/>
          <w:tab w:val="left" w:pos="4111"/>
        </w:tabs>
        <w:spacing w:before="60"/>
        <w:ind w:left="426" w:hanging="426"/>
        <w:contextualSpacing/>
        <w:rPr>
          <w:rFonts w:eastAsia="Segoe UI" w:cs="Segoe UI"/>
          <w:szCs w:val="21"/>
        </w:rPr>
      </w:pPr>
      <w:sdt>
        <w:sdtPr>
          <w:rPr>
            <w:sz w:val="25"/>
            <w:szCs w:val="24"/>
          </w:rPr>
          <w:id w:val="743379416"/>
          <w14:checkbox>
            <w14:checked w14:val="0"/>
            <w14:checkedState w14:val="2612" w14:font="MS Gothic"/>
            <w14:uncheckedState w14:val="2610" w14:font="MS Gothic"/>
          </w14:checkbox>
        </w:sdtPr>
        <w:sdtContent>
          <w:r w:rsidR="008B792A">
            <w:rPr>
              <w:rFonts w:ascii="MS Gothic" w:eastAsia="MS Gothic" w:hAnsi="MS Gothic" w:hint="eastAsia"/>
              <w:sz w:val="25"/>
              <w:szCs w:val="24"/>
            </w:rPr>
            <w:t>☐</w:t>
          </w:r>
        </w:sdtContent>
      </w:sdt>
      <w:r w:rsidR="008B792A">
        <w:rPr>
          <w:rFonts w:eastAsia="Segoe UI" w:cs="Segoe UI"/>
          <w:szCs w:val="21"/>
        </w:rPr>
        <w:t xml:space="preserve"> </w:t>
      </w:r>
      <w:r w:rsidR="008B792A">
        <w:rPr>
          <w:rFonts w:eastAsia="Segoe UI" w:cs="Segoe UI"/>
          <w:szCs w:val="21"/>
        </w:rPr>
        <w:tab/>
      </w:r>
      <w:r w:rsidR="008B792A" w:rsidRPr="00023BEA">
        <w:rPr>
          <w:rFonts w:eastAsia="Segoe UI" w:cs="Segoe UI"/>
          <w:szCs w:val="21"/>
        </w:rPr>
        <w:t>is made by an individual or individuals (not on behalf of an organisation nor in their professional capacity)</w:t>
      </w:r>
    </w:p>
    <w:p w14:paraId="7423C4C8" w14:textId="1EFD2DE3" w:rsidR="008B792A" w:rsidRPr="00023BEA" w:rsidRDefault="00000000" w:rsidP="008B792A">
      <w:pPr>
        <w:tabs>
          <w:tab w:val="left" w:pos="426"/>
          <w:tab w:val="left" w:pos="3544"/>
          <w:tab w:val="left" w:pos="4111"/>
        </w:tabs>
        <w:spacing w:before="60"/>
        <w:rPr>
          <w:rFonts w:eastAsia="Segoe UI" w:cs="Segoe UI"/>
          <w:szCs w:val="21"/>
        </w:rPr>
      </w:pPr>
      <w:sdt>
        <w:sdtPr>
          <w:rPr>
            <w:sz w:val="25"/>
            <w:szCs w:val="24"/>
          </w:rPr>
          <w:id w:val="1927989250"/>
          <w14:checkbox>
            <w14:checked w14:val="0"/>
            <w14:checkedState w14:val="2612" w14:font="MS Gothic"/>
            <w14:uncheckedState w14:val="2610" w14:font="MS Gothic"/>
          </w14:checkbox>
        </w:sdtPr>
        <w:sdtContent>
          <w:r w:rsidR="008B792A">
            <w:rPr>
              <w:rFonts w:ascii="MS Gothic" w:eastAsia="MS Gothic" w:hAnsi="MS Gothic" w:hint="eastAsia"/>
              <w:sz w:val="25"/>
              <w:szCs w:val="24"/>
            </w:rPr>
            <w:t>☐</w:t>
          </w:r>
        </w:sdtContent>
      </w:sdt>
      <w:r w:rsidR="008B792A" w:rsidRPr="00023BEA">
        <w:rPr>
          <w:rFonts w:eastAsia="Segoe UI" w:cs="Segoe UI"/>
          <w:szCs w:val="21"/>
        </w:rPr>
        <w:t xml:space="preserve"> </w:t>
      </w:r>
      <w:r w:rsidR="008B792A">
        <w:rPr>
          <w:rFonts w:eastAsia="Segoe UI" w:cs="Segoe UI"/>
          <w:szCs w:val="21"/>
        </w:rPr>
        <w:tab/>
      </w:r>
      <w:r w:rsidR="008B792A" w:rsidRPr="00023BEA">
        <w:rPr>
          <w:rFonts w:eastAsia="Segoe UI" w:cs="Segoe UI"/>
          <w:szCs w:val="21"/>
        </w:rPr>
        <w:t>is made on behalf of a group or organisation(s).</w:t>
      </w:r>
    </w:p>
    <w:p w14:paraId="07E09E42" w14:textId="77777777" w:rsidR="008B792A" w:rsidRDefault="008B792A" w:rsidP="00172194"/>
    <w:p w14:paraId="4F23FE5A" w14:textId="77777777" w:rsidR="008B792A" w:rsidRPr="006929C3" w:rsidRDefault="008B792A" w:rsidP="008B792A">
      <w:pPr>
        <w:spacing w:before="60"/>
        <w:rPr>
          <w:rFonts w:eastAsia="Segoe UI" w:cs="Segoe UI"/>
          <w:szCs w:val="21"/>
        </w:rPr>
      </w:pPr>
      <w:r w:rsidRPr="6E289CB7">
        <w:rPr>
          <w:rFonts w:eastAsia="Segoe UI" w:cs="Segoe UI"/>
          <w:szCs w:val="21"/>
        </w:rPr>
        <w:t>What ethnic group/s do you belong to? (</w:t>
      </w:r>
      <w:r w:rsidRPr="6E289CB7">
        <w:rPr>
          <w:rFonts w:eastAsia="Segoe UI" w:cs="Segoe UI"/>
          <w:i/>
          <w:iCs/>
          <w:szCs w:val="21"/>
        </w:rPr>
        <w:t>you may tick more than one box)</w:t>
      </w:r>
    </w:p>
    <w:p w14:paraId="32E19B43" w14:textId="0E0016B9" w:rsidR="008B792A" w:rsidRPr="005D0254" w:rsidRDefault="008B792A" w:rsidP="0025379F">
      <w:pPr>
        <w:pStyle w:val="Bullet"/>
        <w:tabs>
          <w:tab w:val="left" w:pos="1418"/>
          <w:tab w:val="left" w:pos="4074"/>
        </w:tabs>
        <w:rPr>
          <w:rFonts w:eastAsia="Segoe UI"/>
        </w:rPr>
      </w:pPr>
      <w:r w:rsidRPr="005D0254">
        <w:rPr>
          <w:rFonts w:eastAsia="Segoe UI"/>
        </w:rPr>
        <w:t xml:space="preserve">Māori </w:t>
      </w:r>
      <w:r w:rsidRPr="005D0254">
        <w:rPr>
          <w:rFonts w:eastAsia="Segoe UI"/>
        </w:rPr>
        <w:tab/>
      </w:r>
      <w:r w:rsidRPr="005D0254">
        <w:rPr>
          <w:rFonts w:eastAsia="Segoe UI"/>
        </w:rPr>
        <w:tab/>
      </w:r>
      <w:sdt>
        <w:sdtPr>
          <w:rPr>
            <w:sz w:val="25"/>
            <w:szCs w:val="24"/>
          </w:rPr>
          <w:id w:val="-1432123015"/>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rsidRPr="005D0254">
        <w:rPr>
          <w:rFonts w:eastAsia="Segoe UI"/>
        </w:rPr>
        <w:t xml:space="preserve"> </w:t>
      </w:r>
    </w:p>
    <w:p w14:paraId="140E27A5" w14:textId="2D1780A5" w:rsidR="008B792A" w:rsidRPr="005D0254" w:rsidRDefault="008B792A" w:rsidP="0025379F">
      <w:pPr>
        <w:pStyle w:val="Bullet"/>
        <w:tabs>
          <w:tab w:val="left" w:pos="1418"/>
          <w:tab w:val="left" w:pos="4074"/>
        </w:tabs>
        <w:rPr>
          <w:rFonts w:eastAsia="Segoe UI"/>
        </w:rPr>
      </w:pPr>
      <w:r w:rsidRPr="006929C3">
        <w:rPr>
          <w:rFonts w:eastAsia="Segoe UI"/>
        </w:rPr>
        <w:t xml:space="preserve">NZ European/Pakeha </w:t>
      </w:r>
      <w:r w:rsidRPr="006929C3">
        <w:rPr>
          <w:rFonts w:eastAsia="Segoe UI"/>
        </w:rPr>
        <w:tab/>
      </w:r>
      <w:sdt>
        <w:sdtPr>
          <w:rPr>
            <w:sz w:val="25"/>
            <w:szCs w:val="24"/>
          </w:rPr>
          <w:id w:val="1338121425"/>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7E13914C" w14:textId="733912E4" w:rsidR="008B792A" w:rsidRPr="005D0254" w:rsidRDefault="008B792A" w:rsidP="0025379F">
      <w:pPr>
        <w:pStyle w:val="Bullet"/>
        <w:tabs>
          <w:tab w:val="left" w:pos="1418"/>
          <w:tab w:val="left" w:pos="4074"/>
        </w:tabs>
        <w:rPr>
          <w:rFonts w:eastAsia="Segoe UI"/>
        </w:rPr>
      </w:pPr>
      <w:r w:rsidRPr="006929C3">
        <w:rPr>
          <w:rFonts w:eastAsia="Segoe UI"/>
        </w:rPr>
        <w:t xml:space="preserve">Samoan </w:t>
      </w:r>
      <w:r w:rsidRPr="006929C3">
        <w:rPr>
          <w:rFonts w:eastAsia="Segoe UI"/>
        </w:rPr>
        <w:tab/>
      </w:r>
      <w:r w:rsidRPr="006929C3">
        <w:rPr>
          <w:rFonts w:eastAsia="Segoe UI"/>
        </w:rPr>
        <w:tab/>
      </w:r>
      <w:sdt>
        <w:sdtPr>
          <w:rPr>
            <w:sz w:val="25"/>
            <w:szCs w:val="24"/>
          </w:rPr>
          <w:id w:val="-1097483543"/>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4FB9FED4" w14:textId="5C0F80B1" w:rsidR="008B792A" w:rsidRPr="00AB0C63" w:rsidRDefault="008B792A" w:rsidP="0025379F">
      <w:pPr>
        <w:pStyle w:val="Bullet"/>
        <w:tabs>
          <w:tab w:val="left" w:pos="1418"/>
          <w:tab w:val="left" w:pos="4074"/>
        </w:tabs>
        <w:rPr>
          <w:rFonts w:eastAsia="Segoe UI"/>
        </w:rPr>
      </w:pPr>
      <w:r w:rsidRPr="006929C3">
        <w:rPr>
          <w:rFonts w:eastAsia="Segoe UI"/>
        </w:rPr>
        <w:t xml:space="preserve">Tongan </w:t>
      </w:r>
      <w:r w:rsidRPr="006929C3">
        <w:rPr>
          <w:rFonts w:eastAsia="Segoe UI"/>
        </w:rPr>
        <w:tab/>
      </w:r>
      <w:r w:rsidRPr="006929C3">
        <w:rPr>
          <w:rFonts w:eastAsia="Segoe UI"/>
        </w:rPr>
        <w:tab/>
      </w:r>
      <w:sdt>
        <w:sdtPr>
          <w:rPr>
            <w:sz w:val="25"/>
            <w:szCs w:val="24"/>
          </w:rPr>
          <w:id w:val="7953510"/>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2D71EC59" w14:textId="40342592" w:rsidR="008B792A" w:rsidRPr="00AB0C63" w:rsidRDefault="008B792A" w:rsidP="0025379F">
      <w:pPr>
        <w:pStyle w:val="Bullet"/>
        <w:tabs>
          <w:tab w:val="left" w:pos="1418"/>
          <w:tab w:val="left" w:pos="4074"/>
        </w:tabs>
        <w:rPr>
          <w:rFonts w:eastAsia="Segoe UI"/>
        </w:rPr>
      </w:pPr>
      <w:r w:rsidRPr="006929C3">
        <w:rPr>
          <w:rFonts w:eastAsia="Segoe UI"/>
        </w:rPr>
        <w:t>Niuean</w:t>
      </w:r>
      <w:r w:rsidRPr="006929C3">
        <w:rPr>
          <w:rFonts w:eastAsia="Segoe UI"/>
        </w:rPr>
        <w:tab/>
      </w:r>
      <w:r w:rsidRPr="006929C3">
        <w:rPr>
          <w:rFonts w:eastAsia="Segoe UI"/>
        </w:rPr>
        <w:tab/>
      </w:r>
      <w:sdt>
        <w:sdtPr>
          <w:rPr>
            <w:sz w:val="25"/>
            <w:szCs w:val="24"/>
          </w:rPr>
          <w:id w:val="1146779647"/>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0684EA4D" w14:textId="76129B2A" w:rsidR="008B792A" w:rsidRPr="00AB0C63" w:rsidRDefault="008B792A" w:rsidP="0025379F">
      <w:pPr>
        <w:pStyle w:val="Bullet"/>
        <w:tabs>
          <w:tab w:val="left" w:pos="1418"/>
          <w:tab w:val="left" w:pos="4074"/>
        </w:tabs>
        <w:rPr>
          <w:rFonts w:eastAsia="Segoe UI"/>
        </w:rPr>
      </w:pPr>
      <w:r w:rsidRPr="006929C3">
        <w:rPr>
          <w:rFonts w:eastAsia="Segoe UI"/>
        </w:rPr>
        <w:t xml:space="preserve">Cook Islands Māori </w:t>
      </w:r>
      <w:r w:rsidRPr="006929C3">
        <w:rPr>
          <w:rFonts w:eastAsia="Segoe UI"/>
        </w:rPr>
        <w:tab/>
      </w:r>
      <w:sdt>
        <w:sdtPr>
          <w:rPr>
            <w:sz w:val="25"/>
            <w:szCs w:val="24"/>
          </w:rPr>
          <w:id w:val="-1902594621"/>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341D48E4" w14:textId="0E433B2C" w:rsidR="008B792A" w:rsidRPr="00AB0C63" w:rsidRDefault="008B792A" w:rsidP="0025379F">
      <w:pPr>
        <w:pStyle w:val="Bullet"/>
        <w:tabs>
          <w:tab w:val="left" w:pos="1418"/>
          <w:tab w:val="left" w:pos="4074"/>
        </w:tabs>
        <w:rPr>
          <w:rFonts w:eastAsia="Segoe UI"/>
        </w:rPr>
      </w:pPr>
      <w:r w:rsidRPr="006929C3">
        <w:rPr>
          <w:rFonts w:eastAsia="Segoe UI"/>
        </w:rPr>
        <w:t xml:space="preserve">Chinese </w:t>
      </w:r>
      <w:r w:rsidRPr="006929C3">
        <w:rPr>
          <w:rFonts w:eastAsia="Segoe UI"/>
        </w:rPr>
        <w:tab/>
      </w:r>
      <w:r w:rsidRPr="006929C3">
        <w:rPr>
          <w:rFonts w:eastAsia="Segoe UI"/>
        </w:rPr>
        <w:tab/>
      </w:r>
      <w:sdt>
        <w:sdtPr>
          <w:rPr>
            <w:sz w:val="25"/>
            <w:szCs w:val="24"/>
          </w:rPr>
          <w:id w:val="-1281333319"/>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62822027" w14:textId="57F94296" w:rsidR="008B792A" w:rsidRPr="00AB0C63" w:rsidRDefault="008B792A" w:rsidP="0025379F">
      <w:pPr>
        <w:pStyle w:val="Bullet"/>
        <w:tabs>
          <w:tab w:val="left" w:pos="1418"/>
          <w:tab w:val="left" w:pos="4074"/>
        </w:tabs>
        <w:rPr>
          <w:rFonts w:eastAsia="Segoe UI"/>
        </w:rPr>
      </w:pPr>
      <w:r w:rsidRPr="00AB0C63">
        <w:rPr>
          <w:rFonts w:eastAsia="Segoe UI"/>
        </w:rPr>
        <w:t xml:space="preserve">Indian </w:t>
      </w:r>
      <w:r w:rsidRPr="00AB0C63">
        <w:rPr>
          <w:rFonts w:eastAsia="Segoe UI"/>
        </w:rPr>
        <w:tab/>
      </w:r>
      <w:r w:rsidRPr="00AB0C63">
        <w:rPr>
          <w:rFonts w:eastAsia="Segoe UI"/>
        </w:rPr>
        <w:tab/>
      </w:r>
      <w:sdt>
        <w:sdtPr>
          <w:rPr>
            <w:sz w:val="25"/>
            <w:szCs w:val="24"/>
          </w:rPr>
          <w:id w:val="-128945515"/>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35186364" w14:textId="39FA8945" w:rsidR="008B792A" w:rsidRPr="00AB0C63" w:rsidRDefault="008B792A" w:rsidP="0025379F">
      <w:pPr>
        <w:pStyle w:val="Bullet"/>
        <w:tabs>
          <w:tab w:val="left" w:pos="1418"/>
          <w:tab w:val="left" w:pos="4074"/>
        </w:tabs>
        <w:rPr>
          <w:rFonts w:eastAsia="Segoe UI"/>
        </w:rPr>
      </w:pPr>
      <w:r w:rsidRPr="00AB0C63">
        <w:rPr>
          <w:rFonts w:eastAsia="Segoe UI"/>
        </w:rPr>
        <w:t>European</w:t>
      </w:r>
      <w:r w:rsidRPr="00AB0C63">
        <w:rPr>
          <w:rFonts w:eastAsia="Segoe UI"/>
        </w:rPr>
        <w:tab/>
      </w:r>
      <w:r w:rsidRPr="00AB0C63">
        <w:rPr>
          <w:rFonts w:eastAsia="Segoe UI"/>
        </w:rPr>
        <w:tab/>
      </w:r>
      <w:sdt>
        <w:sdtPr>
          <w:rPr>
            <w:sz w:val="25"/>
            <w:szCs w:val="24"/>
          </w:rPr>
          <w:id w:val="546193358"/>
          <w14:checkbox>
            <w14:checked w14:val="0"/>
            <w14:checkedState w14:val="2612" w14:font="MS Gothic"/>
            <w14:uncheckedState w14:val="2610" w14:font="MS Gothic"/>
          </w14:checkbox>
        </w:sdtPr>
        <w:sdtContent>
          <w:r w:rsidR="0025379F">
            <w:rPr>
              <w:rFonts w:ascii="MS Gothic" w:eastAsia="MS Gothic" w:hAnsi="MS Gothic" w:hint="eastAsia"/>
              <w:sz w:val="25"/>
              <w:szCs w:val="24"/>
            </w:rPr>
            <w:t>☐</w:t>
          </w:r>
        </w:sdtContent>
      </w:sdt>
    </w:p>
    <w:p w14:paraId="03A9CA66" w14:textId="17D40C41" w:rsidR="008B792A" w:rsidRPr="00AB0C63" w:rsidRDefault="008B792A" w:rsidP="0025379F">
      <w:pPr>
        <w:pStyle w:val="Bullet"/>
        <w:tabs>
          <w:tab w:val="right" w:pos="4111"/>
        </w:tabs>
        <w:rPr>
          <w:rFonts w:eastAsia="Segoe UI"/>
        </w:rPr>
      </w:pPr>
      <w:r w:rsidRPr="0025379F">
        <w:t>Middle Eastern, African, Latin American</w:t>
      </w:r>
      <w:r w:rsidR="0025379F">
        <w:tab/>
        <w:t xml:space="preserve">   </w:t>
      </w:r>
      <w:sdt>
        <w:sdtPr>
          <w:rPr>
            <w:sz w:val="25"/>
            <w:szCs w:val="24"/>
          </w:rPr>
          <w:id w:val="529690351"/>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23C66114" w14:textId="3BF99C56" w:rsidR="008B792A" w:rsidRPr="00AB0C63" w:rsidRDefault="008B792A" w:rsidP="0012551A">
      <w:pPr>
        <w:pStyle w:val="Bullet"/>
        <w:spacing w:before="120"/>
        <w:rPr>
          <w:rFonts w:eastAsia="Segoe UI"/>
        </w:rPr>
      </w:pPr>
      <w:r w:rsidRPr="00AB0C63">
        <w:rPr>
          <w:rFonts w:eastAsia="Segoe UI"/>
        </w:rPr>
        <w:t>Other (</w:t>
      </w:r>
      <w:r w:rsidRPr="00AB0C63">
        <w:rPr>
          <w:rFonts w:eastAsia="Segoe UI"/>
          <w:i/>
          <w:iCs/>
          <w:sz w:val="18"/>
          <w:szCs w:val="18"/>
        </w:rPr>
        <w:t>(please specify)</w:t>
      </w:r>
      <w:r w:rsidRPr="00AB0C63">
        <w:rPr>
          <w:rFonts w:eastAsia="Segoe UI"/>
          <w:sz w:val="20"/>
        </w:rPr>
        <w:t xml:space="preserve">_________________________________________________________________ </w:t>
      </w:r>
    </w:p>
    <w:p w14:paraId="05C5DBF7" w14:textId="77777777" w:rsidR="0025379F" w:rsidRDefault="0025379F" w:rsidP="00172194"/>
    <w:p w14:paraId="1294435D" w14:textId="77777777" w:rsidR="0025379F" w:rsidRPr="00152E1F" w:rsidRDefault="0025379F" w:rsidP="0025379F">
      <w:pPr>
        <w:spacing w:after="120"/>
        <w:rPr>
          <w:rFonts w:eastAsia="Segoe UI" w:cs="Segoe UI"/>
          <w:szCs w:val="21"/>
        </w:rPr>
      </w:pPr>
      <w:r w:rsidRPr="4589387C">
        <w:rPr>
          <w:rFonts w:eastAsia="Segoe UI" w:cs="Segoe UI"/>
          <w:szCs w:val="21"/>
        </w:rPr>
        <w:t xml:space="preserve">Please indicate which </w:t>
      </w:r>
      <w:r>
        <w:rPr>
          <w:rFonts w:eastAsia="Segoe UI" w:cs="Segoe UI"/>
          <w:szCs w:val="21"/>
        </w:rPr>
        <w:t xml:space="preserve">perspectives </w:t>
      </w:r>
      <w:r w:rsidRPr="4589387C">
        <w:rPr>
          <w:rFonts w:eastAsia="Segoe UI" w:cs="Segoe UI"/>
          <w:szCs w:val="21"/>
        </w:rPr>
        <w:t>your submission represents (</w:t>
      </w:r>
      <w:r w:rsidRPr="4589387C">
        <w:rPr>
          <w:rFonts w:eastAsia="Segoe UI" w:cs="Segoe UI"/>
          <w:i/>
          <w:iCs/>
          <w:szCs w:val="21"/>
        </w:rPr>
        <w:t>you may tick more than one box)</w:t>
      </w:r>
      <w:r w:rsidRPr="4589387C">
        <w:rPr>
          <w:rFonts w:eastAsia="Segoe UI" w:cs="Segoe UI"/>
          <w:szCs w:val="21"/>
        </w:rPr>
        <w:t>:</w:t>
      </w:r>
    </w:p>
    <w:p w14:paraId="45BFF7C8" w14:textId="38C102EA" w:rsidR="0025379F" w:rsidRDefault="0025379F" w:rsidP="0025379F">
      <w:pPr>
        <w:tabs>
          <w:tab w:val="left" w:pos="567"/>
          <w:tab w:val="left" w:pos="3119"/>
          <w:tab w:val="left" w:pos="3828"/>
          <w:tab w:val="right" w:pos="7655"/>
        </w:tabs>
        <w:spacing w:before="60"/>
        <w:rPr>
          <w:rFonts w:eastAsia="Segoe UI" w:cs="Segoe UI"/>
          <w:szCs w:val="21"/>
        </w:rPr>
      </w:pPr>
      <w:r w:rsidRPr="4589387C">
        <w:rPr>
          <w:rFonts w:eastAsia="Segoe UI" w:cs="Segoe UI"/>
          <w:szCs w:val="21"/>
        </w:rPr>
        <w:t>Māori</w:t>
      </w:r>
      <w:r>
        <w:tab/>
      </w:r>
      <w:r>
        <w:tab/>
      </w:r>
      <w:sdt>
        <w:sdtPr>
          <w:rPr>
            <w:sz w:val="25"/>
            <w:szCs w:val="24"/>
          </w:rPr>
          <w:id w:val="96690963"/>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tab/>
      </w:r>
      <w:r w:rsidRPr="4589387C">
        <w:rPr>
          <w:rFonts w:eastAsia="Segoe UI" w:cs="Segoe UI"/>
          <w:szCs w:val="21"/>
        </w:rPr>
        <w:t>Family/</w:t>
      </w:r>
      <w:r>
        <w:rPr>
          <w:rFonts w:eastAsia="Segoe UI" w:cs="Segoe UI"/>
          <w:szCs w:val="21"/>
        </w:rPr>
        <w:t>wh</w:t>
      </w:r>
      <w:r w:rsidR="00A257DF">
        <w:rPr>
          <w:rFonts w:eastAsia="Segoe UI" w:cs="Segoe UI"/>
          <w:szCs w:val="21"/>
        </w:rPr>
        <w:t>ā</w:t>
      </w:r>
      <w:r>
        <w:rPr>
          <w:rFonts w:eastAsia="Segoe UI" w:cs="Segoe UI"/>
          <w:szCs w:val="21"/>
        </w:rPr>
        <w:t>nau</w:t>
      </w:r>
      <w:r>
        <w:rPr>
          <w:rFonts w:eastAsia="Segoe UI" w:cs="Segoe UI"/>
          <w:szCs w:val="21"/>
        </w:rPr>
        <w:tab/>
      </w:r>
      <w:sdt>
        <w:sdtPr>
          <w:rPr>
            <w:sz w:val="25"/>
            <w:szCs w:val="24"/>
          </w:rPr>
          <w:id w:val="-393735260"/>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702C15A4" w14:textId="77C6C757" w:rsidR="0025379F" w:rsidRDefault="0025379F" w:rsidP="0025379F">
      <w:pPr>
        <w:tabs>
          <w:tab w:val="left" w:pos="567"/>
          <w:tab w:val="left" w:pos="3119"/>
          <w:tab w:val="left" w:pos="3828"/>
          <w:tab w:val="right" w:pos="7655"/>
        </w:tabs>
        <w:spacing w:before="60"/>
        <w:rPr>
          <w:rFonts w:eastAsia="Segoe UI" w:cs="Segoe UI"/>
          <w:szCs w:val="21"/>
        </w:rPr>
      </w:pPr>
      <w:r w:rsidRPr="4589387C">
        <w:rPr>
          <w:rFonts w:eastAsia="Segoe UI" w:cs="Segoe UI"/>
          <w:szCs w:val="21"/>
        </w:rPr>
        <w:t xml:space="preserve">Pacific </w:t>
      </w:r>
      <w:r>
        <w:tab/>
      </w:r>
      <w:sdt>
        <w:sdtPr>
          <w:rPr>
            <w:sz w:val="25"/>
            <w:szCs w:val="24"/>
          </w:rPr>
          <w:id w:val="832029730"/>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rPr>
          <w:rFonts w:eastAsia="Segoe UI" w:cs="Segoe UI"/>
          <w:szCs w:val="21"/>
        </w:rPr>
        <w:t xml:space="preserve"> </w:t>
      </w:r>
      <w:r>
        <w:rPr>
          <w:rFonts w:eastAsia="Segoe UI" w:cs="Segoe UI"/>
          <w:szCs w:val="21"/>
        </w:rPr>
        <w:tab/>
        <w:t>Lived experience/</w:t>
      </w:r>
      <w:proofErr w:type="spellStart"/>
      <w:r>
        <w:rPr>
          <w:rFonts w:eastAsia="Segoe UI" w:cs="Segoe UI"/>
          <w:szCs w:val="21"/>
        </w:rPr>
        <w:t>Tangata</w:t>
      </w:r>
      <w:proofErr w:type="spellEnd"/>
      <w:r>
        <w:rPr>
          <w:rFonts w:eastAsia="Segoe UI" w:cs="Segoe UI"/>
          <w:szCs w:val="21"/>
        </w:rPr>
        <w:t xml:space="preserve"> </w:t>
      </w:r>
      <w:proofErr w:type="spellStart"/>
      <w:r>
        <w:rPr>
          <w:rFonts w:eastAsia="Segoe UI" w:cs="Segoe UI"/>
          <w:szCs w:val="21"/>
        </w:rPr>
        <w:t>Whaiora</w:t>
      </w:r>
      <w:proofErr w:type="spellEnd"/>
      <w:r w:rsidRPr="0025379F">
        <w:rPr>
          <w:rFonts w:eastAsia="Segoe UI" w:cs="Segoe UI"/>
          <w:szCs w:val="21"/>
        </w:rPr>
        <w:t xml:space="preserve"> </w:t>
      </w:r>
      <w:r>
        <w:rPr>
          <w:rFonts w:eastAsia="Segoe UI" w:cs="Segoe UI"/>
          <w:szCs w:val="21"/>
        </w:rPr>
        <w:tab/>
      </w:r>
      <w:sdt>
        <w:sdtPr>
          <w:rPr>
            <w:sz w:val="25"/>
            <w:szCs w:val="24"/>
          </w:rPr>
          <w:id w:val="1970005249"/>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66471AEE" w14:textId="019EFA45" w:rsidR="0025379F" w:rsidRPr="00152E1F" w:rsidRDefault="0025379F" w:rsidP="0025379F">
      <w:pPr>
        <w:tabs>
          <w:tab w:val="left" w:pos="567"/>
          <w:tab w:val="left" w:pos="3119"/>
          <w:tab w:val="left" w:pos="3828"/>
          <w:tab w:val="right" w:pos="7655"/>
        </w:tabs>
        <w:spacing w:before="60"/>
        <w:rPr>
          <w:rFonts w:eastAsia="Segoe UI" w:cs="Segoe UI"/>
          <w:szCs w:val="21"/>
        </w:rPr>
      </w:pPr>
      <w:r w:rsidRPr="4589387C">
        <w:rPr>
          <w:rFonts w:eastAsia="Segoe UI" w:cs="Segoe UI"/>
          <w:szCs w:val="21"/>
        </w:rPr>
        <w:t xml:space="preserve">Asian </w:t>
      </w:r>
      <w:r>
        <w:tab/>
      </w:r>
      <w:r>
        <w:tab/>
      </w:r>
      <w:sdt>
        <w:sdtPr>
          <w:rPr>
            <w:sz w:val="25"/>
            <w:szCs w:val="24"/>
          </w:rPr>
          <w:id w:val="-137031388"/>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rsidRPr="4589387C">
        <w:rPr>
          <w:rFonts w:eastAsia="Segoe UI" w:cs="Segoe UI"/>
          <w:szCs w:val="21"/>
        </w:rPr>
        <w:t xml:space="preserve"> </w:t>
      </w:r>
      <w:r>
        <w:rPr>
          <w:rFonts w:eastAsia="Segoe UI" w:cs="Segoe UI"/>
          <w:szCs w:val="21"/>
        </w:rPr>
        <w:tab/>
      </w:r>
      <w:r w:rsidRPr="4589387C">
        <w:rPr>
          <w:rFonts w:eastAsia="Segoe UI" w:cs="Segoe UI"/>
          <w:szCs w:val="21"/>
        </w:rPr>
        <w:t>Local government</w:t>
      </w:r>
      <w:r w:rsidRPr="0025379F">
        <w:rPr>
          <w:rFonts w:eastAsia="Segoe UI" w:cs="Segoe UI"/>
          <w:szCs w:val="21"/>
        </w:rPr>
        <w:t xml:space="preserve"> </w:t>
      </w:r>
      <w:r>
        <w:rPr>
          <w:rFonts w:eastAsia="Segoe UI" w:cs="Segoe UI"/>
          <w:szCs w:val="21"/>
        </w:rPr>
        <w:tab/>
      </w:r>
      <w:sdt>
        <w:sdtPr>
          <w:rPr>
            <w:sz w:val="25"/>
            <w:szCs w:val="24"/>
          </w:rPr>
          <w:id w:val="1193188697"/>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50E0FB18" w14:textId="357C9B96" w:rsidR="0025379F" w:rsidRPr="00152E1F" w:rsidRDefault="0025379F" w:rsidP="0025379F">
      <w:pPr>
        <w:tabs>
          <w:tab w:val="left" w:pos="567"/>
          <w:tab w:val="left" w:pos="3119"/>
          <w:tab w:val="left" w:pos="3828"/>
          <w:tab w:val="right" w:pos="7655"/>
        </w:tabs>
        <w:spacing w:before="60"/>
        <w:rPr>
          <w:rFonts w:eastAsia="Segoe UI" w:cs="Segoe UI"/>
          <w:szCs w:val="21"/>
        </w:rPr>
      </w:pPr>
      <w:r w:rsidRPr="4589387C">
        <w:rPr>
          <w:rFonts w:eastAsia="Segoe UI" w:cs="Segoe UI"/>
          <w:szCs w:val="21"/>
        </w:rPr>
        <w:t>Service provider</w:t>
      </w:r>
      <w:r>
        <w:tab/>
      </w:r>
      <w:sdt>
        <w:sdtPr>
          <w:rPr>
            <w:sz w:val="25"/>
            <w:szCs w:val="24"/>
          </w:rPr>
          <w:id w:val="615561266"/>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rsidRPr="4589387C">
        <w:rPr>
          <w:rFonts w:eastAsia="Segoe UI" w:cs="Segoe UI"/>
          <w:szCs w:val="21"/>
        </w:rPr>
        <w:t xml:space="preserve"> </w:t>
      </w:r>
      <w:r>
        <w:rPr>
          <w:rFonts w:eastAsia="Segoe UI" w:cs="Segoe UI"/>
          <w:szCs w:val="21"/>
        </w:rPr>
        <w:t xml:space="preserve"> </w:t>
      </w:r>
      <w:r>
        <w:rPr>
          <w:rFonts w:eastAsia="Segoe UI" w:cs="Segoe UI"/>
          <w:szCs w:val="21"/>
        </w:rPr>
        <w:tab/>
      </w:r>
      <w:r w:rsidRPr="4589387C">
        <w:rPr>
          <w:rFonts w:eastAsia="Segoe UI" w:cs="Segoe UI"/>
          <w:szCs w:val="21"/>
        </w:rPr>
        <w:t>Central government</w:t>
      </w:r>
      <w:r w:rsidRPr="0025379F">
        <w:rPr>
          <w:rFonts w:eastAsia="Segoe UI" w:cs="Segoe UI"/>
          <w:szCs w:val="21"/>
        </w:rPr>
        <w:t xml:space="preserve"> </w:t>
      </w:r>
      <w:r>
        <w:rPr>
          <w:rFonts w:eastAsia="Segoe UI" w:cs="Segoe UI"/>
          <w:szCs w:val="21"/>
        </w:rPr>
        <w:tab/>
      </w:r>
      <w:sdt>
        <w:sdtPr>
          <w:rPr>
            <w:sz w:val="25"/>
            <w:szCs w:val="24"/>
          </w:rPr>
          <w:id w:val="247013138"/>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620DB15E" w14:textId="5C524830" w:rsidR="0025379F" w:rsidRPr="00152E1F" w:rsidRDefault="0025379F" w:rsidP="0025379F">
      <w:pPr>
        <w:tabs>
          <w:tab w:val="left" w:pos="567"/>
          <w:tab w:val="left" w:pos="3119"/>
          <w:tab w:val="left" w:pos="3828"/>
          <w:tab w:val="right" w:pos="7655"/>
        </w:tabs>
        <w:spacing w:before="60"/>
        <w:rPr>
          <w:rFonts w:eastAsia="Segoe UI" w:cs="Segoe UI"/>
          <w:szCs w:val="21"/>
        </w:rPr>
      </w:pPr>
      <w:r w:rsidRPr="4589387C">
        <w:rPr>
          <w:rFonts w:eastAsia="Segoe UI" w:cs="Segoe UI"/>
          <w:szCs w:val="21"/>
        </w:rPr>
        <w:t>Gambling industry (levy payer)</w:t>
      </w:r>
      <w:r>
        <w:tab/>
      </w:r>
      <w:sdt>
        <w:sdtPr>
          <w:rPr>
            <w:sz w:val="25"/>
            <w:szCs w:val="24"/>
          </w:rPr>
          <w:id w:val="1509789218"/>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rsidRPr="4589387C">
        <w:rPr>
          <w:rFonts w:eastAsia="Segoe UI" w:cs="Segoe UI"/>
          <w:szCs w:val="21"/>
        </w:rPr>
        <w:t xml:space="preserve"> </w:t>
      </w:r>
      <w:r>
        <w:rPr>
          <w:rFonts w:eastAsia="Segoe UI" w:cs="Segoe UI"/>
          <w:szCs w:val="21"/>
        </w:rPr>
        <w:tab/>
      </w:r>
      <w:r w:rsidRPr="4589387C">
        <w:rPr>
          <w:rFonts w:eastAsia="Segoe UI" w:cs="Segoe UI"/>
          <w:szCs w:val="21"/>
        </w:rPr>
        <w:t>Researcher</w:t>
      </w:r>
      <w:r w:rsidRPr="0025379F">
        <w:rPr>
          <w:rFonts w:eastAsia="Segoe UI" w:cs="Segoe UI"/>
          <w:szCs w:val="21"/>
        </w:rPr>
        <w:t xml:space="preserve"> </w:t>
      </w:r>
      <w:r>
        <w:rPr>
          <w:rFonts w:eastAsia="Segoe UI" w:cs="Segoe UI"/>
          <w:szCs w:val="21"/>
        </w:rPr>
        <w:tab/>
      </w:r>
      <w:sdt>
        <w:sdtPr>
          <w:rPr>
            <w:sz w:val="25"/>
            <w:szCs w:val="24"/>
          </w:rPr>
          <w:id w:val="282307001"/>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425A4155" w14:textId="0A09B9B9" w:rsidR="0025379F" w:rsidRDefault="0025379F" w:rsidP="0025379F">
      <w:pPr>
        <w:tabs>
          <w:tab w:val="left" w:pos="567"/>
          <w:tab w:val="left" w:pos="3119"/>
          <w:tab w:val="left" w:pos="3828"/>
          <w:tab w:val="right" w:pos="7655"/>
        </w:tabs>
        <w:spacing w:before="60"/>
      </w:pPr>
      <w:r w:rsidRPr="4589387C">
        <w:rPr>
          <w:rFonts w:eastAsia="Segoe UI" w:cs="Segoe UI"/>
          <w:szCs w:val="21"/>
        </w:rPr>
        <w:t>Children / Young people</w:t>
      </w:r>
      <w:r>
        <w:tab/>
      </w:r>
      <w:sdt>
        <w:sdtPr>
          <w:rPr>
            <w:sz w:val="25"/>
            <w:szCs w:val="24"/>
          </w:rPr>
          <w:id w:val="-2090077923"/>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t xml:space="preserve"> </w:t>
      </w:r>
      <w:r>
        <w:tab/>
      </w:r>
      <w:r w:rsidRPr="0025379F">
        <w:rPr>
          <w:rFonts w:eastAsia="Segoe UI" w:cs="Segoe UI"/>
          <w:szCs w:val="21"/>
        </w:rPr>
        <w:t xml:space="preserve">Disability </w:t>
      </w:r>
      <w:r>
        <w:rPr>
          <w:rFonts w:eastAsia="Segoe UI" w:cs="Segoe UI"/>
          <w:szCs w:val="21"/>
        </w:rPr>
        <w:tab/>
      </w:r>
      <w:sdt>
        <w:sdtPr>
          <w:rPr>
            <w:sz w:val="25"/>
            <w:szCs w:val="24"/>
          </w:rPr>
          <w:id w:val="648953862"/>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1B894015" w14:textId="28CD1BD5" w:rsidR="0025379F" w:rsidRPr="00152E1F" w:rsidRDefault="0025379F" w:rsidP="0012551A">
      <w:pPr>
        <w:tabs>
          <w:tab w:val="left" w:pos="567"/>
          <w:tab w:val="left" w:pos="3119"/>
          <w:tab w:val="left" w:pos="4111"/>
          <w:tab w:val="right" w:leader="underscore" w:pos="8080"/>
        </w:tabs>
        <w:spacing w:before="120"/>
        <w:rPr>
          <w:rFonts w:eastAsia="Segoe UI" w:cs="Segoe UI"/>
          <w:sz w:val="20"/>
        </w:rPr>
      </w:pPr>
      <w:r w:rsidRPr="4589387C">
        <w:rPr>
          <w:rFonts w:eastAsia="Segoe UI" w:cs="Segoe UI"/>
          <w:szCs w:val="21"/>
        </w:rPr>
        <w:t>Other</w:t>
      </w:r>
      <w:r w:rsidRPr="4589387C">
        <w:rPr>
          <w:rFonts w:eastAsia="Segoe UI" w:cs="Segoe UI"/>
          <w:i/>
          <w:iCs/>
          <w:sz w:val="18"/>
          <w:szCs w:val="18"/>
        </w:rPr>
        <w:t xml:space="preserve"> (please specify)</w:t>
      </w:r>
      <w:r w:rsidR="0012551A" w:rsidRPr="0012551A">
        <w:rPr>
          <w:rFonts w:eastAsia="Segoe UI"/>
          <w:sz w:val="20"/>
        </w:rPr>
        <w:t xml:space="preserve"> </w:t>
      </w:r>
      <w:r w:rsidR="0012551A" w:rsidRPr="00AB0C63">
        <w:rPr>
          <w:rFonts w:eastAsia="Segoe UI"/>
          <w:sz w:val="20"/>
        </w:rPr>
        <w:t>_________________________________________________________________</w:t>
      </w:r>
    </w:p>
    <w:p w14:paraId="311CD3EE" w14:textId="77777777" w:rsidR="00E67033" w:rsidRPr="00E67033" w:rsidRDefault="00E67033" w:rsidP="00E67033">
      <w:pPr>
        <w:pStyle w:val="Heading3"/>
      </w:pPr>
      <w:bookmarkStart w:id="99" w:name="_Toc173848544"/>
      <w:bookmarkStart w:id="100" w:name="_Toc173855609"/>
      <w:bookmarkStart w:id="101" w:name="_Toc173922703"/>
      <w:bookmarkStart w:id="102" w:name="_Toc86881403"/>
      <w:r w:rsidRPr="00E67033">
        <w:t>Summary of submissions</w:t>
      </w:r>
      <w:bookmarkEnd w:id="99"/>
      <w:bookmarkEnd w:id="100"/>
      <w:bookmarkEnd w:id="101"/>
      <w:bookmarkEnd w:id="102"/>
    </w:p>
    <w:p w14:paraId="39FB0D8E" w14:textId="5432B07F" w:rsidR="00E67033" w:rsidRDefault="00E67033" w:rsidP="00E67033">
      <w:pPr>
        <w:rPr>
          <w:rFonts w:eastAsia="Segoe UI"/>
        </w:rPr>
      </w:pPr>
      <w:r w:rsidRPr="4589387C">
        <w:rPr>
          <w:rFonts w:eastAsia="Segoe UI"/>
        </w:rPr>
        <w:t>If you wish to be notified when a summary of submissions is available, please ensure your contact details are provided above and tick the box below.</w:t>
      </w:r>
    </w:p>
    <w:p w14:paraId="37A9CD08" w14:textId="77777777" w:rsidR="00E67033" w:rsidRPr="00152E1F" w:rsidRDefault="00E67033" w:rsidP="00E67033">
      <w:pPr>
        <w:rPr>
          <w:rFonts w:eastAsia="Segoe UI"/>
        </w:rPr>
      </w:pPr>
    </w:p>
    <w:p w14:paraId="6F43CDFC" w14:textId="2355B1A0" w:rsidR="00E67033" w:rsidRDefault="00000000" w:rsidP="00E67033">
      <w:pPr>
        <w:rPr>
          <w:rFonts w:eastAsia="Segoe UI"/>
        </w:rPr>
      </w:pPr>
      <w:sdt>
        <w:sdtPr>
          <w:rPr>
            <w:sz w:val="25"/>
            <w:szCs w:val="24"/>
          </w:rPr>
          <w:id w:val="265664632"/>
          <w14:checkbox>
            <w14:checked w14:val="0"/>
            <w14:checkedState w14:val="2612" w14:font="MS Gothic"/>
            <w14:uncheckedState w14:val="2610" w14:font="MS Gothic"/>
          </w14:checkbox>
        </w:sdtPr>
        <w:sdtContent>
          <w:r w:rsidR="00E67033">
            <w:rPr>
              <w:rFonts w:ascii="MS Gothic" w:eastAsia="MS Gothic" w:hAnsi="MS Gothic" w:hint="eastAsia"/>
              <w:sz w:val="25"/>
              <w:szCs w:val="24"/>
            </w:rPr>
            <w:t>☐</w:t>
          </w:r>
        </w:sdtContent>
      </w:sdt>
      <w:r w:rsidR="00E67033" w:rsidRPr="00BE6F14">
        <w:rPr>
          <w:rFonts w:eastAsia="Segoe UI"/>
        </w:rPr>
        <w:t xml:space="preserve"> I wish to be informed when the summary of submissions is available.</w:t>
      </w:r>
    </w:p>
    <w:p w14:paraId="181226E2" w14:textId="77777777" w:rsidR="0095327F" w:rsidRPr="00BE6F14" w:rsidRDefault="0095327F" w:rsidP="00E67033">
      <w:pPr>
        <w:rPr>
          <w:rFonts w:eastAsia="Segoe UI"/>
        </w:rPr>
      </w:pPr>
    </w:p>
    <w:p w14:paraId="17422EBE" w14:textId="77777777" w:rsidR="00E67033" w:rsidRPr="00152E1F" w:rsidRDefault="00E67033" w:rsidP="00E67033">
      <w:pPr>
        <w:pStyle w:val="Heading3"/>
      </w:pPr>
      <w:bookmarkStart w:id="103" w:name="_Toc173848545"/>
      <w:bookmarkStart w:id="104" w:name="_Toc173855610"/>
      <w:bookmarkStart w:id="105" w:name="_Toc173922704"/>
      <w:bookmarkStart w:id="106" w:name="_Toc1635414657"/>
      <w:r>
        <w:lastRenderedPageBreak/>
        <w:t>Publishing submissions</w:t>
      </w:r>
      <w:bookmarkEnd w:id="103"/>
      <w:bookmarkEnd w:id="104"/>
      <w:bookmarkEnd w:id="105"/>
      <w:bookmarkEnd w:id="106"/>
    </w:p>
    <w:p w14:paraId="6107DB9B" w14:textId="77777777" w:rsidR="00E67033" w:rsidRPr="00152E1F" w:rsidRDefault="00E67033" w:rsidP="00E67033">
      <w:pPr>
        <w:spacing w:after="120"/>
        <w:rPr>
          <w:rFonts w:eastAsia="Segoe UI" w:cs="Segoe UI"/>
          <w:szCs w:val="21"/>
        </w:rPr>
      </w:pPr>
      <w:r w:rsidRPr="4589387C">
        <w:rPr>
          <w:rFonts w:eastAsia="Segoe UI" w:cs="Segoe UI"/>
          <w:szCs w:val="21"/>
        </w:rPr>
        <w:t xml:space="preserve">We may publish all submissions or a summary of submissions on the Ministry’s website, unless you ask us not to include details from your submission. </w:t>
      </w:r>
    </w:p>
    <w:p w14:paraId="0580A613" w14:textId="77777777" w:rsidR="00E67033" w:rsidRPr="00152E1F" w:rsidRDefault="00E67033" w:rsidP="00E67033">
      <w:pPr>
        <w:spacing w:after="240"/>
        <w:rPr>
          <w:rFonts w:eastAsia="Segoe UI" w:cs="Segoe UI"/>
          <w:szCs w:val="21"/>
        </w:rPr>
      </w:pPr>
      <w:r w:rsidRPr="4589387C">
        <w:rPr>
          <w:rFonts w:eastAsia="Segoe UI" w:cs="Segoe UI"/>
          <w:szCs w:val="21"/>
        </w:rPr>
        <w:t>If you are submitting as an individual, we will automatically remove your personal details and any identifiable information. You can also choose to have your personal details withheld if your submission is requested under the Official Information Act 1982.</w:t>
      </w:r>
    </w:p>
    <w:p w14:paraId="336FD56F" w14:textId="77777777" w:rsidR="00E67033" w:rsidRPr="00152E1F" w:rsidRDefault="00E67033" w:rsidP="00E67033">
      <w:pPr>
        <w:pStyle w:val="Heading3"/>
      </w:pPr>
      <w:bookmarkStart w:id="107" w:name="_Toc173848546"/>
      <w:bookmarkStart w:id="108" w:name="_Toc173855611"/>
      <w:bookmarkStart w:id="109" w:name="_Toc173922705"/>
      <w:bookmarkStart w:id="110" w:name="_Toc1245821140"/>
      <w:r>
        <w:t>Privacy</w:t>
      </w:r>
      <w:bookmarkEnd w:id="107"/>
      <w:bookmarkEnd w:id="108"/>
      <w:bookmarkEnd w:id="109"/>
      <w:bookmarkEnd w:id="110"/>
    </w:p>
    <w:p w14:paraId="645BD572" w14:textId="2AD0A5D8" w:rsidR="00E67033" w:rsidRDefault="00E67033" w:rsidP="00E67033">
      <w:pPr>
        <w:rPr>
          <w:rFonts w:eastAsia="Segoe UI"/>
        </w:rPr>
      </w:pPr>
      <w:r w:rsidRPr="4589387C">
        <w:rPr>
          <w:rFonts w:eastAsia="Segoe UI"/>
        </w:rPr>
        <w:t>We may publish all submissions, or a summary of submissions, on the Ministry’s website. If you are submitting as an individual, we will automatically remove your personal details and any identifiable information.</w:t>
      </w:r>
    </w:p>
    <w:p w14:paraId="21770D70" w14:textId="77777777" w:rsidR="00E67033" w:rsidRPr="00152E1F" w:rsidRDefault="00E67033" w:rsidP="00E67033">
      <w:pPr>
        <w:rPr>
          <w:rFonts w:eastAsia="Segoe UI"/>
        </w:rPr>
      </w:pPr>
    </w:p>
    <w:p w14:paraId="32185340" w14:textId="77777777" w:rsidR="00E67033" w:rsidRPr="00152E1F" w:rsidRDefault="00E67033" w:rsidP="0012551A">
      <w:pPr>
        <w:spacing w:after="120"/>
        <w:rPr>
          <w:rFonts w:eastAsia="Segoe UI"/>
        </w:rPr>
      </w:pPr>
      <w:r w:rsidRPr="4589387C">
        <w:rPr>
          <w:rFonts w:eastAsia="Segoe UI"/>
        </w:rPr>
        <w:t>If you do not want your submission published on the Ministry’s website, please tick this box:</w:t>
      </w:r>
    </w:p>
    <w:p w14:paraId="6A3E9A1C" w14:textId="1D499472" w:rsidR="00E67033" w:rsidRPr="00C731E2" w:rsidRDefault="00000000" w:rsidP="00E67033">
      <w:pPr>
        <w:tabs>
          <w:tab w:val="left" w:pos="567"/>
          <w:tab w:val="left" w:pos="3544"/>
          <w:tab w:val="left" w:pos="4111"/>
        </w:tabs>
        <w:spacing w:before="60" w:after="240"/>
        <w:contextualSpacing/>
        <w:rPr>
          <w:rFonts w:eastAsia="Segoe UI" w:cs="Segoe UI"/>
          <w:szCs w:val="21"/>
        </w:rPr>
      </w:pPr>
      <w:sdt>
        <w:sdtPr>
          <w:rPr>
            <w:sz w:val="25"/>
            <w:szCs w:val="24"/>
          </w:rPr>
          <w:id w:val="-12685838"/>
          <w14:checkbox>
            <w14:checked w14:val="0"/>
            <w14:checkedState w14:val="2612" w14:font="MS Gothic"/>
            <w14:uncheckedState w14:val="2610" w14:font="MS Gothic"/>
          </w14:checkbox>
        </w:sdtPr>
        <w:sdtContent>
          <w:r w:rsidR="00E67033">
            <w:rPr>
              <w:rFonts w:ascii="MS Gothic" w:eastAsia="MS Gothic" w:hAnsi="MS Gothic" w:hint="eastAsia"/>
              <w:sz w:val="25"/>
              <w:szCs w:val="24"/>
            </w:rPr>
            <w:t>☐</w:t>
          </w:r>
        </w:sdtContent>
      </w:sdt>
      <w:r w:rsidR="00E67033" w:rsidRPr="00C731E2">
        <w:rPr>
          <w:rFonts w:eastAsia="Segoe UI" w:cs="Segoe UI"/>
          <w:szCs w:val="21"/>
        </w:rPr>
        <w:t xml:space="preserve">  Do not publish this submission.</w:t>
      </w:r>
    </w:p>
    <w:p w14:paraId="34826F93" w14:textId="77777777" w:rsidR="00E67033" w:rsidRDefault="00E67033" w:rsidP="00E67033">
      <w:pPr>
        <w:rPr>
          <w:rFonts w:eastAsia="Segoe UI"/>
        </w:rPr>
      </w:pPr>
    </w:p>
    <w:p w14:paraId="7EAB1888" w14:textId="0AFF36CB" w:rsidR="00E67033" w:rsidRDefault="00E67033" w:rsidP="0012551A">
      <w:pPr>
        <w:spacing w:after="120"/>
        <w:rPr>
          <w:rFonts w:eastAsia="Segoe UI"/>
        </w:rPr>
      </w:pPr>
      <w:r w:rsidRPr="4589387C">
        <w:rPr>
          <w:rFonts w:eastAsia="Segoe UI"/>
        </w:rPr>
        <w:t>Your submission may be subject to requests made under the Official Information Act 1982. If you want your personal details removed from your submission, please tick this box:</w:t>
      </w:r>
    </w:p>
    <w:p w14:paraId="04D91CFC" w14:textId="017557C2" w:rsidR="00E67033" w:rsidRDefault="00000000" w:rsidP="00E67033">
      <w:pPr>
        <w:rPr>
          <w:rFonts w:eastAsia="Segoe UI"/>
        </w:rPr>
      </w:pPr>
      <w:sdt>
        <w:sdtPr>
          <w:rPr>
            <w:sz w:val="25"/>
            <w:szCs w:val="24"/>
          </w:rPr>
          <w:id w:val="-1435745884"/>
          <w14:checkbox>
            <w14:checked w14:val="0"/>
            <w14:checkedState w14:val="2612" w14:font="MS Gothic"/>
            <w14:uncheckedState w14:val="2610" w14:font="MS Gothic"/>
          </w14:checkbox>
        </w:sdtPr>
        <w:sdtContent>
          <w:r w:rsidR="00E67033">
            <w:rPr>
              <w:rFonts w:ascii="MS Gothic" w:eastAsia="MS Gothic" w:hAnsi="MS Gothic" w:hint="eastAsia"/>
              <w:sz w:val="25"/>
              <w:szCs w:val="24"/>
            </w:rPr>
            <w:t>☐</w:t>
          </w:r>
        </w:sdtContent>
      </w:sdt>
      <w:r w:rsidR="00E67033" w:rsidRPr="00F80343">
        <w:rPr>
          <w:rFonts w:eastAsia="Segoe UI"/>
        </w:rPr>
        <w:t xml:space="preserve"> Remove my personal details from Official Information Act responses.</w:t>
      </w:r>
    </w:p>
    <w:p w14:paraId="0DB46740" w14:textId="77777777" w:rsidR="00E67033" w:rsidRPr="00F80343" w:rsidRDefault="00E67033" w:rsidP="00E67033">
      <w:pPr>
        <w:rPr>
          <w:rFonts w:eastAsia="Segoe UI"/>
        </w:rPr>
      </w:pPr>
    </w:p>
    <w:p w14:paraId="1839A187" w14:textId="5CE9B773" w:rsidR="00E67033" w:rsidRDefault="00E67033" w:rsidP="0012551A">
      <w:pPr>
        <w:spacing w:after="120"/>
        <w:rPr>
          <w:rFonts w:eastAsia="Segoe UI"/>
        </w:rPr>
      </w:pPr>
      <w:r w:rsidRPr="4589387C">
        <w:rPr>
          <w:rFonts w:eastAsia="Segoe UI"/>
        </w:rPr>
        <w:t>If your submission contains commercially sensitive information, please tick this box:</w:t>
      </w:r>
    </w:p>
    <w:p w14:paraId="75F6716F" w14:textId="2DB41EAD" w:rsidR="00E67033" w:rsidRPr="00F80343" w:rsidRDefault="00000000" w:rsidP="00E67033">
      <w:pPr>
        <w:rPr>
          <w:rFonts w:eastAsia="Segoe UI"/>
        </w:rPr>
      </w:pPr>
      <w:sdt>
        <w:sdtPr>
          <w:rPr>
            <w:sz w:val="25"/>
            <w:szCs w:val="24"/>
          </w:rPr>
          <w:id w:val="1345594032"/>
          <w14:checkbox>
            <w14:checked w14:val="0"/>
            <w14:checkedState w14:val="2612" w14:font="MS Gothic"/>
            <w14:uncheckedState w14:val="2610" w14:font="MS Gothic"/>
          </w14:checkbox>
        </w:sdtPr>
        <w:sdtContent>
          <w:r w:rsidR="00E67033">
            <w:rPr>
              <w:rFonts w:ascii="MS Gothic" w:eastAsia="MS Gothic" w:hAnsi="MS Gothic" w:hint="eastAsia"/>
              <w:sz w:val="25"/>
              <w:szCs w:val="24"/>
            </w:rPr>
            <w:t>☐</w:t>
          </w:r>
        </w:sdtContent>
      </w:sdt>
      <w:r w:rsidR="00E67033" w:rsidRPr="00F80343">
        <w:rPr>
          <w:rFonts w:eastAsia="Segoe UI"/>
        </w:rPr>
        <w:t xml:space="preserve"> This submission contains commercially sensitive information.</w:t>
      </w:r>
    </w:p>
    <w:p w14:paraId="0A6AB4C6" w14:textId="77777777" w:rsidR="00E67033" w:rsidRPr="00152E1F" w:rsidRDefault="00E67033" w:rsidP="00E67033">
      <w:pPr>
        <w:pStyle w:val="Heading3"/>
      </w:pPr>
      <w:bookmarkStart w:id="111" w:name="_Toc173848547"/>
      <w:bookmarkStart w:id="112" w:name="_Toc173855612"/>
      <w:bookmarkStart w:id="113" w:name="_Toc173922706"/>
      <w:bookmarkStart w:id="114" w:name="_Toc768477779"/>
      <w:r>
        <w:t>Consultation questions</w:t>
      </w:r>
      <w:bookmarkEnd w:id="111"/>
      <w:bookmarkEnd w:id="112"/>
      <w:bookmarkEnd w:id="113"/>
      <w:bookmarkEnd w:id="114"/>
    </w:p>
    <w:p w14:paraId="3AA5D6BD" w14:textId="7209AE55" w:rsidR="00E67033" w:rsidRDefault="00E67033" w:rsidP="00E67033">
      <w:pPr>
        <w:rPr>
          <w:rFonts w:eastAsia="Segoe UI"/>
        </w:rPr>
      </w:pPr>
      <w:r w:rsidRPr="4589387C">
        <w:rPr>
          <w:rFonts w:eastAsia="Segoe UI"/>
        </w:rPr>
        <w:t xml:space="preserve">The following questions about the </w:t>
      </w:r>
      <w:r w:rsidRPr="4589387C">
        <w:rPr>
          <w:rFonts w:eastAsia="Segoe UI"/>
          <w:i/>
          <w:iCs/>
        </w:rPr>
        <w:t xml:space="preserve">Strategy to Prevent and Minimise Gambling Harm 2025/26 to 2027/28: Consultation document </w:t>
      </w:r>
      <w:r w:rsidRPr="4589387C">
        <w:rPr>
          <w:rFonts w:eastAsia="Segoe UI"/>
        </w:rPr>
        <w:t xml:space="preserve">(the draft Strategy) are designed to help you prepare your feedback. However, you do not have to answer the questions if you prefer to structure your submission in some other way. </w:t>
      </w:r>
    </w:p>
    <w:p w14:paraId="7871EAC3" w14:textId="77777777" w:rsidR="00E67033" w:rsidRPr="00152E1F" w:rsidRDefault="00E67033" w:rsidP="00E67033">
      <w:pPr>
        <w:rPr>
          <w:rFonts w:eastAsia="Segoe UI"/>
        </w:rPr>
      </w:pPr>
    </w:p>
    <w:p w14:paraId="072BDD17" w14:textId="45482CA8" w:rsidR="00E67033" w:rsidRDefault="00E67033" w:rsidP="00E67033">
      <w:r>
        <w:t xml:space="preserve">Please include or cite relevant supporting evidence in your submission if you can. </w:t>
      </w:r>
    </w:p>
    <w:p w14:paraId="7CE5FF92" w14:textId="77777777" w:rsidR="00E67033" w:rsidRDefault="00E67033" w:rsidP="00E67033"/>
    <w:p w14:paraId="38CD7952" w14:textId="05B4F36F" w:rsidR="00E67033" w:rsidRDefault="00E67033" w:rsidP="00E67033">
      <w:r>
        <w:t>You are also welcome to provide any other feedback on the draft strategy or more generally any ideas on preventing or minimising gambling harm in New Zealand.</w:t>
      </w:r>
    </w:p>
    <w:p w14:paraId="09EB9E3A" w14:textId="77777777" w:rsidR="0012551A" w:rsidRDefault="0012551A" w:rsidP="00E67033"/>
    <w:p w14:paraId="0F8C2F4E" w14:textId="2F21D3B0" w:rsidR="00E67033" w:rsidRDefault="00E67033" w:rsidP="00E67033">
      <w:pPr>
        <w:rPr>
          <w:rFonts w:eastAsia="Segoe UI"/>
        </w:rPr>
      </w:pPr>
      <w:r w:rsidRPr="4589387C">
        <w:rPr>
          <w:rFonts w:eastAsia="Segoe UI"/>
        </w:rPr>
        <w:t xml:space="preserve">Note: The Gambling Act 2003 defines harm, the purpose of the strategy (to prevent and minimise gambling harm) and key components that a strategy must include. </w:t>
      </w:r>
    </w:p>
    <w:p w14:paraId="3DB420F2" w14:textId="1E8A7C60" w:rsidR="00E67033" w:rsidRPr="00152E1F" w:rsidRDefault="00E67033" w:rsidP="00E67033">
      <w:r w:rsidRPr="4589387C">
        <w:rPr>
          <w:rFonts w:eastAsia="Segoe UI"/>
          <w:b/>
          <w:bCs/>
        </w:rPr>
        <w:t>Neither these legislative provisions nor the content of the other strategic documents and frameworks with which the proposed strategy is expected to align are under consideration in this consultation.</w:t>
      </w:r>
    </w:p>
    <w:p w14:paraId="31E86775" w14:textId="77777777" w:rsidR="0012551A" w:rsidRDefault="0012551A" w:rsidP="00E67033">
      <w:pPr>
        <w:pStyle w:val="Heading3"/>
        <w:sectPr w:rsidR="0012551A" w:rsidSect="00EC41FD">
          <w:pgSz w:w="11907" w:h="16834" w:code="9"/>
          <w:pgMar w:top="1418" w:right="1701" w:bottom="1134" w:left="1843" w:header="284" w:footer="425" w:gutter="284"/>
          <w:cols w:space="720"/>
          <w:docGrid w:linePitch="286"/>
        </w:sectPr>
      </w:pPr>
      <w:bookmarkStart w:id="115" w:name="_Toc173848548"/>
      <w:bookmarkStart w:id="116" w:name="_Toc173855613"/>
      <w:bookmarkStart w:id="117" w:name="_Toc173922707"/>
      <w:bookmarkStart w:id="118" w:name="_Toc1944491096"/>
    </w:p>
    <w:p w14:paraId="4260BBCE" w14:textId="358503B0" w:rsidR="00E67033" w:rsidRPr="00152E1F" w:rsidRDefault="00E67033" w:rsidP="00E67033">
      <w:pPr>
        <w:pStyle w:val="Heading3"/>
      </w:pPr>
      <w:r>
        <w:lastRenderedPageBreak/>
        <w:t>Questions on the strategic plan (</w:t>
      </w:r>
      <w:r w:rsidRPr="009E1B40">
        <w:t xml:space="preserve">pages </w:t>
      </w:r>
      <w:r w:rsidR="009049B7" w:rsidRPr="009E1B40">
        <w:t>10</w:t>
      </w:r>
      <w:r w:rsidRPr="009E1B40">
        <w:t>-</w:t>
      </w:r>
      <w:r w:rsidR="009049B7" w:rsidRPr="009E1B40">
        <w:t>12</w:t>
      </w:r>
      <w:r w:rsidRPr="009E1B40">
        <w:t xml:space="preserve"> </w:t>
      </w:r>
      <w:r w:rsidRPr="000F5C09">
        <w:t>and Appendix Four refer)</w:t>
      </w:r>
      <w:bookmarkEnd w:id="115"/>
      <w:bookmarkEnd w:id="116"/>
      <w:bookmarkEnd w:id="117"/>
      <w:bookmarkEnd w:id="118"/>
    </w:p>
    <w:p w14:paraId="1411AA27" w14:textId="77777777" w:rsidR="00E67033" w:rsidRPr="00152E1F" w:rsidRDefault="00E67033" w:rsidP="00E67033">
      <w:r w:rsidRPr="4589387C">
        <w:t>The following questions relate to the strategic direction, outcomes and associated actions.</w:t>
      </w:r>
    </w:p>
    <w:p w14:paraId="1E2B1987" w14:textId="77777777" w:rsidR="0025379F" w:rsidRDefault="0025379F" w:rsidP="00E30985"/>
    <w:p w14:paraId="502CCDE1" w14:textId="1D4A1730" w:rsidR="008C1DC0" w:rsidRDefault="008C1DC0" w:rsidP="008C1DC0">
      <w:pPr>
        <w:pStyle w:val="ListParagraph"/>
        <w:numPr>
          <w:ilvl w:val="0"/>
          <w:numId w:val="39"/>
        </w:numPr>
        <w:ind w:left="567" w:hanging="567"/>
      </w:pPr>
      <w:r w:rsidRPr="008C1DC0">
        <w:t>Do you agree with the proposed strategic goal, outcomes, actions and system priorities?</w:t>
      </w:r>
    </w:p>
    <w:p w14:paraId="61E30D46" w14:textId="77777777" w:rsidR="008C1DC0" w:rsidRDefault="008C1DC0" w:rsidP="00472D50"/>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8C1DC0" w:rsidRPr="004B07D0" w14:paraId="3E9757CA" w14:textId="77777777" w:rsidTr="008C1DC0">
        <w:trPr>
          <w:gridAfter w:val="1"/>
          <w:wAfter w:w="114" w:type="dxa"/>
        </w:trPr>
        <w:tc>
          <w:tcPr>
            <w:tcW w:w="415" w:type="dxa"/>
          </w:tcPr>
          <w:p w14:paraId="5E811CC8" w14:textId="77777777" w:rsidR="008C1DC0" w:rsidRPr="004B07D0" w:rsidRDefault="008C1DC0" w:rsidP="00B657AF">
            <w:pPr>
              <w:spacing w:line="240" w:lineRule="auto"/>
            </w:pPr>
            <w:r>
              <w:rPr>
                <w:rFonts w:ascii="MS Gothic" w:eastAsia="MS Gothic" w:hAnsi="MS Gothic" w:hint="eastAsia"/>
                <w:sz w:val="25"/>
                <w:szCs w:val="24"/>
              </w:rPr>
              <w:t>☐</w:t>
            </w:r>
          </w:p>
        </w:tc>
        <w:tc>
          <w:tcPr>
            <w:tcW w:w="7097" w:type="dxa"/>
            <w:vAlign w:val="center"/>
          </w:tcPr>
          <w:p w14:paraId="1A3A0325" w14:textId="77777777" w:rsidR="008C1DC0" w:rsidRPr="004B07D0" w:rsidRDefault="008C1DC0" w:rsidP="00B657AF">
            <w:pPr>
              <w:spacing w:line="240" w:lineRule="auto"/>
            </w:pPr>
            <w:r>
              <w:t>Yes</w:t>
            </w:r>
          </w:p>
        </w:tc>
      </w:tr>
      <w:tr w:rsidR="008C1DC0" w:rsidRPr="004B07D0" w14:paraId="71665642" w14:textId="77777777" w:rsidTr="008C1DC0">
        <w:trPr>
          <w:gridAfter w:val="1"/>
          <w:wAfter w:w="114" w:type="dxa"/>
        </w:trPr>
        <w:tc>
          <w:tcPr>
            <w:tcW w:w="415" w:type="dxa"/>
          </w:tcPr>
          <w:p w14:paraId="4F0FC6CF" w14:textId="77777777" w:rsidR="008C1DC0" w:rsidRDefault="008C1DC0" w:rsidP="008C1DC0">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2B4AD8A7" w14:textId="6CBC5B1F" w:rsidR="008C1DC0" w:rsidRPr="004B07D0" w:rsidRDefault="008C1DC0" w:rsidP="008C1DC0">
            <w:pPr>
              <w:spacing w:after="120"/>
            </w:pPr>
            <w:r>
              <w:t xml:space="preserve">No.  </w:t>
            </w:r>
            <w:r w:rsidRPr="008C1DC0">
              <w:t>If no, please explain why in the space below.</w:t>
            </w:r>
          </w:p>
        </w:tc>
      </w:tr>
      <w:tr w:rsidR="008C1DC0" w:rsidRPr="00475EAB" w14:paraId="2A872022" w14:textId="77777777" w:rsidTr="008C1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15459C3A" w14:textId="77777777" w:rsidR="008C1DC0" w:rsidRPr="00475EAB" w:rsidRDefault="008C1DC0"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37F874CC" w14:textId="77777777" w:rsidR="00E67033" w:rsidRDefault="00E67033" w:rsidP="00E30985"/>
    <w:p w14:paraId="2AA2F10D" w14:textId="77777777" w:rsidR="008C1DC0" w:rsidRPr="008C1DC0" w:rsidRDefault="008C1DC0" w:rsidP="008C1DC0">
      <w:pPr>
        <w:pStyle w:val="ListParagraph"/>
        <w:numPr>
          <w:ilvl w:val="0"/>
          <w:numId w:val="39"/>
        </w:numPr>
        <w:ind w:left="567" w:hanging="567"/>
      </w:pPr>
      <w:r w:rsidRPr="008C1DC0">
        <w:t>Does the draft strategic plan adequately reflect changes in the gambling environment?</w:t>
      </w:r>
    </w:p>
    <w:p w14:paraId="57F7AA4B" w14:textId="77777777" w:rsidR="008C1DC0" w:rsidRDefault="008C1DC0" w:rsidP="008C1DC0">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8C1DC0" w:rsidRPr="004B07D0" w14:paraId="13E7E25F" w14:textId="77777777" w:rsidTr="008C1DC0">
        <w:trPr>
          <w:gridAfter w:val="1"/>
          <w:wAfter w:w="114" w:type="dxa"/>
        </w:trPr>
        <w:tc>
          <w:tcPr>
            <w:tcW w:w="415" w:type="dxa"/>
          </w:tcPr>
          <w:p w14:paraId="534CDDBB" w14:textId="77777777" w:rsidR="008C1DC0" w:rsidRPr="004B07D0" w:rsidRDefault="008C1DC0" w:rsidP="00B657AF">
            <w:pPr>
              <w:spacing w:line="240" w:lineRule="auto"/>
            </w:pPr>
            <w:r>
              <w:rPr>
                <w:rFonts w:ascii="MS Gothic" w:eastAsia="MS Gothic" w:hAnsi="MS Gothic" w:hint="eastAsia"/>
                <w:sz w:val="25"/>
                <w:szCs w:val="24"/>
              </w:rPr>
              <w:t>☐</w:t>
            </w:r>
          </w:p>
        </w:tc>
        <w:tc>
          <w:tcPr>
            <w:tcW w:w="7097" w:type="dxa"/>
            <w:vAlign w:val="center"/>
          </w:tcPr>
          <w:p w14:paraId="46E32AA5" w14:textId="77777777" w:rsidR="008C1DC0" w:rsidRPr="004B07D0" w:rsidRDefault="008C1DC0" w:rsidP="00B657AF">
            <w:pPr>
              <w:spacing w:line="240" w:lineRule="auto"/>
            </w:pPr>
            <w:r>
              <w:t>Yes</w:t>
            </w:r>
          </w:p>
        </w:tc>
      </w:tr>
      <w:tr w:rsidR="008C1DC0" w:rsidRPr="004B07D0" w14:paraId="16A54A93" w14:textId="77777777" w:rsidTr="008C1DC0">
        <w:trPr>
          <w:gridAfter w:val="1"/>
          <w:wAfter w:w="114" w:type="dxa"/>
        </w:trPr>
        <w:tc>
          <w:tcPr>
            <w:tcW w:w="415" w:type="dxa"/>
          </w:tcPr>
          <w:p w14:paraId="41E4159A" w14:textId="77777777" w:rsidR="008C1DC0" w:rsidRDefault="008C1DC0" w:rsidP="00B657AF">
            <w:pPr>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661D8C89" w14:textId="110092E6" w:rsidR="008C1DC0" w:rsidRPr="004B07D0" w:rsidRDefault="008C1DC0" w:rsidP="008C1DC0">
            <w:pPr>
              <w:spacing w:after="120"/>
            </w:pPr>
            <w:r>
              <w:t xml:space="preserve">No.  </w:t>
            </w:r>
            <w:r w:rsidRPr="008C1DC0">
              <w:t>If no, what else should be included and why? Please explain in the space below.</w:t>
            </w:r>
          </w:p>
        </w:tc>
      </w:tr>
      <w:tr w:rsidR="008C1DC0" w:rsidRPr="00475EAB" w14:paraId="31AF82BA" w14:textId="77777777" w:rsidTr="008C1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2507A772" w14:textId="77777777" w:rsidR="008C1DC0" w:rsidRPr="00475EAB" w:rsidRDefault="008C1DC0"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3536E9E5" w14:textId="77777777" w:rsidR="008C1DC0" w:rsidRDefault="008C1DC0" w:rsidP="008C1DC0">
      <w:pPr>
        <w:ind w:left="567" w:hanging="567"/>
      </w:pPr>
    </w:p>
    <w:p w14:paraId="56CE102A" w14:textId="3412AF57" w:rsidR="008C1DC0" w:rsidRPr="008C1DC0" w:rsidRDefault="008C1DC0" w:rsidP="008C1DC0">
      <w:pPr>
        <w:pStyle w:val="ListParagraph"/>
        <w:numPr>
          <w:ilvl w:val="0"/>
          <w:numId w:val="39"/>
        </w:numPr>
        <w:ind w:left="567" w:hanging="567"/>
      </w:pPr>
      <w:r w:rsidRPr="008C1DC0">
        <w:t>Do you have any comments to make on the work to support priority populations?</w:t>
      </w:r>
    </w:p>
    <w:p w14:paraId="3A4F04C2" w14:textId="77777777" w:rsidR="008C1DC0" w:rsidRDefault="008C1DC0" w:rsidP="008C1DC0">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8C1DC0" w:rsidRPr="004B07D0" w14:paraId="0A1C0778" w14:textId="77777777" w:rsidTr="008C1DC0">
        <w:trPr>
          <w:gridAfter w:val="1"/>
          <w:wAfter w:w="114" w:type="dxa"/>
        </w:trPr>
        <w:tc>
          <w:tcPr>
            <w:tcW w:w="415" w:type="dxa"/>
          </w:tcPr>
          <w:p w14:paraId="6A68E1B9" w14:textId="77777777" w:rsidR="008C1DC0" w:rsidRDefault="008C1DC0" w:rsidP="008C1DC0">
            <w:pPr>
              <w:spacing w:after="120" w:line="240" w:lineRule="auto"/>
              <w:rPr>
                <w:rFonts w:ascii="MS Gothic" w:eastAsia="MS Gothic" w:hAnsi="MS Gothic"/>
                <w:sz w:val="25"/>
                <w:szCs w:val="24"/>
              </w:rPr>
            </w:pPr>
            <w:r>
              <w:rPr>
                <w:rFonts w:ascii="MS Gothic" w:eastAsia="MS Gothic" w:hAnsi="MS Gothic" w:hint="eastAsia"/>
                <w:sz w:val="25"/>
                <w:szCs w:val="24"/>
              </w:rPr>
              <w:t>☐</w:t>
            </w:r>
          </w:p>
          <w:p w14:paraId="047656BB" w14:textId="54A866AC" w:rsidR="00FD3A9D" w:rsidRPr="00FD3A9D" w:rsidRDefault="00FD3A9D" w:rsidP="00FD3A9D">
            <w:r>
              <w:rPr>
                <w:rFonts w:ascii="MS Gothic" w:eastAsia="MS Gothic" w:hAnsi="MS Gothic" w:hint="eastAsia"/>
                <w:sz w:val="25"/>
                <w:szCs w:val="24"/>
              </w:rPr>
              <w:t>☐</w:t>
            </w:r>
          </w:p>
        </w:tc>
        <w:tc>
          <w:tcPr>
            <w:tcW w:w="7097" w:type="dxa"/>
            <w:vAlign w:val="center"/>
          </w:tcPr>
          <w:p w14:paraId="3401294D" w14:textId="77777777" w:rsidR="008C1DC0" w:rsidRDefault="008C1DC0" w:rsidP="008C1DC0">
            <w:pPr>
              <w:spacing w:after="120" w:line="240" w:lineRule="auto"/>
            </w:pPr>
            <w:r>
              <w:t xml:space="preserve">Yes.  </w:t>
            </w:r>
            <w:r w:rsidRPr="008C1DC0">
              <w:t>Please add any comments in the space below.</w:t>
            </w:r>
          </w:p>
          <w:p w14:paraId="4AE9E5A7" w14:textId="58AEA7D2" w:rsidR="009B0C01" w:rsidRPr="004B07D0" w:rsidRDefault="009B0C01" w:rsidP="008C1DC0">
            <w:pPr>
              <w:spacing w:after="120" w:line="240" w:lineRule="auto"/>
            </w:pPr>
            <w:r>
              <w:t>No</w:t>
            </w:r>
          </w:p>
        </w:tc>
      </w:tr>
      <w:tr w:rsidR="008C1DC0" w:rsidRPr="00475EAB" w14:paraId="3DC41972" w14:textId="77777777" w:rsidTr="008C1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474F06C9" w14:textId="77777777" w:rsidR="008C1DC0" w:rsidRPr="00475EAB" w:rsidRDefault="008C1DC0"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27110EBF" w14:textId="77777777" w:rsidR="008C1DC0" w:rsidRDefault="008C1DC0" w:rsidP="008C1DC0">
      <w:pPr>
        <w:ind w:left="567" w:hanging="567"/>
      </w:pPr>
    </w:p>
    <w:p w14:paraId="16B7C53E" w14:textId="77777777" w:rsidR="008C1DC0" w:rsidRDefault="008C1DC0" w:rsidP="008C1DC0">
      <w:pPr>
        <w:sectPr w:rsidR="008C1DC0" w:rsidSect="00EC41FD">
          <w:pgSz w:w="11907" w:h="16834" w:code="9"/>
          <w:pgMar w:top="1418" w:right="1701" w:bottom="1134" w:left="1843" w:header="284" w:footer="425" w:gutter="284"/>
          <w:cols w:space="720"/>
          <w:docGrid w:linePitch="286"/>
        </w:sectPr>
      </w:pPr>
    </w:p>
    <w:p w14:paraId="310E1092" w14:textId="6E1F1A94" w:rsidR="00137BA1" w:rsidRPr="00152E1F" w:rsidRDefault="00137BA1" w:rsidP="00137BA1">
      <w:pPr>
        <w:pStyle w:val="Heading3"/>
        <w:spacing w:before="0"/>
      </w:pPr>
      <w:r>
        <w:lastRenderedPageBreak/>
        <w:t>Questions on the s</w:t>
      </w:r>
      <w:r w:rsidR="009049B7">
        <w:t>ervice</w:t>
      </w:r>
      <w:r>
        <w:t xml:space="preserve"> plan (</w:t>
      </w:r>
      <w:r w:rsidRPr="009E1B40">
        <w:t>pages 1</w:t>
      </w:r>
      <w:r w:rsidR="009049B7" w:rsidRPr="009E1B40">
        <w:t>3</w:t>
      </w:r>
      <w:r w:rsidRPr="009E1B40">
        <w:t>-1</w:t>
      </w:r>
      <w:r w:rsidR="009049B7" w:rsidRPr="009E1B40">
        <w:t>7</w:t>
      </w:r>
      <w:r>
        <w:t xml:space="preserve"> and Appendix F</w:t>
      </w:r>
      <w:r w:rsidR="000F5C09">
        <w:t>ive</w:t>
      </w:r>
      <w:r>
        <w:t xml:space="preserve"> refer)</w:t>
      </w:r>
    </w:p>
    <w:p w14:paraId="4234EEE1" w14:textId="2462558F" w:rsidR="00137BA1" w:rsidRPr="00137BA1" w:rsidRDefault="00137BA1" w:rsidP="00137BA1">
      <w:pPr>
        <w:rPr>
          <w:b/>
          <w:bCs/>
        </w:rPr>
      </w:pPr>
      <w:r>
        <w:t xml:space="preserve">The Gambling Act 2003 requires the service plan and, by implication, the indicative budget appropriations to have a focus on public health. </w:t>
      </w:r>
      <w:r w:rsidRPr="00137BA1">
        <w:rPr>
          <w:b/>
          <w:bCs/>
        </w:rPr>
        <w:t>Note: The legislation is not under review.</w:t>
      </w:r>
    </w:p>
    <w:p w14:paraId="6B791C33" w14:textId="77777777" w:rsidR="00137BA1" w:rsidRDefault="00137BA1" w:rsidP="00137BA1"/>
    <w:p w14:paraId="039E911A" w14:textId="04AAB805" w:rsidR="00137BA1" w:rsidRPr="00152E1F" w:rsidRDefault="00137BA1" w:rsidP="00137BA1">
      <w:r>
        <w:t>The following questions relate to the content of the service plan and indicative budgets.</w:t>
      </w:r>
    </w:p>
    <w:p w14:paraId="753140AC" w14:textId="77777777" w:rsidR="00137BA1" w:rsidRDefault="00137BA1" w:rsidP="00137BA1"/>
    <w:p w14:paraId="4D3B24CB" w14:textId="77777777" w:rsidR="00137BA1" w:rsidRPr="00137BA1" w:rsidRDefault="00137BA1" w:rsidP="00137BA1">
      <w:pPr>
        <w:pStyle w:val="ListParagraph"/>
        <w:numPr>
          <w:ilvl w:val="0"/>
          <w:numId w:val="39"/>
        </w:numPr>
        <w:ind w:left="567" w:hanging="567"/>
      </w:pPr>
      <w:r w:rsidRPr="00137BA1">
        <w:t>Does the draft service plan adequately cover what it needs to cover, for example, does it include the right types of services and activities?</w:t>
      </w:r>
    </w:p>
    <w:p w14:paraId="59F6BAD3"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200B1EEE" w14:textId="77777777" w:rsidTr="00B657AF">
        <w:trPr>
          <w:gridAfter w:val="1"/>
          <w:wAfter w:w="114" w:type="dxa"/>
        </w:trPr>
        <w:tc>
          <w:tcPr>
            <w:tcW w:w="415" w:type="dxa"/>
          </w:tcPr>
          <w:p w14:paraId="696A0B17"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2438546A" w14:textId="77777777" w:rsidR="00137BA1" w:rsidRPr="004B07D0" w:rsidRDefault="00137BA1" w:rsidP="00B657AF">
            <w:pPr>
              <w:spacing w:line="240" w:lineRule="auto"/>
            </w:pPr>
            <w:r>
              <w:t>Yes</w:t>
            </w:r>
          </w:p>
        </w:tc>
      </w:tr>
      <w:tr w:rsidR="00137BA1" w:rsidRPr="004B07D0" w14:paraId="37124AE8" w14:textId="77777777" w:rsidTr="00B657AF">
        <w:trPr>
          <w:gridAfter w:val="1"/>
          <w:wAfter w:w="114" w:type="dxa"/>
        </w:trPr>
        <w:tc>
          <w:tcPr>
            <w:tcW w:w="415" w:type="dxa"/>
          </w:tcPr>
          <w:p w14:paraId="65AE61AE"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6DE64C84" w14:textId="5CA19F74" w:rsidR="00137BA1" w:rsidRPr="004B07D0" w:rsidRDefault="00137BA1" w:rsidP="00B657AF">
            <w:pPr>
              <w:spacing w:after="120"/>
            </w:pPr>
            <w:r>
              <w:t xml:space="preserve">No.  </w:t>
            </w:r>
            <w:r w:rsidRPr="00137BA1">
              <w:t>If no, what is not adequately covered and why? Please explain in the space below.</w:t>
            </w:r>
          </w:p>
        </w:tc>
      </w:tr>
      <w:tr w:rsidR="00137BA1" w:rsidRPr="00475EAB" w14:paraId="7E6312DD"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53D06FEF"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58C19527" w14:textId="77777777" w:rsidR="00137BA1" w:rsidRDefault="00137BA1" w:rsidP="00137BA1"/>
    <w:p w14:paraId="32C62D89" w14:textId="77777777" w:rsidR="00137BA1" w:rsidRPr="00137BA1" w:rsidRDefault="00137BA1" w:rsidP="00137BA1">
      <w:pPr>
        <w:pStyle w:val="ListParagraph"/>
        <w:numPr>
          <w:ilvl w:val="0"/>
          <w:numId w:val="39"/>
        </w:numPr>
        <w:ind w:left="567" w:hanging="567"/>
      </w:pPr>
      <w:r w:rsidRPr="00137BA1">
        <w:t>Do you consider the proposed funding levels, mix of services and service supports appropriate?</w:t>
      </w:r>
    </w:p>
    <w:p w14:paraId="7CC72AF5"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2F1AF448" w14:textId="77777777" w:rsidTr="00B657AF">
        <w:trPr>
          <w:gridAfter w:val="1"/>
          <w:wAfter w:w="114" w:type="dxa"/>
        </w:trPr>
        <w:tc>
          <w:tcPr>
            <w:tcW w:w="415" w:type="dxa"/>
          </w:tcPr>
          <w:p w14:paraId="7FC7EA24"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336E7212" w14:textId="77777777" w:rsidR="00137BA1" w:rsidRPr="004B07D0" w:rsidRDefault="00137BA1" w:rsidP="00B657AF">
            <w:pPr>
              <w:spacing w:line="240" w:lineRule="auto"/>
            </w:pPr>
            <w:r>
              <w:t>Yes</w:t>
            </w:r>
          </w:p>
        </w:tc>
      </w:tr>
      <w:tr w:rsidR="00137BA1" w:rsidRPr="004B07D0" w14:paraId="13CA0DD2" w14:textId="77777777" w:rsidTr="00B657AF">
        <w:trPr>
          <w:gridAfter w:val="1"/>
          <w:wAfter w:w="114" w:type="dxa"/>
        </w:trPr>
        <w:tc>
          <w:tcPr>
            <w:tcW w:w="415" w:type="dxa"/>
          </w:tcPr>
          <w:p w14:paraId="381A3C88"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61910718" w14:textId="60E70146" w:rsidR="00137BA1" w:rsidRPr="004B07D0" w:rsidRDefault="00137BA1" w:rsidP="00B657AF">
            <w:pPr>
              <w:spacing w:after="120"/>
            </w:pPr>
            <w:r>
              <w:t xml:space="preserve">No.  </w:t>
            </w:r>
            <w:r w:rsidRPr="00137BA1">
              <w:t>If no, what changes should be made and why? Please explain in the space below.</w:t>
            </w:r>
          </w:p>
        </w:tc>
      </w:tr>
      <w:tr w:rsidR="00137BA1" w:rsidRPr="00475EAB" w14:paraId="71FFF76C"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4980EC8F"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5B67A192" w14:textId="77777777" w:rsidR="00137BA1" w:rsidRDefault="00137BA1" w:rsidP="00137BA1"/>
    <w:p w14:paraId="46033CBA" w14:textId="77777777" w:rsidR="00137BA1" w:rsidRPr="00137BA1" w:rsidRDefault="00137BA1" w:rsidP="00137BA1">
      <w:pPr>
        <w:pStyle w:val="ListParagraph"/>
        <w:numPr>
          <w:ilvl w:val="0"/>
          <w:numId w:val="39"/>
        </w:numPr>
        <w:ind w:left="567" w:hanging="567"/>
      </w:pPr>
      <w:r w:rsidRPr="00137BA1">
        <w:t>Do you agree with the proposed new services and investments?</w:t>
      </w:r>
    </w:p>
    <w:p w14:paraId="03F300CB"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064302BA" w14:textId="77777777" w:rsidTr="00B657AF">
        <w:trPr>
          <w:gridAfter w:val="1"/>
          <w:wAfter w:w="114" w:type="dxa"/>
        </w:trPr>
        <w:tc>
          <w:tcPr>
            <w:tcW w:w="415" w:type="dxa"/>
          </w:tcPr>
          <w:p w14:paraId="1C721E7A"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6107E0AC" w14:textId="77777777" w:rsidR="00137BA1" w:rsidRPr="004B07D0" w:rsidRDefault="00137BA1" w:rsidP="00B657AF">
            <w:pPr>
              <w:spacing w:line="240" w:lineRule="auto"/>
            </w:pPr>
            <w:r>
              <w:t>Yes</w:t>
            </w:r>
          </w:p>
        </w:tc>
      </w:tr>
      <w:tr w:rsidR="00137BA1" w:rsidRPr="004B07D0" w14:paraId="5FB01BB5" w14:textId="77777777" w:rsidTr="00B657AF">
        <w:trPr>
          <w:gridAfter w:val="1"/>
          <w:wAfter w:w="114" w:type="dxa"/>
        </w:trPr>
        <w:tc>
          <w:tcPr>
            <w:tcW w:w="415" w:type="dxa"/>
          </w:tcPr>
          <w:p w14:paraId="53CC3DAF"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5D67518B" w14:textId="1AF87162" w:rsidR="00137BA1" w:rsidRPr="004B07D0" w:rsidRDefault="00137BA1" w:rsidP="00B657AF">
            <w:pPr>
              <w:spacing w:after="120"/>
            </w:pPr>
            <w:r>
              <w:t xml:space="preserve">No.  </w:t>
            </w:r>
            <w:r w:rsidRPr="00137BA1">
              <w:t>If no, what changes should be made and why? Please explain in the space below.</w:t>
            </w:r>
          </w:p>
        </w:tc>
      </w:tr>
      <w:tr w:rsidR="00137BA1" w:rsidRPr="00475EAB" w14:paraId="35D292DA"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0223E346"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6A58854B" w14:textId="77777777" w:rsidR="00137BA1" w:rsidRDefault="00137BA1" w:rsidP="00137BA1">
      <w:pPr>
        <w:sectPr w:rsidR="00137BA1" w:rsidSect="00EC41FD">
          <w:pgSz w:w="11907" w:h="16834" w:code="9"/>
          <w:pgMar w:top="1418" w:right="1701" w:bottom="1134" w:left="1843" w:header="284" w:footer="425" w:gutter="284"/>
          <w:cols w:space="720"/>
          <w:docGrid w:linePitch="286"/>
        </w:sectPr>
      </w:pPr>
    </w:p>
    <w:p w14:paraId="5161FF35" w14:textId="3D14A500" w:rsidR="00137BA1" w:rsidRPr="00137BA1" w:rsidRDefault="00137BA1" w:rsidP="00137BA1">
      <w:pPr>
        <w:pStyle w:val="ListParagraph"/>
        <w:numPr>
          <w:ilvl w:val="0"/>
          <w:numId w:val="39"/>
        </w:numPr>
        <w:ind w:left="567" w:hanging="567"/>
      </w:pPr>
      <w:r w:rsidRPr="00137BA1">
        <w:lastRenderedPageBreak/>
        <w:t>Do you agree with the priorities for research and evaluation that have been outlined in the draft service plan?</w:t>
      </w:r>
    </w:p>
    <w:p w14:paraId="3788669A"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15D2CDCC" w14:textId="77777777" w:rsidTr="00B657AF">
        <w:trPr>
          <w:gridAfter w:val="1"/>
          <w:wAfter w:w="114" w:type="dxa"/>
        </w:trPr>
        <w:tc>
          <w:tcPr>
            <w:tcW w:w="415" w:type="dxa"/>
          </w:tcPr>
          <w:p w14:paraId="06D4ED54"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31A158A7" w14:textId="77777777" w:rsidR="00137BA1" w:rsidRPr="004B07D0" w:rsidRDefault="00137BA1" w:rsidP="00B657AF">
            <w:pPr>
              <w:spacing w:line="240" w:lineRule="auto"/>
            </w:pPr>
            <w:r>
              <w:t>Yes</w:t>
            </w:r>
          </w:p>
        </w:tc>
      </w:tr>
      <w:tr w:rsidR="00137BA1" w:rsidRPr="004B07D0" w14:paraId="2FF63925" w14:textId="77777777" w:rsidTr="00B657AF">
        <w:trPr>
          <w:gridAfter w:val="1"/>
          <w:wAfter w:w="114" w:type="dxa"/>
        </w:trPr>
        <w:tc>
          <w:tcPr>
            <w:tcW w:w="415" w:type="dxa"/>
          </w:tcPr>
          <w:p w14:paraId="532DB764"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1BE15E95" w14:textId="11A4682C" w:rsidR="00137BA1" w:rsidRPr="004B07D0" w:rsidRDefault="00137BA1" w:rsidP="00B657AF">
            <w:pPr>
              <w:spacing w:after="120"/>
            </w:pPr>
            <w:r>
              <w:t xml:space="preserve">No.  </w:t>
            </w:r>
            <w:r w:rsidRPr="00137BA1">
              <w:t>If no, what changes should be made and why? Please explain in the space below.</w:t>
            </w:r>
          </w:p>
        </w:tc>
      </w:tr>
      <w:tr w:rsidR="00137BA1" w:rsidRPr="00475EAB" w14:paraId="21CA7DBD"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13FB1111"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12992373" w14:textId="72AAFB45" w:rsidR="00137BA1" w:rsidRPr="00152E1F" w:rsidRDefault="00137BA1" w:rsidP="00137BA1">
      <w:pPr>
        <w:pStyle w:val="Heading3"/>
      </w:pPr>
      <w:bookmarkStart w:id="119" w:name="_Toc173848550"/>
      <w:bookmarkStart w:id="120" w:name="_Toc173855615"/>
      <w:bookmarkStart w:id="121" w:name="_Toc173922709"/>
      <w:bookmarkStart w:id="122" w:name="_Toc417361403"/>
      <w:r>
        <w:t xml:space="preserve">Questions on the levy formula and levy rates </w:t>
      </w:r>
      <w:r w:rsidRPr="009E1B40">
        <w:t xml:space="preserve">(pages </w:t>
      </w:r>
      <w:r w:rsidR="000F5C09" w:rsidRPr="009E1B40">
        <w:t>18</w:t>
      </w:r>
      <w:r w:rsidRPr="009E1B40">
        <w:t>-2</w:t>
      </w:r>
      <w:r w:rsidR="000F5C09" w:rsidRPr="009E1B40">
        <w:t>1</w:t>
      </w:r>
      <w:r w:rsidRPr="009E1B40">
        <w:t xml:space="preserve"> and Appendix Six refer</w:t>
      </w:r>
      <w:bookmarkEnd w:id="119"/>
      <w:bookmarkEnd w:id="120"/>
      <w:r w:rsidRPr="009E1B40">
        <w:t>)</w:t>
      </w:r>
      <w:bookmarkEnd w:id="121"/>
      <w:bookmarkEnd w:id="122"/>
    </w:p>
    <w:p w14:paraId="17F1A8CE" w14:textId="1CF33DBE" w:rsidR="00137BA1" w:rsidRPr="00137BA1" w:rsidRDefault="00137BA1" w:rsidP="00137BA1">
      <w:pPr>
        <w:rPr>
          <w:b/>
          <w:bCs/>
        </w:rPr>
      </w:pPr>
      <w:r w:rsidRPr="00137BA1">
        <w:rPr>
          <w:b/>
          <w:bCs/>
        </w:rPr>
        <w:t xml:space="preserve">Note: The levy formula is prescribed in legislation and is not under consideration in this consultation. </w:t>
      </w:r>
    </w:p>
    <w:p w14:paraId="3A946DA0" w14:textId="77777777" w:rsidR="00137BA1" w:rsidRDefault="00137BA1" w:rsidP="00137BA1"/>
    <w:p w14:paraId="2CE598E4" w14:textId="6B3E7787" w:rsidR="00137BA1" w:rsidRDefault="00137BA1" w:rsidP="00137BA1">
      <w:r>
        <w:t xml:space="preserve">The figures for variables A, B and R are derived from data held by the Ministry, Health New Zealand, Te Tari </w:t>
      </w:r>
      <w:proofErr w:type="spellStart"/>
      <w:r>
        <w:t>Taiwhenua</w:t>
      </w:r>
      <w:proofErr w:type="spellEnd"/>
      <w:r>
        <w:t xml:space="preserve"> </w:t>
      </w:r>
      <w:r w:rsidRPr="4589387C">
        <w:rPr>
          <w:rFonts w:ascii="Arial" w:hAnsi="Arial" w:cs="Arial"/>
        </w:rPr>
        <w:t>|</w:t>
      </w:r>
      <w:r>
        <w:t xml:space="preserve"> Department of Internal Affairs and Inland Revenue and are a matter of record. The variable C (the funding appropriation proposed for the strategy) is discussed in the service plan and funding questions above.</w:t>
      </w:r>
    </w:p>
    <w:p w14:paraId="567C5F2B" w14:textId="77777777" w:rsidR="00137BA1" w:rsidRPr="00152E1F" w:rsidRDefault="00137BA1" w:rsidP="00137BA1"/>
    <w:p w14:paraId="7F272330" w14:textId="77777777" w:rsidR="00137BA1" w:rsidRPr="00152E1F" w:rsidRDefault="00137BA1" w:rsidP="00137BA1">
      <w:pPr>
        <w:rPr>
          <w:rFonts w:eastAsia="Segoe UI"/>
        </w:rPr>
      </w:pPr>
      <w:r>
        <w:t>The following questions relate to</w:t>
      </w:r>
      <w:r w:rsidRPr="4589387C">
        <w:rPr>
          <w:rFonts w:eastAsia="Segoe UI"/>
        </w:rPr>
        <w:t xml:space="preserve"> the other components of the levy formula.</w:t>
      </w:r>
    </w:p>
    <w:p w14:paraId="3A4BE75D" w14:textId="77777777" w:rsidR="00137BA1" w:rsidRDefault="00137BA1" w:rsidP="00137BA1"/>
    <w:p w14:paraId="12964B0A" w14:textId="77777777" w:rsidR="00137BA1" w:rsidRPr="00137BA1" w:rsidRDefault="00137BA1" w:rsidP="00137BA1">
      <w:pPr>
        <w:pStyle w:val="ListParagraph"/>
        <w:numPr>
          <w:ilvl w:val="0"/>
          <w:numId w:val="39"/>
        </w:numPr>
        <w:ind w:left="567" w:hanging="567"/>
      </w:pPr>
      <w:r w:rsidRPr="00137BA1">
        <w:t>Are the player expenditure forecasts for each gambling sector (D) realistic?</w:t>
      </w:r>
    </w:p>
    <w:p w14:paraId="15C230D6"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0F346A60" w14:textId="77777777" w:rsidTr="00B657AF">
        <w:trPr>
          <w:gridAfter w:val="1"/>
          <w:wAfter w:w="114" w:type="dxa"/>
        </w:trPr>
        <w:tc>
          <w:tcPr>
            <w:tcW w:w="415" w:type="dxa"/>
          </w:tcPr>
          <w:p w14:paraId="55D82F5F"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619E411A" w14:textId="77777777" w:rsidR="00137BA1" w:rsidRPr="004B07D0" w:rsidRDefault="00137BA1" w:rsidP="00B657AF">
            <w:pPr>
              <w:spacing w:line="240" w:lineRule="auto"/>
            </w:pPr>
            <w:r>
              <w:t>Yes</w:t>
            </w:r>
          </w:p>
        </w:tc>
      </w:tr>
      <w:tr w:rsidR="00137BA1" w:rsidRPr="004B07D0" w14:paraId="7281F725" w14:textId="77777777" w:rsidTr="00B657AF">
        <w:trPr>
          <w:gridAfter w:val="1"/>
          <w:wAfter w:w="114" w:type="dxa"/>
        </w:trPr>
        <w:tc>
          <w:tcPr>
            <w:tcW w:w="415" w:type="dxa"/>
          </w:tcPr>
          <w:p w14:paraId="68E195E0"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313FAAA3" w14:textId="22B53639" w:rsidR="00137BA1" w:rsidRPr="004B07D0" w:rsidRDefault="00137BA1" w:rsidP="00B657AF">
            <w:pPr>
              <w:spacing w:after="120"/>
            </w:pPr>
            <w:r>
              <w:t>No.  I</w:t>
            </w:r>
            <w:r w:rsidRPr="00137BA1">
              <w:t>f no, please explain why not in the space below.</w:t>
            </w:r>
          </w:p>
        </w:tc>
      </w:tr>
      <w:tr w:rsidR="00137BA1" w:rsidRPr="00475EAB" w14:paraId="52522312"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7EF32EAA"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09DF0A47" w14:textId="77777777" w:rsidR="00137BA1" w:rsidRDefault="00137BA1" w:rsidP="00137BA1">
      <w:r>
        <w:tab/>
      </w:r>
    </w:p>
    <w:p w14:paraId="233917FA" w14:textId="77777777" w:rsidR="00137BA1" w:rsidRPr="00137BA1" w:rsidRDefault="00137BA1" w:rsidP="00137BA1">
      <w:pPr>
        <w:pStyle w:val="ListParagraph"/>
        <w:numPr>
          <w:ilvl w:val="0"/>
          <w:numId w:val="39"/>
        </w:numPr>
        <w:ind w:left="567" w:hanging="567"/>
      </w:pPr>
      <w:r w:rsidRPr="00137BA1">
        <w:t>Are there realistic pairs of expenditure/presentation weightings (W1 and W2) other than those discussed in this consultation document?</w:t>
      </w:r>
    </w:p>
    <w:p w14:paraId="4C49E33A"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2F4009AD" w14:textId="77777777" w:rsidTr="00B657AF">
        <w:trPr>
          <w:gridAfter w:val="1"/>
          <w:wAfter w:w="114" w:type="dxa"/>
        </w:trPr>
        <w:tc>
          <w:tcPr>
            <w:tcW w:w="415" w:type="dxa"/>
          </w:tcPr>
          <w:p w14:paraId="499F00A3"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73E83B83" w14:textId="40A0E54D" w:rsidR="00137BA1" w:rsidRPr="004B07D0" w:rsidRDefault="00137BA1" w:rsidP="00B657AF">
            <w:pPr>
              <w:spacing w:line="240" w:lineRule="auto"/>
            </w:pPr>
            <w:r>
              <w:t>Yes</w:t>
            </w:r>
            <w:r w:rsidR="00472D50">
              <w:t>.</w:t>
            </w:r>
            <w:r w:rsidR="00472D50" w:rsidRPr="00137BA1">
              <w:t xml:space="preserve"> If yes, please explain what and why in the space below.</w:t>
            </w:r>
          </w:p>
        </w:tc>
      </w:tr>
      <w:tr w:rsidR="00137BA1" w:rsidRPr="004B07D0" w14:paraId="718B644D" w14:textId="77777777" w:rsidTr="00B657AF">
        <w:trPr>
          <w:gridAfter w:val="1"/>
          <w:wAfter w:w="114" w:type="dxa"/>
        </w:trPr>
        <w:tc>
          <w:tcPr>
            <w:tcW w:w="415" w:type="dxa"/>
          </w:tcPr>
          <w:p w14:paraId="46BFF9B4"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4DDB4FA6" w14:textId="00420479" w:rsidR="00137BA1" w:rsidRPr="004B07D0" w:rsidRDefault="00137BA1" w:rsidP="00B657AF">
            <w:pPr>
              <w:spacing w:after="120"/>
            </w:pPr>
            <w:r>
              <w:t>No</w:t>
            </w:r>
          </w:p>
        </w:tc>
      </w:tr>
      <w:tr w:rsidR="00137BA1" w:rsidRPr="00475EAB" w14:paraId="3F07C0D4"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0B93C561" w14:textId="77777777" w:rsidR="00137BA1" w:rsidRPr="00475EAB" w:rsidRDefault="00137BA1" w:rsidP="00B657AF">
            <w:pPr>
              <w:pStyle w:val="TableText"/>
            </w:pPr>
            <w:r w:rsidRPr="00475EAB">
              <w:lastRenderedPageBreak/>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4F4C162B" w14:textId="77777777" w:rsidR="00137BA1" w:rsidRDefault="00137BA1" w:rsidP="00137BA1"/>
    <w:p w14:paraId="087BF12B" w14:textId="77777777" w:rsidR="00137BA1" w:rsidRPr="00137BA1" w:rsidRDefault="00137BA1" w:rsidP="00137BA1">
      <w:pPr>
        <w:pStyle w:val="ListParagraph"/>
        <w:numPr>
          <w:ilvl w:val="0"/>
          <w:numId w:val="39"/>
        </w:numPr>
        <w:ind w:left="567" w:hanging="567"/>
      </w:pPr>
      <w:r w:rsidRPr="00137BA1">
        <w:t>Which pair of weighting options for W1 and W2 do you prefer, if any, and why? Please explain in the space below. Please keep in mind that the levy weighting options only affect the proportion of levy to be paid by each gambling sector and do not affect the total amount of the levy.</w:t>
      </w:r>
    </w:p>
    <w:p w14:paraId="273E058A" w14:textId="77777777" w:rsidR="00137BA1" w:rsidRDefault="00137BA1" w:rsidP="00137BA1">
      <w:pPr>
        <w:ind w:left="567" w:hanging="567"/>
      </w:pPr>
    </w:p>
    <w:tbl>
      <w:tblPr>
        <w:tblStyle w:val="TableGrid"/>
        <w:tblW w:w="7626" w:type="dxa"/>
        <w:tblInd w:w="562" w:type="dxa"/>
        <w:tblLook w:val="04A0" w:firstRow="1" w:lastRow="0" w:firstColumn="1" w:lastColumn="0" w:noHBand="0" w:noVBand="1"/>
      </w:tblPr>
      <w:tblGrid>
        <w:gridCol w:w="7626"/>
      </w:tblGrid>
      <w:tr w:rsidR="00137BA1" w:rsidRPr="00475EAB" w14:paraId="4D99E3B3" w14:textId="77777777" w:rsidTr="00137BA1">
        <w:trPr>
          <w:cantSplit/>
          <w:trHeight w:val="1701"/>
        </w:trPr>
        <w:tc>
          <w:tcPr>
            <w:tcW w:w="7626" w:type="dxa"/>
          </w:tcPr>
          <w:p w14:paraId="76A25B6A"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01762120" w14:textId="3B00B40E" w:rsidR="00137BA1" w:rsidRDefault="00137BA1" w:rsidP="00137BA1">
      <w:r>
        <w:tab/>
      </w:r>
    </w:p>
    <w:p w14:paraId="4224AA87" w14:textId="77777777" w:rsidR="00137BA1" w:rsidRPr="00137BA1" w:rsidRDefault="00137BA1" w:rsidP="00137BA1">
      <w:pPr>
        <w:pStyle w:val="ListParagraph"/>
        <w:numPr>
          <w:ilvl w:val="0"/>
          <w:numId w:val="39"/>
        </w:numPr>
        <w:ind w:left="567" w:hanging="567"/>
      </w:pPr>
      <w:r w:rsidRPr="00137BA1">
        <w:t>Do you have any comment on the estimated levy rates for each sector, keeping in mind that the levy formula itself is set in legislation and is not under consideration in this consultation? Please add any comments in the space below.</w:t>
      </w:r>
    </w:p>
    <w:p w14:paraId="045183E6" w14:textId="77777777" w:rsidR="00137BA1" w:rsidRDefault="00137BA1" w:rsidP="00137BA1">
      <w:pPr>
        <w:ind w:left="567" w:hanging="567"/>
      </w:pPr>
    </w:p>
    <w:tbl>
      <w:tblPr>
        <w:tblStyle w:val="TableGrid"/>
        <w:tblW w:w="7626" w:type="dxa"/>
        <w:tblInd w:w="562" w:type="dxa"/>
        <w:tblLook w:val="04A0" w:firstRow="1" w:lastRow="0" w:firstColumn="1" w:lastColumn="0" w:noHBand="0" w:noVBand="1"/>
      </w:tblPr>
      <w:tblGrid>
        <w:gridCol w:w="7626"/>
      </w:tblGrid>
      <w:tr w:rsidR="00137BA1" w:rsidRPr="00475EAB" w14:paraId="49E6530A" w14:textId="77777777" w:rsidTr="00B657AF">
        <w:trPr>
          <w:cantSplit/>
          <w:trHeight w:val="1701"/>
        </w:trPr>
        <w:tc>
          <w:tcPr>
            <w:tcW w:w="7626" w:type="dxa"/>
          </w:tcPr>
          <w:p w14:paraId="463DBF72"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799D6697" w14:textId="77777777" w:rsidR="00137BA1" w:rsidRPr="00152E1F" w:rsidRDefault="00137BA1" w:rsidP="00137BA1">
      <w:pPr>
        <w:pStyle w:val="Heading3"/>
      </w:pPr>
      <w:bookmarkStart w:id="123" w:name="_Toc173848551"/>
      <w:bookmarkStart w:id="124" w:name="_Toc173855616"/>
      <w:bookmarkStart w:id="125" w:name="_Toc173922710"/>
      <w:bookmarkStart w:id="126" w:name="_Toc363841492"/>
      <w:r>
        <w:t>Anything else?</w:t>
      </w:r>
      <w:bookmarkEnd w:id="123"/>
      <w:bookmarkEnd w:id="124"/>
      <w:bookmarkEnd w:id="125"/>
      <w:bookmarkEnd w:id="126"/>
    </w:p>
    <w:p w14:paraId="2675A911" w14:textId="60411D4D" w:rsidR="00137BA1" w:rsidRDefault="00137BA1" w:rsidP="00137BA1">
      <w:pPr>
        <w:pStyle w:val="ListParagraph"/>
        <w:numPr>
          <w:ilvl w:val="0"/>
          <w:numId w:val="39"/>
        </w:numPr>
        <w:ind w:left="567" w:hanging="567"/>
      </w:pPr>
      <w:r w:rsidRPr="00137BA1">
        <w:t>Is there anything else you would like to tell us about the draft strategy or preventing and minimising gambling harm more generally? Please add any comments in the space below.</w:t>
      </w:r>
    </w:p>
    <w:p w14:paraId="7517DEBE" w14:textId="77777777" w:rsidR="00137BA1" w:rsidRDefault="00137BA1" w:rsidP="00137BA1"/>
    <w:tbl>
      <w:tblPr>
        <w:tblStyle w:val="TableGrid"/>
        <w:tblW w:w="7626" w:type="dxa"/>
        <w:tblInd w:w="562" w:type="dxa"/>
        <w:tblLook w:val="04A0" w:firstRow="1" w:lastRow="0" w:firstColumn="1" w:lastColumn="0" w:noHBand="0" w:noVBand="1"/>
      </w:tblPr>
      <w:tblGrid>
        <w:gridCol w:w="7626"/>
      </w:tblGrid>
      <w:tr w:rsidR="00137BA1" w:rsidRPr="00475EAB" w14:paraId="510D8DD6" w14:textId="77777777" w:rsidTr="00B657AF">
        <w:trPr>
          <w:cantSplit/>
          <w:trHeight w:val="1701"/>
        </w:trPr>
        <w:tc>
          <w:tcPr>
            <w:tcW w:w="7626" w:type="dxa"/>
          </w:tcPr>
          <w:p w14:paraId="2FC91A95"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3D0E0FCE" w14:textId="77777777" w:rsidR="00137BA1" w:rsidRPr="00137BA1" w:rsidRDefault="00137BA1" w:rsidP="00137BA1"/>
    <w:p w14:paraId="6B07B88F" w14:textId="77777777" w:rsidR="00137BA1" w:rsidRDefault="00137BA1" w:rsidP="00137BA1">
      <w:pPr>
        <w:rPr>
          <w:rFonts w:eastAsia="Segoe UI"/>
        </w:rPr>
      </w:pPr>
      <w:r w:rsidRPr="4589387C">
        <w:rPr>
          <w:rFonts w:eastAsia="Segoe UI"/>
        </w:rPr>
        <w:t xml:space="preserve"> </w:t>
      </w:r>
    </w:p>
    <w:p w14:paraId="63A62D1D" w14:textId="77777777" w:rsidR="008E682A" w:rsidRDefault="008E682A" w:rsidP="00137BA1">
      <w:pPr>
        <w:rPr>
          <w:rFonts w:eastAsia="Segoe UI"/>
        </w:rPr>
      </w:pPr>
    </w:p>
    <w:p w14:paraId="01D6E13E" w14:textId="77777777" w:rsidR="008E682A" w:rsidRDefault="008E682A" w:rsidP="00137BA1">
      <w:pPr>
        <w:rPr>
          <w:rFonts w:eastAsia="Segoe UI"/>
        </w:rPr>
      </w:pPr>
    </w:p>
    <w:p w14:paraId="2BBCB33A" w14:textId="77777777" w:rsidR="008E682A" w:rsidRDefault="008E682A" w:rsidP="00137BA1">
      <w:pPr>
        <w:rPr>
          <w:rFonts w:eastAsia="Segoe UI"/>
        </w:rPr>
      </w:pPr>
    </w:p>
    <w:p w14:paraId="5572EFFC" w14:textId="77777777" w:rsidR="008E682A" w:rsidRDefault="008E682A" w:rsidP="00137BA1">
      <w:pPr>
        <w:rPr>
          <w:rFonts w:eastAsia="Segoe UI"/>
        </w:rPr>
      </w:pPr>
    </w:p>
    <w:p w14:paraId="431B7BFD" w14:textId="77777777" w:rsidR="008E682A" w:rsidRDefault="008E682A" w:rsidP="00137BA1">
      <w:pPr>
        <w:rPr>
          <w:rFonts w:eastAsia="Segoe UI"/>
        </w:rPr>
      </w:pPr>
    </w:p>
    <w:p w14:paraId="74AA59FC" w14:textId="77777777" w:rsidR="008E682A" w:rsidRPr="00A93959" w:rsidRDefault="008E682A" w:rsidP="008E682A">
      <w:pPr>
        <w:pStyle w:val="Heading3"/>
      </w:pPr>
      <w:r w:rsidRPr="00A93959">
        <w:lastRenderedPageBreak/>
        <w:t xml:space="preserve">Additional </w:t>
      </w:r>
      <w:r>
        <w:t>q</w:t>
      </w:r>
      <w:r w:rsidRPr="00A93959">
        <w:t>uestions about the future Strategy development process under the Gambling Act 2003  </w:t>
      </w:r>
    </w:p>
    <w:p w14:paraId="464B1DC5" w14:textId="77777777" w:rsidR="008E682A" w:rsidRPr="00A93959" w:rsidRDefault="008E682A" w:rsidP="008E682A">
      <w:pPr>
        <w:textAlignment w:val="baseline"/>
        <w:rPr>
          <w:rFonts w:cs="Segoe UI"/>
          <w:sz w:val="18"/>
          <w:szCs w:val="18"/>
          <w:lang w:eastAsia="en-NZ"/>
        </w:rPr>
      </w:pPr>
      <w:r w:rsidRPr="00A93959">
        <w:rPr>
          <w:rFonts w:cs="Segoe UI"/>
          <w:sz w:val="20"/>
          <w:lang w:eastAsia="en-NZ"/>
        </w:rPr>
        <w:t>  </w:t>
      </w:r>
    </w:p>
    <w:p w14:paraId="4AC1E6E8" w14:textId="77777777" w:rsidR="008E682A" w:rsidRPr="00A93959" w:rsidRDefault="008E682A" w:rsidP="008E682A">
      <w:pPr>
        <w:textAlignment w:val="baseline"/>
        <w:rPr>
          <w:rFonts w:cs="Segoe UI"/>
          <w:szCs w:val="21"/>
          <w:lang w:eastAsia="en-NZ"/>
        </w:rPr>
      </w:pPr>
      <w:r w:rsidRPr="00A93959">
        <w:rPr>
          <w:rFonts w:cs="Segoe UI"/>
          <w:b/>
          <w:bCs/>
          <w:szCs w:val="21"/>
          <w:lang w:eastAsia="en-NZ"/>
        </w:rPr>
        <w:t>This work is separate to consideration of the draft strategy for 2025/26 to 2027/28, but we are using the same consultation process to seek feedback on questions related to two specific proposals below.  </w:t>
      </w:r>
      <w:r w:rsidRPr="00A93959">
        <w:rPr>
          <w:rFonts w:cs="Segoe UI"/>
          <w:szCs w:val="21"/>
          <w:lang w:eastAsia="en-NZ"/>
        </w:rPr>
        <w:t> </w:t>
      </w:r>
    </w:p>
    <w:p w14:paraId="0BC4320B" w14:textId="77777777" w:rsidR="008E682A" w:rsidRPr="00A93959" w:rsidRDefault="008E682A" w:rsidP="008E682A">
      <w:pPr>
        <w:textAlignment w:val="baseline"/>
        <w:rPr>
          <w:rFonts w:cs="Segoe UI"/>
          <w:szCs w:val="21"/>
          <w:lang w:eastAsia="en-NZ"/>
        </w:rPr>
      </w:pPr>
      <w:r w:rsidRPr="00A93959">
        <w:rPr>
          <w:rFonts w:cs="Segoe UI"/>
          <w:szCs w:val="21"/>
          <w:lang w:eastAsia="en-NZ"/>
        </w:rPr>
        <w:t> </w:t>
      </w:r>
    </w:p>
    <w:p w14:paraId="00C088B9" w14:textId="77777777" w:rsidR="008E682A" w:rsidRPr="00A93959" w:rsidRDefault="008E682A" w:rsidP="008E682A">
      <w:pPr>
        <w:textAlignment w:val="baseline"/>
        <w:rPr>
          <w:rFonts w:cs="Segoe UI"/>
          <w:szCs w:val="21"/>
          <w:lang w:eastAsia="en-NZ"/>
        </w:rPr>
      </w:pPr>
      <w:r w:rsidRPr="00A93959">
        <w:rPr>
          <w:rFonts w:cs="Segoe UI"/>
          <w:szCs w:val="21"/>
          <w:lang w:eastAsia="en-NZ"/>
        </w:rPr>
        <w:t>The Ministry of Health is considering whether to progress two minor amendments to section 318 of the Gambling Act 2003 (the Act), designed to reduce duplication and administrative costs of developing the strategy in the future. We are not proposing any changes to section 317 of the Act that provides for a public health focus, or to the purpose and required components of the integrated strategy.   </w:t>
      </w:r>
    </w:p>
    <w:p w14:paraId="7549C193" w14:textId="77777777" w:rsidR="008E682A" w:rsidRPr="00A93959" w:rsidRDefault="008E682A" w:rsidP="008E682A">
      <w:pPr>
        <w:textAlignment w:val="baseline"/>
        <w:rPr>
          <w:rFonts w:cs="Segoe UI"/>
          <w:szCs w:val="21"/>
          <w:lang w:eastAsia="en-NZ"/>
        </w:rPr>
      </w:pPr>
      <w:r w:rsidRPr="00A93959">
        <w:rPr>
          <w:rFonts w:cs="Segoe UI"/>
          <w:szCs w:val="21"/>
          <w:lang w:eastAsia="en-NZ"/>
        </w:rPr>
        <w:t>   </w:t>
      </w:r>
    </w:p>
    <w:p w14:paraId="2994103A" w14:textId="77777777" w:rsidR="008E682A" w:rsidRPr="00A93959" w:rsidRDefault="008E682A" w:rsidP="008E682A">
      <w:pPr>
        <w:textAlignment w:val="baseline"/>
        <w:rPr>
          <w:rFonts w:cs="Segoe UI"/>
          <w:szCs w:val="21"/>
          <w:lang w:eastAsia="en-NZ"/>
        </w:rPr>
      </w:pPr>
      <w:r w:rsidRPr="00A93959">
        <w:rPr>
          <w:rFonts w:cs="Segoe UI"/>
          <w:szCs w:val="21"/>
          <w:lang w:eastAsia="en-NZ"/>
        </w:rPr>
        <w:t xml:space="preserve">Should the </w:t>
      </w:r>
      <w:r>
        <w:rPr>
          <w:rFonts w:cs="Segoe UI"/>
          <w:szCs w:val="21"/>
          <w:lang w:eastAsia="en-NZ"/>
        </w:rPr>
        <w:t>G</w:t>
      </w:r>
      <w:r w:rsidRPr="00A93959">
        <w:rPr>
          <w:rFonts w:cs="Segoe UI"/>
          <w:szCs w:val="21"/>
          <w:lang w:eastAsia="en-NZ"/>
        </w:rPr>
        <w:t>overnment decide to proceed, these changes would require legislative amendments introduced for Parliament to consider and there would then be an opportunity for further public comment at Select Committee. We estimate that any changes would be unlikely to come into effect until the strategy cycle starting in July 2028.   </w:t>
      </w:r>
    </w:p>
    <w:p w14:paraId="303F4EC6" w14:textId="77777777" w:rsidR="008E682A" w:rsidRPr="00A93959" w:rsidRDefault="008E682A" w:rsidP="008E682A">
      <w:pPr>
        <w:textAlignment w:val="baseline"/>
        <w:rPr>
          <w:rFonts w:cs="Segoe UI"/>
          <w:sz w:val="18"/>
          <w:szCs w:val="18"/>
          <w:lang w:eastAsia="en-NZ"/>
        </w:rPr>
      </w:pPr>
      <w:r w:rsidRPr="00A93959">
        <w:rPr>
          <w:rFonts w:cs="Segoe UI"/>
          <w:sz w:val="20"/>
          <w:lang w:eastAsia="en-NZ"/>
        </w:rPr>
        <w:t>  </w:t>
      </w:r>
    </w:p>
    <w:p w14:paraId="07BDC345" w14:textId="77777777" w:rsidR="008E682A" w:rsidRPr="0050449F" w:rsidRDefault="008E682A" w:rsidP="008E682A">
      <w:pPr>
        <w:textAlignment w:val="baseline"/>
        <w:rPr>
          <w:rFonts w:cs="Segoe UI"/>
          <w:szCs w:val="21"/>
          <w:lang w:eastAsia="en-NZ"/>
        </w:rPr>
      </w:pPr>
      <w:r w:rsidRPr="00A93959">
        <w:rPr>
          <w:rFonts w:cs="Segoe UI"/>
          <w:b/>
          <w:bCs/>
          <w:szCs w:val="21"/>
          <w:lang w:eastAsia="en-NZ"/>
        </w:rPr>
        <w:t>Proposal 1</w:t>
      </w:r>
      <w:r w:rsidRPr="00A93959">
        <w:rPr>
          <w:rFonts w:cs="Segoe UI"/>
          <w:szCs w:val="21"/>
          <w:lang w:eastAsia="en-NZ"/>
        </w:rPr>
        <w:tab/>
      </w:r>
    </w:p>
    <w:p w14:paraId="15F8F088" w14:textId="77777777" w:rsidR="008E682A" w:rsidRPr="0050449F" w:rsidRDefault="008E682A" w:rsidP="008E682A">
      <w:pPr>
        <w:textAlignment w:val="baseline"/>
        <w:rPr>
          <w:rFonts w:cs="Segoe UI"/>
          <w:szCs w:val="21"/>
          <w:lang w:eastAsia="en-NZ"/>
        </w:rPr>
      </w:pPr>
    </w:p>
    <w:p w14:paraId="0A30494E" w14:textId="77777777" w:rsidR="008E682A" w:rsidRPr="00A93959" w:rsidRDefault="008E682A" w:rsidP="008E682A">
      <w:pPr>
        <w:textAlignment w:val="baseline"/>
        <w:rPr>
          <w:rFonts w:cs="Segoe UI"/>
          <w:szCs w:val="21"/>
          <w:lang w:eastAsia="en-NZ"/>
        </w:rPr>
      </w:pPr>
      <w:r w:rsidRPr="00A93959">
        <w:rPr>
          <w:rFonts w:cs="Segoe UI"/>
          <w:szCs w:val="21"/>
          <w:lang w:eastAsia="en-NZ"/>
        </w:rPr>
        <w:t xml:space="preserve">Changing the frequency of revising the strategy costs and levy funding from every three to every five years (moving from the current </w:t>
      </w:r>
      <w:r w:rsidRPr="0050449F">
        <w:rPr>
          <w:rFonts w:cs="Segoe UI"/>
          <w:szCs w:val="21"/>
          <w:lang w:eastAsia="en-NZ"/>
        </w:rPr>
        <w:t>three</w:t>
      </w:r>
      <w:r w:rsidRPr="00A93959">
        <w:rPr>
          <w:rFonts w:cs="Segoe UI"/>
          <w:szCs w:val="21"/>
          <w:lang w:eastAsia="en-NZ"/>
        </w:rPr>
        <w:t xml:space="preserve">-year strategy cycle to a </w:t>
      </w:r>
      <w:r w:rsidRPr="0050449F">
        <w:rPr>
          <w:rFonts w:cs="Segoe UI"/>
          <w:szCs w:val="21"/>
          <w:lang w:eastAsia="en-NZ"/>
        </w:rPr>
        <w:t>five</w:t>
      </w:r>
      <w:r w:rsidRPr="00A93959">
        <w:rPr>
          <w:rFonts w:cs="Segoe UI"/>
          <w:szCs w:val="21"/>
          <w:lang w:eastAsia="en-NZ"/>
        </w:rPr>
        <w:t>-year strategy cycle).   </w:t>
      </w:r>
    </w:p>
    <w:p w14:paraId="7978FC24" w14:textId="77777777" w:rsidR="008E682A" w:rsidRPr="00A93959" w:rsidRDefault="008E682A" w:rsidP="008E682A">
      <w:pPr>
        <w:ind w:left="1440"/>
        <w:textAlignment w:val="baseline"/>
        <w:rPr>
          <w:rFonts w:cs="Segoe UI"/>
          <w:szCs w:val="21"/>
          <w:lang w:eastAsia="en-NZ"/>
        </w:rPr>
      </w:pPr>
      <w:r w:rsidRPr="00A93959">
        <w:rPr>
          <w:rFonts w:cs="Segoe UI"/>
          <w:szCs w:val="21"/>
          <w:lang w:eastAsia="en-NZ"/>
        </w:rPr>
        <w:t>  </w:t>
      </w:r>
    </w:p>
    <w:p w14:paraId="316DE3DF" w14:textId="77777777" w:rsidR="008E682A" w:rsidRPr="00A93959" w:rsidRDefault="008E682A" w:rsidP="008E682A">
      <w:pPr>
        <w:textAlignment w:val="baseline"/>
        <w:rPr>
          <w:rFonts w:cs="Segoe UI"/>
          <w:szCs w:val="21"/>
          <w:lang w:eastAsia="en-NZ"/>
        </w:rPr>
      </w:pPr>
      <w:r w:rsidRPr="00A93959">
        <w:rPr>
          <w:rFonts w:cs="Segoe UI"/>
          <w:szCs w:val="21"/>
          <w:lang w:eastAsia="en-NZ"/>
        </w:rPr>
        <w:t>This would reduce development overheads so more resources could be spent on services and allow more effective management of service delivery, research, and evaluations. The Act’s provisions to adjust for over or under recovery of the levy, or due to significant changes to the gambling environment at any time, would not be changed.  </w:t>
      </w:r>
    </w:p>
    <w:p w14:paraId="5FCB9FFA" w14:textId="77777777" w:rsidR="008E682A" w:rsidRPr="00A93959" w:rsidRDefault="008E682A" w:rsidP="008E682A">
      <w:pPr>
        <w:textAlignment w:val="baseline"/>
        <w:rPr>
          <w:rFonts w:cs="Segoe UI"/>
          <w:szCs w:val="21"/>
          <w:lang w:eastAsia="en-NZ"/>
        </w:rPr>
      </w:pPr>
      <w:r w:rsidRPr="00A93959">
        <w:rPr>
          <w:rFonts w:cs="Segoe UI"/>
          <w:szCs w:val="21"/>
          <w:lang w:eastAsia="en-NZ"/>
        </w:rPr>
        <w:t>  </w:t>
      </w:r>
    </w:p>
    <w:p w14:paraId="21C51BFB" w14:textId="77777777" w:rsidR="008E682A" w:rsidRPr="00A93959" w:rsidRDefault="008E682A" w:rsidP="008E682A">
      <w:pPr>
        <w:textAlignment w:val="baseline"/>
        <w:rPr>
          <w:rFonts w:cs="Segoe UI"/>
          <w:szCs w:val="21"/>
          <w:lang w:eastAsia="en-NZ"/>
        </w:rPr>
      </w:pPr>
      <w:r w:rsidRPr="00A93959">
        <w:rPr>
          <w:rFonts w:cs="Segoe UI"/>
          <w:szCs w:val="21"/>
          <w:lang w:eastAsia="en-NZ"/>
        </w:rPr>
        <w:t> </w:t>
      </w:r>
    </w:p>
    <w:p w14:paraId="21CF1DB7" w14:textId="7A049899" w:rsidR="008E682A" w:rsidRPr="00F9430B" w:rsidRDefault="008E682A" w:rsidP="00F9430B">
      <w:pPr>
        <w:pStyle w:val="ListParagraph"/>
        <w:numPr>
          <w:ilvl w:val="0"/>
          <w:numId w:val="39"/>
        </w:numPr>
        <w:textAlignment w:val="baseline"/>
        <w:rPr>
          <w:rFonts w:cs="Segoe UI"/>
          <w:szCs w:val="21"/>
          <w:lang w:eastAsia="en-NZ"/>
        </w:rPr>
      </w:pPr>
      <w:r w:rsidRPr="000456D9">
        <w:t xml:space="preserve">Do you agree that the strategy should be developed every </w:t>
      </w:r>
      <w:r>
        <w:t>five</w:t>
      </w:r>
      <w:r w:rsidRPr="000456D9">
        <w:t xml:space="preserve"> years instead of </w:t>
      </w:r>
      <w:r>
        <w:t>three</w:t>
      </w:r>
      <w:r w:rsidRPr="000456D9">
        <w:t>?</w:t>
      </w:r>
      <w:r w:rsidRPr="00F9430B">
        <w:rPr>
          <w:rFonts w:cs="Segoe UI"/>
          <w:szCs w:val="21"/>
          <w:lang w:eastAsia="en-NZ"/>
        </w:rPr>
        <w:t xml:space="preserve">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6684"/>
        <w:gridCol w:w="447"/>
      </w:tblGrid>
      <w:tr w:rsidR="008E682A" w:rsidRPr="00A93959" w14:paraId="7E7FBCA0" w14:textId="77777777" w:rsidTr="008D74E3">
        <w:trPr>
          <w:gridAfter w:val="1"/>
          <w:wAfter w:w="480" w:type="dxa"/>
          <w:trHeight w:val="300"/>
        </w:trPr>
        <w:tc>
          <w:tcPr>
            <w:tcW w:w="405" w:type="dxa"/>
            <w:tcBorders>
              <w:top w:val="nil"/>
              <w:left w:val="nil"/>
              <w:bottom w:val="nil"/>
              <w:right w:val="nil"/>
            </w:tcBorders>
            <w:shd w:val="clear" w:color="auto" w:fill="auto"/>
            <w:hideMark/>
          </w:tcPr>
          <w:p w14:paraId="21B3AB6E" w14:textId="77777777" w:rsidR="008E682A" w:rsidRPr="00A93959" w:rsidRDefault="008E682A" w:rsidP="008D74E3">
            <w:pPr>
              <w:textAlignment w:val="baseline"/>
              <w:rPr>
                <w:rFonts w:cs="Segoe UI"/>
                <w:szCs w:val="21"/>
                <w:lang w:eastAsia="en-NZ"/>
              </w:rPr>
            </w:pPr>
            <w:r w:rsidRPr="00A93959">
              <w:rPr>
                <w:rFonts w:ascii="Segoe UI Symbol" w:eastAsia="MS Gothic" w:hAnsi="Segoe UI Symbol" w:cs="Segoe UI Symbol"/>
                <w:szCs w:val="21"/>
                <w:lang w:eastAsia="en-NZ"/>
              </w:rPr>
              <w:t>☐</w:t>
            </w:r>
            <w:r w:rsidRPr="00A93959">
              <w:rPr>
                <w:rFonts w:eastAsia="MS Gothic" w:cs="Segoe UI"/>
                <w:szCs w:val="21"/>
                <w:lang w:eastAsia="en-NZ"/>
              </w:rPr>
              <w:t> </w:t>
            </w:r>
          </w:p>
        </w:tc>
        <w:tc>
          <w:tcPr>
            <w:tcW w:w="7095" w:type="dxa"/>
            <w:tcBorders>
              <w:top w:val="nil"/>
              <w:left w:val="nil"/>
              <w:bottom w:val="nil"/>
              <w:right w:val="nil"/>
            </w:tcBorders>
            <w:shd w:val="clear" w:color="auto" w:fill="auto"/>
            <w:vAlign w:val="center"/>
            <w:hideMark/>
          </w:tcPr>
          <w:p w14:paraId="04C46C69" w14:textId="77777777" w:rsidR="008E682A" w:rsidRPr="00A93959" w:rsidRDefault="008E682A" w:rsidP="008D74E3">
            <w:pPr>
              <w:textAlignment w:val="baseline"/>
              <w:rPr>
                <w:rFonts w:cs="Segoe UI"/>
                <w:szCs w:val="21"/>
                <w:lang w:eastAsia="en-NZ"/>
              </w:rPr>
            </w:pPr>
            <w:r w:rsidRPr="00A93959">
              <w:rPr>
                <w:rFonts w:cs="Segoe UI"/>
                <w:szCs w:val="21"/>
                <w:lang w:eastAsia="en-NZ"/>
              </w:rPr>
              <w:t>Yes  </w:t>
            </w:r>
          </w:p>
        </w:tc>
      </w:tr>
      <w:tr w:rsidR="008E682A" w:rsidRPr="00A93959" w14:paraId="495E3534" w14:textId="77777777" w:rsidTr="008D74E3">
        <w:trPr>
          <w:gridAfter w:val="1"/>
          <w:wAfter w:w="480" w:type="dxa"/>
          <w:trHeight w:val="300"/>
        </w:trPr>
        <w:tc>
          <w:tcPr>
            <w:tcW w:w="405" w:type="dxa"/>
            <w:tcBorders>
              <w:top w:val="nil"/>
              <w:left w:val="nil"/>
              <w:bottom w:val="nil"/>
              <w:right w:val="nil"/>
            </w:tcBorders>
            <w:shd w:val="clear" w:color="auto" w:fill="auto"/>
            <w:hideMark/>
          </w:tcPr>
          <w:p w14:paraId="05744715" w14:textId="77777777" w:rsidR="008E682A" w:rsidRPr="00A93959" w:rsidRDefault="008E682A" w:rsidP="008D74E3">
            <w:pPr>
              <w:textAlignment w:val="baseline"/>
              <w:rPr>
                <w:rFonts w:cs="Segoe UI"/>
                <w:szCs w:val="21"/>
                <w:lang w:eastAsia="en-NZ"/>
              </w:rPr>
            </w:pPr>
            <w:r w:rsidRPr="00A93959">
              <w:rPr>
                <w:rFonts w:ascii="Segoe UI Symbol" w:eastAsia="MS Gothic" w:hAnsi="Segoe UI Symbol" w:cs="Segoe UI Symbol"/>
                <w:szCs w:val="21"/>
                <w:lang w:eastAsia="en-NZ"/>
              </w:rPr>
              <w:t>☐</w:t>
            </w:r>
            <w:r w:rsidRPr="00A93959">
              <w:rPr>
                <w:rFonts w:eastAsia="MS Gothic" w:cs="Segoe UI"/>
                <w:szCs w:val="21"/>
                <w:lang w:eastAsia="en-NZ"/>
              </w:rPr>
              <w:t> </w:t>
            </w:r>
          </w:p>
        </w:tc>
        <w:tc>
          <w:tcPr>
            <w:tcW w:w="7095" w:type="dxa"/>
            <w:tcBorders>
              <w:top w:val="nil"/>
              <w:left w:val="nil"/>
              <w:bottom w:val="nil"/>
              <w:right w:val="nil"/>
            </w:tcBorders>
            <w:shd w:val="clear" w:color="auto" w:fill="auto"/>
            <w:vAlign w:val="center"/>
            <w:hideMark/>
          </w:tcPr>
          <w:p w14:paraId="58D794F8" w14:textId="77777777" w:rsidR="008E682A" w:rsidRDefault="008E682A" w:rsidP="008D74E3">
            <w:pPr>
              <w:textAlignment w:val="baseline"/>
              <w:rPr>
                <w:rFonts w:cs="Segoe UI"/>
                <w:szCs w:val="21"/>
                <w:lang w:eastAsia="en-NZ"/>
              </w:rPr>
            </w:pPr>
            <w:r w:rsidRPr="00A93959">
              <w:rPr>
                <w:rFonts w:cs="Segoe UI"/>
                <w:szCs w:val="21"/>
                <w:lang w:eastAsia="en-NZ"/>
              </w:rPr>
              <w:t xml:space="preserve">No </w:t>
            </w:r>
          </w:p>
          <w:p w14:paraId="617ACB9A" w14:textId="77777777" w:rsidR="008E682A" w:rsidRDefault="008E682A" w:rsidP="008D74E3">
            <w:pPr>
              <w:textAlignment w:val="baseline"/>
              <w:rPr>
                <w:rFonts w:cs="Segoe UI"/>
                <w:szCs w:val="21"/>
                <w:lang w:eastAsia="en-NZ"/>
              </w:rPr>
            </w:pPr>
            <w:r w:rsidRPr="00A93959">
              <w:rPr>
                <w:rFonts w:cs="Segoe UI"/>
                <w:szCs w:val="21"/>
                <w:lang w:eastAsia="en-NZ"/>
              </w:rPr>
              <w:t>If No, do you have another time period you would recommend</w:t>
            </w:r>
            <w:r>
              <w:rPr>
                <w:rFonts w:cs="Segoe UI"/>
                <w:szCs w:val="21"/>
                <w:lang w:eastAsia="en-NZ"/>
              </w:rPr>
              <w:t>? I</w:t>
            </w:r>
            <w:r w:rsidRPr="00A93959">
              <w:rPr>
                <w:rFonts w:cs="Segoe UI"/>
                <w:szCs w:val="21"/>
                <w:lang w:eastAsia="en-NZ"/>
              </w:rPr>
              <w:t>f so</w:t>
            </w:r>
            <w:r>
              <w:rPr>
                <w:rFonts w:cs="Segoe UI"/>
                <w:szCs w:val="21"/>
                <w:lang w:eastAsia="en-NZ"/>
              </w:rPr>
              <w:t>,</w:t>
            </w:r>
            <w:r w:rsidRPr="00A93959">
              <w:rPr>
                <w:rFonts w:cs="Segoe UI"/>
                <w:szCs w:val="21"/>
                <w:lang w:eastAsia="en-NZ"/>
              </w:rPr>
              <w:t xml:space="preserve"> please explain what and why in the space below</w:t>
            </w:r>
            <w:r>
              <w:rPr>
                <w:rFonts w:cs="Segoe UI"/>
                <w:szCs w:val="21"/>
                <w:lang w:eastAsia="en-NZ"/>
              </w:rPr>
              <w:t>.</w:t>
            </w:r>
          </w:p>
          <w:p w14:paraId="3EE1C729" w14:textId="77777777" w:rsidR="008E682A" w:rsidRDefault="008E682A" w:rsidP="008D74E3">
            <w:pPr>
              <w:textAlignment w:val="baseline"/>
              <w:rPr>
                <w:rFonts w:cs="Segoe UI"/>
                <w:szCs w:val="21"/>
                <w:lang w:eastAsia="en-NZ"/>
              </w:rPr>
            </w:pPr>
          </w:p>
          <w:p w14:paraId="76A23F2A" w14:textId="77777777" w:rsidR="008E682A" w:rsidRPr="00A93959" w:rsidRDefault="008E682A" w:rsidP="008D74E3">
            <w:pPr>
              <w:textAlignment w:val="baseline"/>
              <w:rPr>
                <w:rFonts w:cs="Segoe UI"/>
                <w:szCs w:val="21"/>
                <w:lang w:eastAsia="en-NZ"/>
              </w:rPr>
            </w:pPr>
          </w:p>
        </w:tc>
      </w:tr>
      <w:tr w:rsidR="008E682A" w:rsidRPr="00A93959" w14:paraId="35E23F8E" w14:textId="77777777" w:rsidTr="008D74E3">
        <w:trPr>
          <w:trHeight w:val="1695"/>
        </w:trPr>
        <w:tc>
          <w:tcPr>
            <w:tcW w:w="7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E2BEAFA" w14:textId="031745CB" w:rsidR="008E682A" w:rsidRPr="00A93959" w:rsidRDefault="008E682A" w:rsidP="008D74E3">
            <w:pPr>
              <w:textAlignment w:val="baseline"/>
              <w:rPr>
                <w:rFonts w:ascii="Times New Roman" w:hAnsi="Times New Roman"/>
                <w:sz w:val="24"/>
                <w:szCs w:val="24"/>
                <w:lang w:eastAsia="en-NZ"/>
              </w:rPr>
            </w:pPr>
          </w:p>
        </w:tc>
      </w:tr>
    </w:tbl>
    <w:p w14:paraId="43ACF00B" w14:textId="77777777" w:rsidR="008E682A" w:rsidRPr="00A93959" w:rsidRDefault="008E682A" w:rsidP="008E682A">
      <w:pPr>
        <w:textAlignment w:val="baseline"/>
        <w:rPr>
          <w:rFonts w:cs="Segoe UI"/>
          <w:sz w:val="18"/>
          <w:szCs w:val="18"/>
          <w:lang w:eastAsia="en-NZ"/>
        </w:rPr>
      </w:pPr>
      <w:r w:rsidRPr="00A93959">
        <w:rPr>
          <w:rFonts w:cs="Segoe UI"/>
          <w:szCs w:val="21"/>
          <w:lang w:eastAsia="en-NZ"/>
        </w:rPr>
        <w:t> </w:t>
      </w:r>
    </w:p>
    <w:p w14:paraId="5C81BE72" w14:textId="77777777" w:rsidR="008E682A" w:rsidRPr="00A93959" w:rsidRDefault="008E682A" w:rsidP="008E682A">
      <w:pPr>
        <w:textAlignment w:val="baseline"/>
        <w:rPr>
          <w:rFonts w:cs="Segoe UI"/>
          <w:sz w:val="18"/>
          <w:szCs w:val="18"/>
          <w:lang w:eastAsia="en-NZ"/>
        </w:rPr>
      </w:pPr>
      <w:r w:rsidRPr="00A93959">
        <w:rPr>
          <w:rFonts w:cs="Segoe UI"/>
          <w:sz w:val="20"/>
          <w:lang w:eastAsia="en-NZ"/>
        </w:rPr>
        <w:t>  </w:t>
      </w:r>
    </w:p>
    <w:p w14:paraId="7873FD31" w14:textId="77777777" w:rsidR="008E682A" w:rsidRDefault="008E682A" w:rsidP="008E682A">
      <w:pPr>
        <w:textAlignment w:val="baseline"/>
        <w:rPr>
          <w:rFonts w:cs="Segoe UI"/>
          <w:b/>
          <w:bCs/>
          <w:szCs w:val="21"/>
          <w:lang w:eastAsia="en-NZ"/>
        </w:rPr>
      </w:pPr>
    </w:p>
    <w:p w14:paraId="14C54294" w14:textId="77777777" w:rsidR="008E682A" w:rsidRPr="008472D2" w:rsidRDefault="008E682A" w:rsidP="008E682A">
      <w:pPr>
        <w:textAlignment w:val="baseline"/>
        <w:rPr>
          <w:rFonts w:cs="Segoe UI"/>
          <w:szCs w:val="21"/>
          <w:lang w:eastAsia="en-NZ"/>
        </w:rPr>
      </w:pPr>
      <w:r w:rsidRPr="00A93959">
        <w:rPr>
          <w:rFonts w:cs="Segoe UI"/>
          <w:b/>
          <w:bCs/>
          <w:szCs w:val="21"/>
          <w:lang w:eastAsia="en-NZ"/>
        </w:rPr>
        <w:t>Proposal 2</w:t>
      </w:r>
      <w:r w:rsidRPr="00A93959">
        <w:rPr>
          <w:rFonts w:cs="Segoe UI"/>
          <w:szCs w:val="21"/>
          <w:lang w:eastAsia="en-NZ"/>
        </w:rPr>
        <w:t xml:space="preserve"> </w:t>
      </w:r>
      <w:r w:rsidRPr="00A93959">
        <w:rPr>
          <w:rFonts w:cs="Segoe UI"/>
          <w:szCs w:val="21"/>
          <w:lang w:eastAsia="en-NZ"/>
        </w:rPr>
        <w:tab/>
      </w:r>
    </w:p>
    <w:p w14:paraId="6E97F251" w14:textId="77777777" w:rsidR="008E682A" w:rsidRPr="008472D2" w:rsidRDefault="008E682A" w:rsidP="008E682A">
      <w:pPr>
        <w:textAlignment w:val="baseline"/>
        <w:rPr>
          <w:rFonts w:cs="Segoe UI"/>
          <w:szCs w:val="21"/>
          <w:lang w:eastAsia="en-NZ"/>
        </w:rPr>
      </w:pPr>
    </w:p>
    <w:p w14:paraId="5638035D" w14:textId="77777777" w:rsidR="008E682A" w:rsidRPr="00A93959" w:rsidRDefault="008E682A" w:rsidP="008E682A">
      <w:pPr>
        <w:textAlignment w:val="baseline"/>
        <w:rPr>
          <w:rFonts w:cs="Segoe UI"/>
          <w:szCs w:val="21"/>
          <w:lang w:eastAsia="en-NZ"/>
        </w:rPr>
      </w:pPr>
      <w:r w:rsidRPr="00A93959">
        <w:rPr>
          <w:rFonts w:cs="Segoe UI"/>
          <w:szCs w:val="21"/>
          <w:lang w:eastAsia="en-NZ"/>
        </w:rPr>
        <w:t>Simplifying the strategy consultation requirements from two phases to one phase (the Gambling Commission would undertake its role as part of the general consultation phase).    </w:t>
      </w:r>
    </w:p>
    <w:p w14:paraId="3DE5DD07" w14:textId="77777777" w:rsidR="008E682A" w:rsidRPr="00A93959" w:rsidRDefault="008E682A" w:rsidP="008E682A">
      <w:pPr>
        <w:textAlignment w:val="baseline"/>
        <w:rPr>
          <w:rFonts w:cs="Segoe UI"/>
          <w:szCs w:val="21"/>
          <w:lang w:eastAsia="en-NZ"/>
        </w:rPr>
      </w:pPr>
      <w:r w:rsidRPr="00A93959">
        <w:rPr>
          <w:rFonts w:cs="Segoe UI"/>
          <w:szCs w:val="21"/>
          <w:lang w:eastAsia="en-NZ"/>
        </w:rPr>
        <w:t>  </w:t>
      </w:r>
    </w:p>
    <w:p w14:paraId="365D3201" w14:textId="77777777" w:rsidR="008E682A" w:rsidRPr="00A93959" w:rsidRDefault="008E682A" w:rsidP="008E682A">
      <w:pPr>
        <w:textAlignment w:val="baseline"/>
        <w:rPr>
          <w:rFonts w:cs="Segoe UI"/>
          <w:szCs w:val="21"/>
          <w:lang w:eastAsia="en-NZ"/>
        </w:rPr>
      </w:pPr>
      <w:r w:rsidRPr="00A93959">
        <w:rPr>
          <w:rFonts w:cs="Segoe UI"/>
          <w:szCs w:val="21"/>
          <w:lang w:eastAsia="en-NZ"/>
        </w:rPr>
        <w:t xml:space="preserve">A single consultation phase would remove the need to prepare </w:t>
      </w:r>
      <w:r w:rsidRPr="00A93959">
        <w:rPr>
          <w:rFonts w:cs="Segoe UI"/>
          <w:color w:val="000000"/>
          <w:szCs w:val="21"/>
          <w:shd w:val="clear" w:color="auto" w:fill="FFFFFF"/>
          <w:lang w:eastAsia="en-NZ"/>
        </w:rPr>
        <w:t>separate strategy proposals for</w:t>
      </w:r>
      <w:r w:rsidRPr="00A93959">
        <w:rPr>
          <w:rFonts w:cs="Segoe UI"/>
          <w:szCs w:val="21"/>
          <w:lang w:eastAsia="en-NZ"/>
        </w:rPr>
        <w:t xml:space="preserve"> the Gambling Commission and the time and cost of an additional round of consultation. The </w:t>
      </w:r>
      <w:r w:rsidRPr="00A93959">
        <w:rPr>
          <w:rFonts w:cs="Segoe UI"/>
          <w:color w:val="000000"/>
          <w:szCs w:val="21"/>
          <w:shd w:val="clear" w:color="auto" w:fill="FFFFFF"/>
          <w:lang w:eastAsia="en-NZ"/>
        </w:rPr>
        <w:t>strategy development and consultation processes are resource and time intensive and duplicating these steps under the current arrangements effectively takes away funds that could be directed to delivering gambling harm services.  Th</w:t>
      </w:r>
      <w:r w:rsidRPr="00A93959">
        <w:rPr>
          <w:rFonts w:cs="Segoe UI"/>
          <w:szCs w:val="21"/>
          <w:lang w:eastAsia="en-NZ"/>
        </w:rPr>
        <w:t>e Gambling Commission would still be consulted and could provide a report to responsible Ministers as part of a single consultation phase, but it would not be required to consult separately in addition to the initial consultation as occurs now.</w:t>
      </w:r>
      <w:r w:rsidRPr="00A93959">
        <w:rPr>
          <w:rFonts w:cs="Segoe UI"/>
          <w:color w:val="000000"/>
          <w:szCs w:val="21"/>
          <w:shd w:val="clear" w:color="auto" w:fill="FFFFFF"/>
          <w:lang w:eastAsia="en-NZ"/>
        </w:rPr>
        <w:t> </w:t>
      </w:r>
      <w:r w:rsidRPr="00A93959">
        <w:rPr>
          <w:rFonts w:cs="Segoe UI"/>
          <w:color w:val="000000"/>
          <w:szCs w:val="21"/>
          <w:lang w:eastAsia="en-NZ"/>
        </w:rPr>
        <w:t>  </w:t>
      </w:r>
    </w:p>
    <w:p w14:paraId="30542FC0" w14:textId="77777777" w:rsidR="008E682A" w:rsidRPr="00A93959" w:rsidRDefault="008E682A" w:rsidP="008E682A">
      <w:pPr>
        <w:textAlignment w:val="baseline"/>
        <w:rPr>
          <w:rFonts w:cs="Segoe UI"/>
          <w:szCs w:val="21"/>
          <w:lang w:eastAsia="en-NZ"/>
        </w:rPr>
      </w:pPr>
      <w:r w:rsidRPr="00A93959">
        <w:rPr>
          <w:rFonts w:cs="Segoe UI"/>
          <w:color w:val="000000"/>
          <w:szCs w:val="21"/>
          <w:lang w:eastAsia="en-NZ"/>
        </w:rPr>
        <w:t>  </w:t>
      </w:r>
    </w:p>
    <w:p w14:paraId="28B894FE" w14:textId="77777777" w:rsidR="008E682A" w:rsidRDefault="008E682A" w:rsidP="00F9430B">
      <w:pPr>
        <w:pStyle w:val="ListParagraph"/>
        <w:numPr>
          <w:ilvl w:val="0"/>
          <w:numId w:val="39"/>
        </w:numPr>
        <w:textAlignment w:val="baseline"/>
        <w:rPr>
          <w:rFonts w:cs="Segoe UI"/>
          <w:szCs w:val="21"/>
          <w:lang w:eastAsia="en-NZ"/>
        </w:rPr>
      </w:pPr>
      <w:r w:rsidRPr="00876564">
        <w:rPr>
          <w:rFonts w:cs="Segoe UI"/>
          <w:szCs w:val="21"/>
          <w:lang w:eastAsia="en-NZ"/>
        </w:rPr>
        <w:t>Do you agree that the legislation should not require separate strategy proposals and further consultation by the Gambling Commission, but it should allow for the Gambling Commission to give its own view on the proposed funding and problem gambling levy as part of the general consultation phase? </w:t>
      </w:r>
    </w:p>
    <w:p w14:paraId="4C38AF9C" w14:textId="77777777" w:rsidR="008E682A" w:rsidRPr="00876564" w:rsidRDefault="008E682A" w:rsidP="008E682A">
      <w:pPr>
        <w:pStyle w:val="ListParagraph"/>
        <w:textAlignment w:val="baseline"/>
        <w:rPr>
          <w:rFonts w:cs="Segoe UI"/>
          <w:szCs w:val="21"/>
          <w:lang w:eastAsia="en-NZ"/>
        </w:rPr>
      </w:pP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6685"/>
        <w:gridCol w:w="446"/>
      </w:tblGrid>
      <w:tr w:rsidR="008E682A" w:rsidRPr="00A93959" w14:paraId="3B2C8E39" w14:textId="77777777" w:rsidTr="008D74E3">
        <w:trPr>
          <w:gridAfter w:val="1"/>
          <w:wAfter w:w="480" w:type="dxa"/>
          <w:trHeight w:val="300"/>
        </w:trPr>
        <w:tc>
          <w:tcPr>
            <w:tcW w:w="405" w:type="dxa"/>
            <w:tcBorders>
              <w:top w:val="nil"/>
              <w:left w:val="nil"/>
              <w:bottom w:val="nil"/>
              <w:right w:val="nil"/>
            </w:tcBorders>
            <w:shd w:val="clear" w:color="auto" w:fill="auto"/>
            <w:hideMark/>
          </w:tcPr>
          <w:p w14:paraId="35B5DD9F" w14:textId="77777777" w:rsidR="008E682A" w:rsidRPr="00A93959" w:rsidRDefault="008E682A" w:rsidP="008D74E3">
            <w:pPr>
              <w:textAlignment w:val="baseline"/>
              <w:rPr>
                <w:rFonts w:cs="Segoe UI"/>
                <w:szCs w:val="21"/>
                <w:lang w:eastAsia="en-NZ"/>
              </w:rPr>
            </w:pPr>
            <w:r w:rsidRPr="00A93959">
              <w:rPr>
                <w:rFonts w:ascii="Segoe UI Symbol" w:eastAsia="MS Gothic" w:hAnsi="Segoe UI Symbol" w:cs="Segoe UI Symbol"/>
                <w:szCs w:val="21"/>
                <w:lang w:eastAsia="en-NZ"/>
              </w:rPr>
              <w:t>☐</w:t>
            </w:r>
            <w:r w:rsidRPr="00A93959">
              <w:rPr>
                <w:rFonts w:eastAsia="MS Gothic" w:cs="Segoe UI"/>
                <w:szCs w:val="21"/>
                <w:lang w:eastAsia="en-NZ"/>
              </w:rPr>
              <w:t> </w:t>
            </w:r>
          </w:p>
        </w:tc>
        <w:tc>
          <w:tcPr>
            <w:tcW w:w="7095" w:type="dxa"/>
            <w:tcBorders>
              <w:top w:val="nil"/>
              <w:left w:val="nil"/>
              <w:bottom w:val="nil"/>
              <w:right w:val="nil"/>
            </w:tcBorders>
            <w:shd w:val="clear" w:color="auto" w:fill="auto"/>
            <w:vAlign w:val="center"/>
            <w:hideMark/>
          </w:tcPr>
          <w:p w14:paraId="1D03F076" w14:textId="77777777" w:rsidR="008E682A" w:rsidRPr="00A93959" w:rsidRDefault="008E682A" w:rsidP="008D74E3">
            <w:pPr>
              <w:textAlignment w:val="baseline"/>
              <w:rPr>
                <w:rFonts w:cs="Segoe UI"/>
                <w:szCs w:val="21"/>
                <w:lang w:eastAsia="en-NZ"/>
              </w:rPr>
            </w:pPr>
            <w:r w:rsidRPr="00A93959">
              <w:rPr>
                <w:rFonts w:cs="Segoe UI"/>
                <w:szCs w:val="21"/>
                <w:lang w:eastAsia="en-NZ"/>
              </w:rPr>
              <w:t>Yes</w:t>
            </w:r>
          </w:p>
        </w:tc>
      </w:tr>
      <w:tr w:rsidR="008E682A" w:rsidRPr="00A93959" w14:paraId="22EFB09F" w14:textId="77777777" w:rsidTr="008D74E3">
        <w:trPr>
          <w:gridAfter w:val="1"/>
          <w:wAfter w:w="480" w:type="dxa"/>
          <w:trHeight w:val="300"/>
        </w:trPr>
        <w:tc>
          <w:tcPr>
            <w:tcW w:w="405" w:type="dxa"/>
            <w:tcBorders>
              <w:top w:val="nil"/>
              <w:left w:val="nil"/>
              <w:bottom w:val="nil"/>
              <w:right w:val="nil"/>
            </w:tcBorders>
            <w:shd w:val="clear" w:color="auto" w:fill="auto"/>
            <w:hideMark/>
          </w:tcPr>
          <w:p w14:paraId="3758F2C1" w14:textId="77777777" w:rsidR="008E682A" w:rsidRPr="00A93959" w:rsidRDefault="008E682A" w:rsidP="008D74E3">
            <w:pPr>
              <w:textAlignment w:val="baseline"/>
              <w:rPr>
                <w:rFonts w:cs="Segoe UI"/>
                <w:szCs w:val="21"/>
                <w:lang w:eastAsia="en-NZ"/>
              </w:rPr>
            </w:pPr>
            <w:r w:rsidRPr="00A93959">
              <w:rPr>
                <w:rFonts w:ascii="Segoe UI Symbol" w:eastAsia="MS Gothic" w:hAnsi="Segoe UI Symbol" w:cs="Segoe UI Symbol"/>
                <w:szCs w:val="21"/>
                <w:lang w:eastAsia="en-NZ"/>
              </w:rPr>
              <w:t>☐</w:t>
            </w:r>
            <w:r w:rsidRPr="00A93959">
              <w:rPr>
                <w:rFonts w:eastAsia="MS Gothic" w:cs="Segoe UI"/>
                <w:szCs w:val="21"/>
                <w:lang w:eastAsia="en-NZ"/>
              </w:rPr>
              <w:t> </w:t>
            </w:r>
          </w:p>
        </w:tc>
        <w:tc>
          <w:tcPr>
            <w:tcW w:w="7095" w:type="dxa"/>
            <w:tcBorders>
              <w:top w:val="nil"/>
              <w:left w:val="nil"/>
              <w:bottom w:val="nil"/>
              <w:right w:val="nil"/>
            </w:tcBorders>
            <w:shd w:val="clear" w:color="auto" w:fill="auto"/>
            <w:vAlign w:val="center"/>
            <w:hideMark/>
          </w:tcPr>
          <w:p w14:paraId="6A65ABFB" w14:textId="77777777" w:rsidR="008E682A" w:rsidRDefault="008E682A" w:rsidP="008D74E3">
            <w:pPr>
              <w:textAlignment w:val="baseline"/>
              <w:rPr>
                <w:rFonts w:cs="Segoe UI"/>
                <w:szCs w:val="21"/>
                <w:lang w:eastAsia="en-NZ"/>
              </w:rPr>
            </w:pPr>
            <w:r w:rsidRPr="00A93959">
              <w:rPr>
                <w:rFonts w:cs="Segoe UI"/>
                <w:szCs w:val="21"/>
                <w:lang w:eastAsia="en-NZ"/>
              </w:rPr>
              <w:t xml:space="preserve">No </w:t>
            </w:r>
          </w:p>
          <w:p w14:paraId="59839C2A" w14:textId="77777777" w:rsidR="008E682A" w:rsidRDefault="008E682A" w:rsidP="008D74E3">
            <w:pPr>
              <w:textAlignment w:val="baseline"/>
              <w:rPr>
                <w:rFonts w:cs="Segoe UI"/>
                <w:szCs w:val="21"/>
                <w:lang w:eastAsia="en-NZ"/>
              </w:rPr>
            </w:pPr>
            <w:r w:rsidRPr="00A93959">
              <w:rPr>
                <w:rFonts w:cs="Segoe UI"/>
                <w:szCs w:val="21"/>
                <w:lang w:eastAsia="en-NZ"/>
              </w:rPr>
              <w:t>If No, do you have any comments on simplifying the existing consultation requirements? Please explain in the space below</w:t>
            </w:r>
            <w:r>
              <w:rPr>
                <w:rFonts w:cs="Segoe UI"/>
                <w:szCs w:val="21"/>
                <w:lang w:eastAsia="en-NZ"/>
              </w:rPr>
              <w:t>.</w:t>
            </w:r>
          </w:p>
          <w:p w14:paraId="290AEB40" w14:textId="77777777" w:rsidR="008E682A" w:rsidRPr="00A93959" w:rsidRDefault="008E682A" w:rsidP="008D74E3">
            <w:pPr>
              <w:textAlignment w:val="baseline"/>
              <w:rPr>
                <w:rFonts w:cs="Segoe UI"/>
                <w:szCs w:val="21"/>
                <w:lang w:eastAsia="en-NZ"/>
              </w:rPr>
            </w:pPr>
            <w:r w:rsidRPr="00A93959">
              <w:rPr>
                <w:rFonts w:cs="Segoe UI"/>
                <w:szCs w:val="21"/>
                <w:lang w:eastAsia="en-NZ"/>
              </w:rPr>
              <w:t> </w:t>
            </w:r>
          </w:p>
        </w:tc>
      </w:tr>
      <w:tr w:rsidR="008E682A" w:rsidRPr="00A93959" w14:paraId="19632FDB" w14:textId="77777777" w:rsidTr="008D74E3">
        <w:trPr>
          <w:trHeight w:val="1695"/>
        </w:trPr>
        <w:tc>
          <w:tcPr>
            <w:tcW w:w="7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578A58" w14:textId="37604B59" w:rsidR="008E682A" w:rsidRPr="00A93959" w:rsidRDefault="008E682A" w:rsidP="008D74E3">
            <w:pPr>
              <w:textAlignment w:val="baseline"/>
              <w:rPr>
                <w:rFonts w:ascii="Times New Roman" w:hAnsi="Times New Roman"/>
                <w:sz w:val="24"/>
                <w:szCs w:val="24"/>
                <w:lang w:eastAsia="en-NZ"/>
              </w:rPr>
            </w:pPr>
          </w:p>
        </w:tc>
      </w:tr>
    </w:tbl>
    <w:p w14:paraId="0D2FAEE4" w14:textId="77777777" w:rsidR="008E682A" w:rsidRPr="00A93959" w:rsidRDefault="008E682A" w:rsidP="008E682A">
      <w:pPr>
        <w:textAlignment w:val="baseline"/>
        <w:rPr>
          <w:rFonts w:cs="Segoe UI"/>
          <w:sz w:val="18"/>
          <w:szCs w:val="18"/>
          <w:lang w:eastAsia="en-NZ"/>
        </w:rPr>
      </w:pPr>
      <w:r w:rsidRPr="00A93959">
        <w:rPr>
          <w:rFonts w:cs="Segoe UI"/>
          <w:sz w:val="20"/>
          <w:lang w:eastAsia="en-NZ"/>
        </w:rPr>
        <w:t> </w:t>
      </w:r>
    </w:p>
    <w:p w14:paraId="79551B7E" w14:textId="77777777" w:rsidR="008E682A" w:rsidRPr="001A1F32" w:rsidRDefault="008E682A" w:rsidP="008E682A">
      <w:pPr>
        <w:textAlignment w:val="baseline"/>
        <w:rPr>
          <w:rFonts w:cs="Segoe UI"/>
          <w:sz w:val="18"/>
          <w:szCs w:val="18"/>
          <w:lang w:eastAsia="en-NZ"/>
        </w:rPr>
      </w:pPr>
      <w:r w:rsidRPr="00A93959">
        <w:rPr>
          <w:rFonts w:ascii="Calibri" w:hAnsi="Calibri" w:cs="Calibri"/>
          <w:sz w:val="22"/>
          <w:szCs w:val="22"/>
          <w:lang w:eastAsia="en-NZ"/>
        </w:rPr>
        <w:t>  </w:t>
      </w:r>
    </w:p>
    <w:p w14:paraId="510CB997" w14:textId="77777777" w:rsidR="008E682A" w:rsidRDefault="008E682A" w:rsidP="008E682A">
      <w:r w:rsidRPr="4589387C">
        <w:t>Thank you for your submission.</w:t>
      </w:r>
    </w:p>
    <w:p w14:paraId="224045A1" w14:textId="31EF18D7" w:rsidR="00137BA1" w:rsidRDefault="00137BA1" w:rsidP="00137BA1"/>
    <w:sectPr w:rsidR="00137BA1" w:rsidSect="00EC41FD">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2A79" w14:textId="77777777" w:rsidR="00F235A4" w:rsidRDefault="00F235A4">
      <w:r>
        <w:separator/>
      </w:r>
    </w:p>
    <w:p w14:paraId="45072AB0" w14:textId="77777777" w:rsidR="00F235A4" w:rsidRDefault="00F235A4"/>
  </w:endnote>
  <w:endnote w:type="continuationSeparator" w:id="0">
    <w:p w14:paraId="203433EE" w14:textId="77777777" w:rsidR="00F235A4" w:rsidRDefault="00F235A4">
      <w:r>
        <w:continuationSeparator/>
      </w:r>
    </w:p>
    <w:p w14:paraId="0DB8ECE2" w14:textId="77777777" w:rsidR="00F235A4" w:rsidRDefault="00F235A4"/>
  </w:endnote>
  <w:endnote w:type="continuationNotice" w:id="1">
    <w:p w14:paraId="453D55B9" w14:textId="77777777" w:rsidR="00F235A4" w:rsidRDefault="00F23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aford">
    <w:charset w:val="00"/>
    <w:family w:val="auto"/>
    <w:pitch w:val="variable"/>
    <w:sig w:usb0="80000003" w:usb1="00000001"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4070408" w:rsidR="00B657AF" w:rsidRPr="00581136" w:rsidRDefault="00B657AF"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524869F6" w14:textId="77777777" w:rsidR="00B657AF" w:rsidRPr="005A79E5" w:rsidRDefault="00B657AF">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25"/>
      <w:gridCol w:w="709"/>
    </w:tblGrid>
    <w:tr w:rsidR="00B657AF" w14:paraId="1B693DB4" w14:textId="77777777" w:rsidTr="00EC41FD">
      <w:trPr>
        <w:cantSplit/>
      </w:trPr>
      <w:tc>
        <w:tcPr>
          <w:tcW w:w="13325" w:type="dxa"/>
          <w:vAlign w:val="center"/>
        </w:tcPr>
        <w:p w14:paraId="12A89291" w14:textId="77777777" w:rsidR="00B657AF" w:rsidRDefault="00B657AF" w:rsidP="00926083">
          <w:pPr>
            <w:pStyle w:val="RectoFooter"/>
          </w:pPr>
          <w:r w:rsidRPr="00835945">
            <w:t>Strategy to Prevent and Minimise Gambling Harm 2025/26 to 2027/28</w:t>
          </w:r>
          <w:r>
            <w:t>: consultation document</w:t>
          </w:r>
        </w:p>
      </w:tc>
      <w:tc>
        <w:tcPr>
          <w:tcW w:w="709" w:type="dxa"/>
          <w:vAlign w:val="center"/>
        </w:tcPr>
        <w:p w14:paraId="680B7A8C" w14:textId="77777777" w:rsidR="00B657AF" w:rsidRPr="00931466" w:rsidRDefault="00B657A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2F70EAFF" w14:textId="77777777" w:rsidR="00B657AF" w:rsidRPr="00581EB8" w:rsidRDefault="00B657AF"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657AF" w14:paraId="49808094" w14:textId="77777777" w:rsidTr="00EC41FD">
      <w:trPr>
        <w:cantSplit/>
      </w:trPr>
      <w:tc>
        <w:tcPr>
          <w:tcW w:w="8080" w:type="dxa"/>
          <w:vAlign w:val="center"/>
        </w:tcPr>
        <w:p w14:paraId="6A5439A7" w14:textId="77777777" w:rsidR="00B657AF" w:rsidRDefault="00B657AF" w:rsidP="00926083">
          <w:pPr>
            <w:pStyle w:val="RectoFooter"/>
          </w:pPr>
          <w:r w:rsidRPr="00835945">
            <w:t>Strategy to Prevent and Minimise Gambling Harm 2025/26 to 2027/28</w:t>
          </w:r>
          <w:r>
            <w:t>: consultation document</w:t>
          </w:r>
        </w:p>
      </w:tc>
      <w:tc>
        <w:tcPr>
          <w:tcW w:w="709" w:type="dxa"/>
          <w:vAlign w:val="center"/>
        </w:tcPr>
        <w:p w14:paraId="3C349D3A" w14:textId="77777777" w:rsidR="00B657AF" w:rsidRPr="00931466" w:rsidRDefault="00B657A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61D184AE" w14:textId="77777777" w:rsidR="00B657AF" w:rsidRPr="00581EB8" w:rsidRDefault="00B657AF" w:rsidP="00581EB8">
    <w:pPr>
      <w:pStyle w:val="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657AF" w14:paraId="5A38B2CF" w14:textId="77777777" w:rsidTr="00D662F8">
      <w:trPr>
        <w:cantSplit/>
      </w:trPr>
      <w:tc>
        <w:tcPr>
          <w:tcW w:w="709" w:type="dxa"/>
          <w:vAlign w:val="center"/>
        </w:tcPr>
        <w:p w14:paraId="13A0FF6F" w14:textId="77777777" w:rsidR="00B657AF" w:rsidRPr="00931466" w:rsidRDefault="00B657A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2274143A" w14:textId="77777777" w:rsidR="00B657AF" w:rsidRDefault="00B657AF" w:rsidP="00926083">
          <w:pPr>
            <w:pStyle w:val="RectoFooter"/>
            <w:jc w:val="left"/>
          </w:pPr>
          <w:r w:rsidRPr="00835945">
            <w:t>Strategy to Prevent and Minimise Gambling Harm 2025/26 to 2027/28</w:t>
          </w:r>
          <w:r>
            <w:t>: consultation document</w:t>
          </w:r>
        </w:p>
      </w:tc>
    </w:tr>
  </w:tbl>
  <w:p w14:paraId="4C30A2D0" w14:textId="77777777" w:rsidR="00B657AF" w:rsidRPr="00571223" w:rsidRDefault="00B657AF" w:rsidP="00571223">
    <w:pPr>
      <w:pStyle w:val="Verso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25"/>
      <w:gridCol w:w="709"/>
    </w:tblGrid>
    <w:tr w:rsidR="00B657AF" w14:paraId="6A40D9CF" w14:textId="77777777" w:rsidTr="00EC41FD">
      <w:trPr>
        <w:cantSplit/>
      </w:trPr>
      <w:tc>
        <w:tcPr>
          <w:tcW w:w="13325" w:type="dxa"/>
          <w:vAlign w:val="center"/>
        </w:tcPr>
        <w:p w14:paraId="77637BA1" w14:textId="77777777" w:rsidR="00B657AF" w:rsidRDefault="00B657AF" w:rsidP="00926083">
          <w:pPr>
            <w:pStyle w:val="RectoFooter"/>
          </w:pPr>
          <w:r w:rsidRPr="00835945">
            <w:t>Strategy to Prevent and Minimise Gambling Harm 2025/26 to 2027/28</w:t>
          </w:r>
          <w:r>
            <w:t>: consultation document</w:t>
          </w:r>
        </w:p>
      </w:tc>
      <w:tc>
        <w:tcPr>
          <w:tcW w:w="709" w:type="dxa"/>
          <w:vAlign w:val="center"/>
        </w:tcPr>
        <w:p w14:paraId="3E8AB4A4" w14:textId="77777777" w:rsidR="00B657AF" w:rsidRPr="00931466" w:rsidRDefault="00B657A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54F0B90F" w14:textId="77777777" w:rsidR="00B657AF" w:rsidRPr="00581EB8" w:rsidRDefault="00B657AF" w:rsidP="00581EB8">
    <w:pPr>
      <w:pStyle w:val="Foote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657AF" w14:paraId="2E433BE0" w14:textId="77777777" w:rsidTr="00D662F8">
      <w:trPr>
        <w:cantSplit/>
      </w:trPr>
      <w:tc>
        <w:tcPr>
          <w:tcW w:w="709" w:type="dxa"/>
          <w:vAlign w:val="center"/>
        </w:tcPr>
        <w:p w14:paraId="7097E3AF" w14:textId="77777777" w:rsidR="00B657AF" w:rsidRPr="00931466" w:rsidRDefault="00B657A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0E0699B4" w14:textId="77777777" w:rsidR="00B657AF" w:rsidRDefault="00B657AF" w:rsidP="00926083">
          <w:pPr>
            <w:pStyle w:val="RectoFooter"/>
            <w:jc w:val="left"/>
          </w:pPr>
          <w:r w:rsidRPr="00835945">
            <w:t>Strategy to Prevent and Minimise Gambling Harm 2025/26 to 2027/28</w:t>
          </w:r>
          <w:r>
            <w:t>: consultation document</w:t>
          </w:r>
        </w:p>
      </w:tc>
    </w:tr>
  </w:tbl>
  <w:p w14:paraId="645CBDAA" w14:textId="77777777" w:rsidR="00B657AF" w:rsidRPr="00571223" w:rsidRDefault="00B657AF" w:rsidP="00571223">
    <w:pPr>
      <w:pStyle w:val="VersoFoote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657AF" w14:paraId="5DFB20FB" w14:textId="77777777" w:rsidTr="00D662F8">
      <w:trPr>
        <w:cantSplit/>
      </w:trPr>
      <w:tc>
        <w:tcPr>
          <w:tcW w:w="8080" w:type="dxa"/>
          <w:vAlign w:val="center"/>
        </w:tcPr>
        <w:p w14:paraId="3EAC6DBB" w14:textId="77777777" w:rsidR="00B657AF" w:rsidRDefault="00B657AF" w:rsidP="00926083">
          <w:pPr>
            <w:pStyle w:val="RectoFooter"/>
          </w:pPr>
          <w:r w:rsidRPr="00835945">
            <w:t>Strategy to Prevent and Minimise Gambling Harm 2025/26 to 2027/28</w:t>
          </w:r>
          <w:r>
            <w:t>: consultation document</w:t>
          </w:r>
        </w:p>
      </w:tc>
      <w:tc>
        <w:tcPr>
          <w:tcW w:w="709" w:type="dxa"/>
          <w:vAlign w:val="center"/>
        </w:tcPr>
        <w:p w14:paraId="77FA722D" w14:textId="77777777" w:rsidR="00B657AF" w:rsidRPr="00931466" w:rsidRDefault="00B657A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062D281C" w14:textId="77777777" w:rsidR="00B657AF" w:rsidRPr="00581EB8" w:rsidRDefault="00B657AF"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B657AF" w:rsidRDefault="00B657A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B657AF" w:rsidRDefault="00B65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657AF" w14:paraId="0872EE25" w14:textId="77777777" w:rsidTr="00B657AF">
      <w:trPr>
        <w:cantSplit/>
      </w:trPr>
      <w:tc>
        <w:tcPr>
          <w:tcW w:w="709" w:type="dxa"/>
          <w:vAlign w:val="center"/>
        </w:tcPr>
        <w:p w14:paraId="2E98246C" w14:textId="77777777" w:rsidR="00B657AF" w:rsidRPr="00931466" w:rsidRDefault="00B657AF" w:rsidP="00B657A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1DBA2039" w14:textId="77777777" w:rsidR="00B657AF" w:rsidRDefault="00B657AF" w:rsidP="00B657AF">
          <w:pPr>
            <w:pStyle w:val="RectoFooter"/>
            <w:jc w:val="left"/>
          </w:pPr>
          <w:r w:rsidRPr="00835945">
            <w:t>Strategy to Prevent and Minimise Gambling Harm 2025/26 to 2027/28</w:t>
          </w:r>
          <w:r>
            <w:t>: consultation document</w:t>
          </w:r>
        </w:p>
      </w:tc>
    </w:tr>
  </w:tbl>
  <w:p w14:paraId="172F2DDB" w14:textId="77777777" w:rsidR="00B657AF" w:rsidRPr="00571223" w:rsidRDefault="00B657A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657AF" w14:paraId="71F3685B" w14:textId="77777777" w:rsidTr="00D662F8">
      <w:trPr>
        <w:cantSplit/>
      </w:trPr>
      <w:tc>
        <w:tcPr>
          <w:tcW w:w="8080" w:type="dxa"/>
          <w:vAlign w:val="center"/>
        </w:tcPr>
        <w:p w14:paraId="5784B1D8" w14:textId="3FB25C45" w:rsidR="00B657AF" w:rsidRDefault="00B657AF" w:rsidP="00926083">
          <w:pPr>
            <w:pStyle w:val="RectoFooter"/>
          </w:pPr>
          <w:r w:rsidRPr="00835945">
            <w:t>Strategy to Prevent and Minimise Gambling Harm 2025/26 to 2027/28</w:t>
          </w:r>
          <w:r>
            <w:t>: consultation document</w:t>
          </w:r>
        </w:p>
      </w:tc>
      <w:tc>
        <w:tcPr>
          <w:tcW w:w="709" w:type="dxa"/>
          <w:vAlign w:val="center"/>
        </w:tcPr>
        <w:p w14:paraId="18A7A1B5" w14:textId="77777777" w:rsidR="00B657AF" w:rsidRPr="00931466" w:rsidRDefault="00B657A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B657AF" w:rsidRPr="00581EB8" w:rsidRDefault="00B657A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657AF" w14:paraId="4C3A3BF7" w14:textId="77777777" w:rsidTr="00D662F8">
      <w:trPr>
        <w:cantSplit/>
      </w:trPr>
      <w:tc>
        <w:tcPr>
          <w:tcW w:w="709" w:type="dxa"/>
          <w:vAlign w:val="center"/>
        </w:tcPr>
        <w:p w14:paraId="28F87ED7" w14:textId="77777777" w:rsidR="00B657AF" w:rsidRPr="00931466" w:rsidRDefault="00B657A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5C5BD023" w:rsidR="00B657AF" w:rsidRDefault="00B657AF" w:rsidP="00926083">
          <w:pPr>
            <w:pStyle w:val="RectoFooter"/>
            <w:jc w:val="left"/>
          </w:pPr>
          <w:r w:rsidRPr="00835945">
            <w:t>Strategy to Prevent and Minimise Gambling Harm 2025/26 to 2027/28</w:t>
          </w:r>
          <w:r>
            <w:t>: consultation document</w:t>
          </w:r>
        </w:p>
      </w:tc>
    </w:tr>
  </w:tbl>
  <w:p w14:paraId="711B5D80" w14:textId="77777777" w:rsidR="00B657AF" w:rsidRPr="00571223" w:rsidRDefault="00B657A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657AF" w14:paraId="58AAB149" w14:textId="77777777" w:rsidTr="00D662F8">
      <w:trPr>
        <w:cantSplit/>
      </w:trPr>
      <w:tc>
        <w:tcPr>
          <w:tcW w:w="8080" w:type="dxa"/>
          <w:vAlign w:val="center"/>
        </w:tcPr>
        <w:p w14:paraId="20E2F0CC" w14:textId="63FBE62C" w:rsidR="00B657AF" w:rsidRDefault="00B657AF" w:rsidP="00926083">
          <w:pPr>
            <w:pStyle w:val="RectoFooter"/>
          </w:pPr>
          <w:r w:rsidRPr="00835945">
            <w:t>Strategy to Prevent and Minimise Gambling Harm 2025/26 to 2027/28</w:t>
          </w:r>
          <w:r>
            <w:t>: consultation document</w:t>
          </w:r>
        </w:p>
      </w:tc>
      <w:tc>
        <w:tcPr>
          <w:tcW w:w="709" w:type="dxa"/>
          <w:vAlign w:val="center"/>
        </w:tcPr>
        <w:p w14:paraId="3D3C9847" w14:textId="77777777" w:rsidR="00B657AF" w:rsidRPr="00931466" w:rsidRDefault="00B657A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B657AF" w:rsidRPr="00581EB8" w:rsidRDefault="00B657AF"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657AF" w14:paraId="7DB74E0B" w14:textId="77777777" w:rsidTr="00D662F8">
      <w:trPr>
        <w:cantSplit/>
      </w:trPr>
      <w:tc>
        <w:tcPr>
          <w:tcW w:w="709" w:type="dxa"/>
          <w:vAlign w:val="center"/>
        </w:tcPr>
        <w:p w14:paraId="7FB9EB7B" w14:textId="77777777" w:rsidR="00B657AF" w:rsidRPr="00931466" w:rsidRDefault="00B657A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7930574F" w:rsidR="00B657AF" w:rsidRDefault="00B657AF" w:rsidP="00926083">
          <w:pPr>
            <w:pStyle w:val="RectoFooter"/>
            <w:jc w:val="left"/>
          </w:pPr>
          <w:r w:rsidRPr="00835945">
            <w:t>Strategy to Prevent and Minimise Gambling Harm 2025/26 to 2027/28</w:t>
          </w:r>
          <w:r>
            <w:t>: consultation document</w:t>
          </w:r>
        </w:p>
      </w:tc>
    </w:tr>
  </w:tbl>
  <w:p w14:paraId="7C39EF3C" w14:textId="77777777" w:rsidR="00B657AF" w:rsidRPr="00571223" w:rsidRDefault="00B657AF"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657AF" w14:paraId="14CDF67C" w14:textId="77777777" w:rsidTr="00B657AF">
      <w:trPr>
        <w:cantSplit/>
      </w:trPr>
      <w:tc>
        <w:tcPr>
          <w:tcW w:w="8080" w:type="dxa"/>
          <w:vAlign w:val="center"/>
        </w:tcPr>
        <w:p w14:paraId="096C7900" w14:textId="77777777" w:rsidR="00B657AF" w:rsidRDefault="00B657AF" w:rsidP="00B657AF">
          <w:pPr>
            <w:pStyle w:val="RectoFooter"/>
          </w:pPr>
          <w:r w:rsidRPr="00835945">
            <w:t>Strategy to Prevent and Minimise Gambling Harm 2025/26 to 2027/28</w:t>
          </w:r>
          <w:r>
            <w:t>: consultation document</w:t>
          </w:r>
        </w:p>
      </w:tc>
      <w:tc>
        <w:tcPr>
          <w:tcW w:w="709" w:type="dxa"/>
          <w:vAlign w:val="center"/>
        </w:tcPr>
        <w:p w14:paraId="216AAF26" w14:textId="77777777" w:rsidR="00B657AF" w:rsidRPr="00931466" w:rsidRDefault="00B657AF" w:rsidP="00B657A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B657AF" w:rsidRPr="00581EB8" w:rsidRDefault="00B657A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6BA4" w14:textId="77777777" w:rsidR="00F235A4" w:rsidRPr="00A26E6B" w:rsidRDefault="00F235A4" w:rsidP="00A26E6B"/>
  </w:footnote>
  <w:footnote w:type="continuationSeparator" w:id="0">
    <w:p w14:paraId="3984E33C" w14:textId="77777777" w:rsidR="00F235A4" w:rsidRDefault="00F235A4">
      <w:r>
        <w:continuationSeparator/>
      </w:r>
    </w:p>
    <w:p w14:paraId="3A0E42CC" w14:textId="77777777" w:rsidR="00F235A4" w:rsidRDefault="00F235A4"/>
  </w:footnote>
  <w:footnote w:type="continuationNotice" w:id="1">
    <w:p w14:paraId="46464721" w14:textId="77777777" w:rsidR="00F235A4" w:rsidRDefault="00F235A4"/>
  </w:footnote>
  <w:footnote w:id="2">
    <w:p w14:paraId="209468BD" w14:textId="77777777" w:rsidR="00B657AF" w:rsidRDefault="00B657AF" w:rsidP="002B32BD">
      <w:pPr>
        <w:pStyle w:val="FootnoteText"/>
        <w:rPr>
          <w:rFonts w:cstheme="minorHAnsi"/>
        </w:rPr>
      </w:pPr>
    </w:p>
    <w:p w14:paraId="7882E223" w14:textId="4ADDD2E5" w:rsidR="00B657AF" w:rsidRPr="001B6F1F" w:rsidRDefault="00B657AF" w:rsidP="002B32BD">
      <w:pPr>
        <w:pStyle w:val="FootnoteText"/>
        <w:rPr>
          <w:rFonts w:cstheme="minorHAnsi"/>
        </w:rPr>
      </w:pPr>
      <w:r w:rsidRPr="001B6F1F">
        <w:rPr>
          <w:rStyle w:val="FootnoteReference"/>
          <w:rFonts w:eastAsia="MS Gothic" w:cstheme="minorHAnsi"/>
        </w:rPr>
        <w:footnoteRef/>
      </w:r>
      <w:r>
        <w:rPr>
          <w:rFonts w:cstheme="minorHAnsi"/>
        </w:rPr>
        <w:t xml:space="preserve"> </w:t>
      </w:r>
      <w:r w:rsidRPr="001B6F1F">
        <w:rPr>
          <w:rFonts w:cstheme="minorHAnsi"/>
        </w:rPr>
        <w:t>Malatest International</w:t>
      </w:r>
      <w:r>
        <w:rPr>
          <w:rFonts w:cstheme="minorHAnsi"/>
        </w:rPr>
        <w:t xml:space="preserve"> &amp;</w:t>
      </w:r>
      <w:r w:rsidRPr="001B6F1F">
        <w:rPr>
          <w:rFonts w:cstheme="minorHAnsi"/>
        </w:rPr>
        <w:t xml:space="preserve"> Sapere</w:t>
      </w:r>
      <w:r>
        <w:rPr>
          <w:rFonts w:cstheme="minorHAnsi"/>
        </w:rPr>
        <w:t>.</w:t>
      </w:r>
      <w:r w:rsidRPr="001B6F1F">
        <w:rPr>
          <w:rFonts w:cstheme="minorHAnsi"/>
        </w:rPr>
        <w:t xml:space="preserve"> </w:t>
      </w:r>
      <w:r w:rsidRPr="00033235">
        <w:rPr>
          <w:rFonts w:cstheme="minorHAnsi"/>
          <w:i/>
          <w:iCs/>
        </w:rPr>
        <w:t>Gambling Harm Needs Assessment 2024</w:t>
      </w:r>
      <w:r w:rsidRPr="001B6F1F">
        <w:rPr>
          <w:rFonts w:cstheme="minorHAnsi"/>
        </w:rPr>
        <w:t>.</w:t>
      </w:r>
      <w:r>
        <w:rPr>
          <w:rFonts w:cstheme="minorHAnsi"/>
        </w:rPr>
        <w:t xml:space="preserve"> Wellington: Ministry of Health</w:t>
      </w:r>
    </w:p>
  </w:footnote>
  <w:footnote w:id="3">
    <w:p w14:paraId="502A63DB" w14:textId="77777777" w:rsidR="00B657AF" w:rsidRPr="001B6F1F" w:rsidRDefault="00B657AF" w:rsidP="002B32BD">
      <w:pPr>
        <w:pStyle w:val="FootnoteText"/>
        <w:rPr>
          <w:rFonts w:cstheme="minorHAnsi"/>
        </w:rPr>
      </w:pPr>
      <w:r>
        <w:rPr>
          <w:rStyle w:val="FootnoteReference"/>
        </w:rPr>
        <w:footnoteRef/>
      </w:r>
      <w:r>
        <w:t xml:space="preserve"> </w:t>
      </w:r>
      <w:r w:rsidRPr="001B6F1F">
        <w:rPr>
          <w:rFonts w:cstheme="minorHAnsi"/>
        </w:rPr>
        <w:t>Malatest International &amp; Sapere, Gambling Harm Needs Assessment 2024.</w:t>
      </w:r>
    </w:p>
    <w:p w14:paraId="0545AE3D" w14:textId="77777777" w:rsidR="00B657AF" w:rsidRDefault="00B657AF" w:rsidP="002B32BD">
      <w:pPr>
        <w:pStyle w:val="FootnoteText"/>
      </w:pPr>
    </w:p>
  </w:footnote>
  <w:footnote w:id="4">
    <w:p w14:paraId="2FD99111" w14:textId="77777777" w:rsidR="00B657AF" w:rsidRPr="00C61A96" w:rsidRDefault="00B657AF" w:rsidP="002B68B9">
      <w:pPr>
        <w:pStyle w:val="FootnoteText"/>
        <w:rPr>
          <w:rFonts w:cstheme="minorHAnsi"/>
          <w:lang w:val="en-US"/>
        </w:rPr>
      </w:pPr>
      <w:r w:rsidRPr="00C61A96">
        <w:rPr>
          <w:rStyle w:val="FootnoteReference"/>
          <w:rFonts w:cstheme="minorHAnsi"/>
        </w:rPr>
        <w:footnoteRef/>
      </w:r>
      <w:r w:rsidRPr="00C61A96">
        <w:rPr>
          <w:rFonts w:cstheme="minorHAnsi"/>
        </w:rPr>
        <w:t xml:space="preserve"> </w:t>
      </w:r>
      <w:r>
        <w:rPr>
          <w:rFonts w:cstheme="minorHAnsi"/>
        </w:rPr>
        <w:t>NielsenIQ</w:t>
      </w:r>
      <w:r w:rsidRPr="00C61A96">
        <w:rPr>
          <w:rFonts w:cstheme="minorHAnsi"/>
        </w:rPr>
        <w:t>. 202</w:t>
      </w:r>
      <w:r>
        <w:rPr>
          <w:rFonts w:cstheme="minorHAnsi"/>
        </w:rPr>
        <w:t>3</w:t>
      </w:r>
      <w:r w:rsidRPr="00C61A96">
        <w:rPr>
          <w:rFonts w:cstheme="minorHAnsi"/>
        </w:rPr>
        <w:t xml:space="preserve">. </w:t>
      </w:r>
      <w:r>
        <w:rPr>
          <w:rFonts w:cstheme="minorHAnsi"/>
          <w:i/>
          <w:iCs/>
        </w:rPr>
        <w:t>2020 Top-line Summary: New Zealand Health and Lifestyles Survey (HLS)</w:t>
      </w:r>
      <w:r w:rsidRPr="00C61A96">
        <w:rPr>
          <w:rFonts w:cstheme="minorHAnsi"/>
        </w:rPr>
        <w:t xml:space="preserve">. </w:t>
      </w:r>
      <w:r>
        <w:rPr>
          <w:rFonts w:cstheme="minorHAnsi"/>
        </w:rPr>
        <w:t xml:space="preserve">Wellington: Health New Zealand. </w:t>
      </w:r>
      <w:r w:rsidRPr="00C61A96">
        <w:rPr>
          <w:rFonts w:cstheme="minorHAnsi"/>
        </w:rPr>
        <w:t xml:space="preserve">URL: </w:t>
      </w:r>
      <w:hyperlink r:id="rId1" w:history="1">
        <w:r w:rsidRPr="00265C23">
          <w:rPr>
            <w:rStyle w:val="Hyperlink"/>
          </w:rPr>
          <w:t>www.hpa.org.nz/our-work/research/publications</w:t>
        </w:r>
      </w:hyperlink>
      <w:r>
        <w:t xml:space="preserve"> (accessed 31 July 2024).</w:t>
      </w:r>
      <w:r w:rsidRPr="00C61A96">
        <w:rPr>
          <w:rFonts w:cstheme="minorHAnsi"/>
        </w:rPr>
        <w:t xml:space="preserve"> </w:t>
      </w:r>
    </w:p>
  </w:footnote>
  <w:footnote w:id="5">
    <w:p w14:paraId="489F12DD" w14:textId="48B3EC01" w:rsidR="00B657AF" w:rsidRDefault="00B657AF" w:rsidP="002B68B9">
      <w:pPr>
        <w:pStyle w:val="FootnoteText"/>
      </w:pPr>
      <w:r>
        <w:rPr>
          <w:rStyle w:val="FootnoteReference"/>
        </w:rPr>
        <w:footnoteRef/>
      </w:r>
      <w:r>
        <w:t xml:space="preserve"> </w:t>
      </w:r>
      <w:hyperlink r:id="rId2" w:history="1">
        <w:r w:rsidRPr="00CC0B69">
          <w:rPr>
            <w:rStyle w:val="Hyperlink"/>
            <w:rFonts w:eastAsiaTheme="minorHAnsi" w:cs="Segoe UI"/>
            <w:bCs/>
            <w:szCs w:val="17"/>
            <w:lang w:eastAsia="en-US"/>
          </w:rPr>
          <w:t>https://www.hpa.org.nz/sites/default/files/2020%20Health%20and%20Lifestyles%</w:t>
        </w:r>
        <w:r w:rsidRPr="00CC0B69">
          <w:rPr>
            <w:rStyle w:val="Hyperlink"/>
            <w:rFonts w:eastAsiaTheme="minorHAnsi" w:cs="Segoe UI"/>
            <w:bCs/>
            <w:szCs w:val="17"/>
            <w:lang w:eastAsia="en-US"/>
          </w:rPr>
          <w:br/>
          <w:t>20Survey%20Top%20line%20report.pdf</w:t>
        </w:r>
      </w:hyperlink>
    </w:p>
  </w:footnote>
  <w:footnote w:id="6">
    <w:p w14:paraId="19A39263" w14:textId="77777777" w:rsidR="00B657AF" w:rsidRDefault="00B657AF" w:rsidP="002B68B9">
      <w:pPr>
        <w:pStyle w:val="FootnoteText"/>
        <w:rPr>
          <w:rFonts w:cstheme="minorHAnsi"/>
        </w:rPr>
      </w:pPr>
      <w:r w:rsidRPr="00C61A96">
        <w:rPr>
          <w:rStyle w:val="FootnoteReference"/>
          <w:rFonts w:cstheme="minorHAnsi"/>
        </w:rPr>
        <w:footnoteRef/>
      </w:r>
      <w:r w:rsidRPr="00C61A96">
        <w:rPr>
          <w:rFonts w:cstheme="minorHAnsi"/>
        </w:rPr>
        <w:t xml:space="preserve"> DIA. Gambling expenditure</w:t>
      </w:r>
      <w:r>
        <w:rPr>
          <w:rFonts w:cstheme="minorHAnsi"/>
        </w:rPr>
        <w:t xml:space="preserve"> webpage on the DIA website at URL:</w:t>
      </w:r>
      <w:r w:rsidRPr="00C61A96">
        <w:rPr>
          <w:rFonts w:cstheme="minorHAnsi"/>
        </w:rPr>
        <w:t xml:space="preserve"> </w:t>
      </w:r>
      <w:hyperlink r:id="rId3" w:history="1">
        <w:r w:rsidRPr="00675410">
          <w:rPr>
            <w:rStyle w:val="Hyperlink"/>
            <w:rFonts w:cstheme="minorHAnsi"/>
          </w:rPr>
          <w:t>www.dia.govt.nz/gambling-statistics-expenditure</w:t>
        </w:r>
      </w:hyperlink>
    </w:p>
    <w:p w14:paraId="33339B3C" w14:textId="77777777" w:rsidR="00B657AF" w:rsidRPr="00C61A96" w:rsidRDefault="00B657AF" w:rsidP="002B68B9">
      <w:pPr>
        <w:pStyle w:val="FootnoteText"/>
        <w:rPr>
          <w:rFonts w:cstheme="minorHAnsi"/>
        </w:rPr>
      </w:pPr>
    </w:p>
  </w:footnote>
  <w:footnote w:id="7">
    <w:p w14:paraId="09CC6E80" w14:textId="77777777" w:rsidR="00B657AF" w:rsidRPr="0074574E" w:rsidRDefault="00B657AF" w:rsidP="002B68B9">
      <w:pPr>
        <w:pStyle w:val="FootnoteText"/>
        <w:rPr>
          <w:rFonts w:cstheme="minorHAnsi"/>
          <w:bCs/>
          <w:lang w:val="en-US"/>
        </w:rPr>
      </w:pPr>
      <w:r w:rsidRPr="00C61A96">
        <w:rPr>
          <w:rStyle w:val="FootnoteReference"/>
          <w:rFonts w:cstheme="minorHAnsi"/>
        </w:rPr>
        <w:footnoteRef/>
      </w:r>
      <w:r w:rsidRPr="00C61A96">
        <w:rPr>
          <w:rFonts w:cstheme="minorHAnsi"/>
        </w:rPr>
        <w:t xml:space="preserve"> Thimasarn-Anwar T, Squire H, Trowland H, et al. 2017. </w:t>
      </w:r>
      <w:r w:rsidRPr="00C61A96">
        <w:rPr>
          <w:rFonts w:cstheme="minorHAnsi"/>
          <w:i/>
          <w:iCs/>
        </w:rPr>
        <w:t>Gambling Report: Results from the 2016 Health and Lifestyles Survey</w:t>
      </w:r>
      <w:r w:rsidRPr="00C61A96">
        <w:rPr>
          <w:rFonts w:cstheme="minorHAnsi"/>
        </w:rPr>
        <w:t xml:space="preserve">. Wellington: Te Hiringa Hauora. URL: </w:t>
      </w:r>
      <w:hyperlink r:id="rId4" w:history="1">
        <w:r w:rsidRPr="00125D58">
          <w:rPr>
            <w:rStyle w:val="Hyperlink"/>
            <w:rFonts w:cstheme="minorHAnsi"/>
          </w:rPr>
          <w:t>www.hpa.org.nz/research-library/research-publications/new-zealanders-participation-in-gambling-results-from-the-2016-health-and-lifestyles-survey</w:t>
        </w:r>
      </w:hyperlink>
      <w:r>
        <w:rPr>
          <w:rFonts w:cstheme="minorHAnsi"/>
          <w:b/>
        </w:rPr>
        <w:t xml:space="preserve"> </w:t>
      </w:r>
      <w:r w:rsidRPr="00AB7997">
        <w:rPr>
          <w:rFonts w:cstheme="minorHAnsi"/>
          <w:bCs/>
        </w:rPr>
        <w:t xml:space="preserve">(accessed </w:t>
      </w:r>
      <w:r>
        <w:rPr>
          <w:rFonts w:cstheme="minorHAnsi"/>
          <w:bCs/>
        </w:rPr>
        <w:t>31 July 2024)</w:t>
      </w:r>
      <w:r w:rsidRPr="0074574E">
        <w:rPr>
          <w:rFonts w:cstheme="minorHAnsi"/>
          <w:bCs/>
        </w:rPr>
        <w:t>.</w:t>
      </w:r>
    </w:p>
  </w:footnote>
  <w:footnote w:id="8">
    <w:p w14:paraId="02B7D19C" w14:textId="77777777" w:rsidR="00B657AF" w:rsidRPr="004B65B9" w:rsidRDefault="00B657AF" w:rsidP="002B68B9">
      <w:pPr>
        <w:pStyle w:val="FootnoteText"/>
      </w:pPr>
      <w:r w:rsidRPr="004B65B9">
        <w:rPr>
          <w:rStyle w:val="FootnoteReference"/>
          <w:rFonts w:asciiTheme="minorHAnsi" w:hAnsiTheme="minorHAnsi" w:cstheme="minorHAnsi"/>
          <w:sz w:val="20"/>
        </w:rPr>
        <w:footnoteRef/>
      </w:r>
      <w:r w:rsidRPr="004B65B9">
        <w:rPr>
          <w:rStyle w:val="FootnoteReference"/>
          <w:rFonts w:asciiTheme="minorHAnsi" w:hAnsiTheme="minorHAnsi" w:cstheme="minorHAnsi"/>
          <w:sz w:val="20"/>
        </w:rPr>
        <w:t xml:space="preserve"> </w:t>
      </w:r>
      <w:r>
        <w:t xml:space="preserve">Central Queensland University and Auckland University of Technology. 2017. </w:t>
      </w:r>
      <w:r w:rsidRPr="004B65B9">
        <w:rPr>
          <w:i/>
        </w:rPr>
        <w:t xml:space="preserve">Measuring the Burden of Gambling Harm in New Zealand. </w:t>
      </w:r>
      <w:r w:rsidRPr="00AB7997">
        <w:rPr>
          <w:iCs/>
        </w:rPr>
        <w:t xml:space="preserve">Wellington: Ministry of Health. URL: </w:t>
      </w:r>
      <w:hyperlink r:id="rId5" w:history="1">
        <w:r w:rsidRPr="00E3115F">
          <w:rPr>
            <w:rStyle w:val="Hyperlink"/>
            <w:rFonts w:asciiTheme="minorHAnsi" w:hAnsiTheme="minorHAnsi" w:cstheme="minorHAnsi"/>
            <w:iCs/>
            <w:sz w:val="20"/>
          </w:rPr>
          <w:t>www.health.govt.nz/publication/measuring-burden-gambling-harm-new-zealand</w:t>
        </w:r>
      </w:hyperlink>
      <w:r w:rsidRPr="00E3115F">
        <w:t xml:space="preserve"> </w:t>
      </w:r>
      <w:r w:rsidRPr="004B65B9">
        <w:t>(accessed 18 July 2021). The research found</w:t>
      </w:r>
      <w:r>
        <w:t xml:space="preserve"> that,</w:t>
      </w:r>
      <w:r w:rsidRPr="004B65B9">
        <w:t xml:space="preserve"> while some of this ‘burden of harm’ was concentrated in problem gamblers, at a population level</w:t>
      </w:r>
      <w:r>
        <w:t>,</w:t>
      </w:r>
      <w:r w:rsidRPr="004B65B9">
        <w:t xml:space="preserve"> the majority of harm is accruing to those who are not necessarily problem gamblers.</w:t>
      </w:r>
    </w:p>
  </w:footnote>
  <w:footnote w:id="9">
    <w:p w14:paraId="60F10E7C" w14:textId="77777777" w:rsidR="00B657AF" w:rsidRPr="00C61A96" w:rsidRDefault="00B657AF" w:rsidP="002B68B9">
      <w:pPr>
        <w:pStyle w:val="FootnoteText"/>
        <w:spacing w:before="0"/>
      </w:pPr>
      <w:r w:rsidRPr="00C61A96">
        <w:rPr>
          <w:rStyle w:val="FootnoteReference"/>
          <w:rFonts w:cstheme="minorHAnsi"/>
          <w:sz w:val="20"/>
        </w:rPr>
        <w:footnoteRef/>
      </w:r>
      <w:r w:rsidRPr="00C61A96">
        <w:t xml:space="preserve"> Te Hiringa Hauora. 2021. Results from the Health and Lifestyles Survey 2020.</w:t>
      </w:r>
    </w:p>
  </w:footnote>
  <w:footnote w:id="10">
    <w:p w14:paraId="1AC58976" w14:textId="38F8DE8E" w:rsidR="00B657AF" w:rsidRPr="0052135E" w:rsidRDefault="00B657AF" w:rsidP="002B68B9">
      <w:pPr>
        <w:pStyle w:val="pf0"/>
        <w:spacing w:before="0" w:beforeAutospacing="0"/>
        <w:ind w:left="284" w:hanging="284"/>
        <w:rPr>
          <w:rFonts w:ascii="Arial" w:hAnsi="Arial" w:cs="Arial"/>
          <w:sz w:val="20"/>
          <w:szCs w:val="20"/>
        </w:rPr>
      </w:pPr>
      <w:r w:rsidRPr="002B68B9">
        <w:rPr>
          <w:rStyle w:val="FootnoteReference"/>
          <w:rFonts w:ascii="Segoe UI" w:hAnsi="Segoe UI" w:cstheme="minorHAnsi"/>
          <w:sz w:val="20"/>
          <w:szCs w:val="20"/>
          <w:lang w:eastAsia="en-GB"/>
        </w:rPr>
        <w:footnoteRef/>
      </w:r>
      <w:r>
        <w:t xml:space="preserve"> </w:t>
      </w:r>
      <w:hyperlink r:id="rId6" w:history="1">
        <w:r w:rsidRPr="002B68B9">
          <w:rPr>
            <w:rStyle w:val="Hyperlink"/>
            <w:rFonts w:ascii="Segoe UI" w:hAnsi="Segoe UI" w:cs="Segoe UI"/>
            <w:sz w:val="17"/>
            <w:szCs w:val="17"/>
          </w:rPr>
          <w:t>https://kupe.healthpromotion.govt.nz/#!/gambling/gambling-harm/hls-household-level-gambling-harm</w:t>
        </w:r>
      </w:hyperlink>
    </w:p>
    <w:p w14:paraId="27373941" w14:textId="77777777" w:rsidR="00B657AF" w:rsidRDefault="00B657AF" w:rsidP="002B68B9">
      <w:pPr>
        <w:pStyle w:val="FootnoteText"/>
      </w:pPr>
    </w:p>
  </w:footnote>
  <w:footnote w:id="11">
    <w:p w14:paraId="33334642" w14:textId="77777777" w:rsidR="00B657AF" w:rsidRPr="004B65B9" w:rsidRDefault="00B657AF" w:rsidP="002B68B9">
      <w:pPr>
        <w:pStyle w:val="FootnoteText"/>
        <w:rPr>
          <w:rFonts w:cstheme="minorHAnsi"/>
          <w:lang w:val="en-US"/>
        </w:rPr>
      </w:pPr>
      <w:r w:rsidRPr="004B65B9">
        <w:rPr>
          <w:rStyle w:val="FootnoteReference"/>
          <w:rFonts w:cstheme="minorHAnsi"/>
        </w:rPr>
        <w:footnoteRef/>
      </w:r>
      <w:r w:rsidRPr="004B65B9">
        <w:rPr>
          <w:rFonts w:cstheme="minorHAnsi"/>
        </w:rPr>
        <w:t xml:space="preserve"> </w:t>
      </w:r>
      <w:r>
        <w:rPr>
          <w:rFonts w:cstheme="minorHAnsi"/>
        </w:rPr>
        <w:t>For more information, see the Gambling harm i</w:t>
      </w:r>
      <w:r w:rsidRPr="004B65B9">
        <w:rPr>
          <w:rFonts w:cstheme="minorHAnsi"/>
        </w:rPr>
        <w:t xml:space="preserve">ntervention </w:t>
      </w:r>
      <w:r>
        <w:rPr>
          <w:rFonts w:cstheme="minorHAnsi"/>
        </w:rPr>
        <w:t>services</w:t>
      </w:r>
      <w:r w:rsidRPr="004B65B9">
        <w:rPr>
          <w:rFonts w:cstheme="minorHAnsi"/>
        </w:rPr>
        <w:t xml:space="preserve"> data web</w:t>
      </w:r>
      <w:r>
        <w:rPr>
          <w:rFonts w:cstheme="minorHAnsi"/>
        </w:rPr>
        <w:t>page on the Ministry’s website at URL</w:t>
      </w:r>
      <w:r w:rsidRPr="004B65B9">
        <w:rPr>
          <w:rFonts w:cstheme="minorHAnsi"/>
        </w:rPr>
        <w:t xml:space="preserve">: </w:t>
      </w:r>
      <w:hyperlink r:id="rId7" w:history="1">
        <w:r w:rsidRPr="00723E5D">
          <w:rPr>
            <w:rStyle w:val="Hyperlink"/>
            <w:rFonts w:cstheme="minorHAnsi"/>
          </w:rPr>
          <w:t>www.health.govt.nz/our-work/mental-health-and-addiction/addiction/gambling/service-user-data/intervention-client-data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B657AF" w14:paraId="11530A0D" w14:textId="77777777" w:rsidTr="008F2B72">
      <w:trPr>
        <w:cantSplit/>
      </w:trPr>
      <w:tc>
        <w:tcPr>
          <w:tcW w:w="5210" w:type="dxa"/>
          <w:vAlign w:val="center"/>
        </w:tcPr>
        <w:p w14:paraId="2BDE3162" w14:textId="4E67EED4" w:rsidR="00B657AF" w:rsidRDefault="00B657AF" w:rsidP="00B26F0F">
          <w:pPr>
            <w:pStyle w:val="Header"/>
          </w:pPr>
          <w:bookmarkStart w:id="1" w:name="_Hlk110933925"/>
          <w:r>
            <w:rPr>
              <w:noProof/>
              <w:lang w:eastAsia="en-NZ"/>
            </w:rPr>
            <w:drawing>
              <wp:inline distT="0" distB="0" distL="0" distR="0" wp14:anchorId="04421456" wp14:editId="7612C822">
                <wp:extent cx="2294626"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B657AF" w:rsidRDefault="00B657AF" w:rsidP="00172194">
          <w:pPr>
            <w:pStyle w:val="Header"/>
            <w:jc w:val="right"/>
          </w:pPr>
          <w:r>
            <w:rPr>
              <w:noProof/>
            </w:rPr>
            <w:drawing>
              <wp:anchor distT="0" distB="0" distL="114300" distR="114300" simplePos="0" relativeHeight="251658240" behindDoc="0" locked="0" layoutInCell="1" allowOverlap="1" wp14:anchorId="1D75C094" wp14:editId="3E6835A7">
                <wp:simplePos x="0" y="0"/>
                <wp:positionH relativeFrom="column">
                  <wp:posOffset>1362710</wp:posOffset>
                </wp:positionH>
                <wp:positionV relativeFrom="paragraph">
                  <wp:posOffset>-1905</wp:posOffset>
                </wp:positionV>
                <wp:extent cx="1519555" cy="718185"/>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tbl>
  <w:p w14:paraId="4AC8EC99" w14:textId="1B35D83E" w:rsidR="00B657AF" w:rsidRDefault="00B6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77777777" w:rsidR="00B657AF" w:rsidRDefault="00B657A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77777777" w:rsidR="00B657AF" w:rsidRDefault="00B657AF"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B657AF" w:rsidRDefault="00B657AF"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B657AF" w:rsidRDefault="00B657AF"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7BDF" w14:textId="77777777" w:rsidR="00B657AF" w:rsidRDefault="00B657AF" w:rsidP="00533B9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B657AF" w:rsidRDefault="00B657A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E2E9" w14:textId="77777777" w:rsidR="00B657AF" w:rsidRDefault="00B657AF" w:rsidP="00533B9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DDE5" w14:textId="77777777" w:rsidR="00B657AF" w:rsidRDefault="00B657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EB2C86"/>
    <w:multiLevelType w:val="hybridMultilevel"/>
    <w:tmpl w:val="8370C3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1AC5BCC"/>
    <w:multiLevelType w:val="multilevel"/>
    <w:tmpl w:val="E2B82BAE"/>
    <w:name w:val="CabNumeric2"/>
    <w:lvl w:ilvl="0">
      <w:start w:val="1"/>
      <w:numFmt w:val="decimal"/>
      <w:pStyle w:val="CabStandard"/>
      <w:lvlText w:val="%1"/>
      <w:lvlJc w:val="left"/>
      <w:pPr>
        <w:tabs>
          <w:tab w:val="num" w:pos="720"/>
        </w:tabs>
        <w:ind w:left="720" w:hanging="720"/>
      </w:pPr>
      <w:rPr>
        <w:rFonts w:ascii="Arial" w:hAnsi="Arial" w:cs="Arial" w:hint="default"/>
        <w:i w:val="0"/>
        <w:iCs/>
        <w:strike w:val="0"/>
        <w:color w:val="auto"/>
      </w:rPr>
    </w:lvl>
    <w:lvl w:ilvl="1">
      <w:start w:val="1"/>
      <w:numFmt w:val="decimal"/>
      <w:lvlText w:val="%1.%2"/>
      <w:lvlJc w:val="left"/>
      <w:pPr>
        <w:tabs>
          <w:tab w:val="num" w:pos="1440"/>
        </w:tabs>
        <w:ind w:left="1440" w:hanging="720"/>
      </w:pPr>
      <w:rPr>
        <w:rFonts w:hint="default"/>
        <w:i w:val="0"/>
        <w:iCs/>
        <w:strike w:val="0"/>
        <w:color w:val="auto"/>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74408"/>
    <w:multiLevelType w:val="hybridMultilevel"/>
    <w:tmpl w:val="DF5C8FFA"/>
    <w:lvl w:ilvl="0" w:tplc="88ACCDC0">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FBD1A"/>
    <w:multiLevelType w:val="hybridMultilevel"/>
    <w:tmpl w:val="45820602"/>
    <w:lvl w:ilvl="0" w:tplc="F884A244">
      <w:start w:val="1"/>
      <w:numFmt w:val="bullet"/>
      <w:pStyle w:val="Tablebullets"/>
      <w:lvlText w:val="·"/>
      <w:lvlJc w:val="left"/>
      <w:pPr>
        <w:ind w:left="720" w:hanging="360"/>
      </w:pPr>
      <w:rPr>
        <w:rFonts w:ascii="Symbol" w:hAnsi="Symbol" w:hint="default"/>
      </w:rPr>
    </w:lvl>
    <w:lvl w:ilvl="1" w:tplc="C5D2B574">
      <w:start w:val="1"/>
      <w:numFmt w:val="bullet"/>
      <w:lvlText w:val="o"/>
      <w:lvlJc w:val="left"/>
      <w:pPr>
        <w:ind w:left="1440" w:hanging="360"/>
      </w:pPr>
      <w:rPr>
        <w:rFonts w:ascii="Courier New" w:hAnsi="Courier New" w:hint="default"/>
      </w:rPr>
    </w:lvl>
    <w:lvl w:ilvl="2" w:tplc="B794484E">
      <w:start w:val="1"/>
      <w:numFmt w:val="bullet"/>
      <w:lvlText w:val=""/>
      <w:lvlJc w:val="left"/>
      <w:pPr>
        <w:ind w:left="2160" w:hanging="360"/>
      </w:pPr>
      <w:rPr>
        <w:rFonts w:ascii="Wingdings" w:hAnsi="Wingdings" w:hint="default"/>
      </w:rPr>
    </w:lvl>
    <w:lvl w:ilvl="3" w:tplc="62A241FE">
      <w:start w:val="1"/>
      <w:numFmt w:val="bullet"/>
      <w:lvlText w:val=""/>
      <w:lvlJc w:val="left"/>
      <w:pPr>
        <w:ind w:left="2880" w:hanging="360"/>
      </w:pPr>
      <w:rPr>
        <w:rFonts w:ascii="Symbol" w:hAnsi="Symbol" w:hint="default"/>
      </w:rPr>
    </w:lvl>
    <w:lvl w:ilvl="4" w:tplc="10E0CDA4">
      <w:start w:val="1"/>
      <w:numFmt w:val="bullet"/>
      <w:lvlText w:val="o"/>
      <w:lvlJc w:val="left"/>
      <w:pPr>
        <w:ind w:left="3600" w:hanging="360"/>
      </w:pPr>
      <w:rPr>
        <w:rFonts w:ascii="Courier New" w:hAnsi="Courier New" w:hint="default"/>
      </w:rPr>
    </w:lvl>
    <w:lvl w:ilvl="5" w:tplc="8B6066C2">
      <w:start w:val="1"/>
      <w:numFmt w:val="bullet"/>
      <w:lvlText w:val=""/>
      <w:lvlJc w:val="left"/>
      <w:pPr>
        <w:ind w:left="4320" w:hanging="360"/>
      </w:pPr>
      <w:rPr>
        <w:rFonts w:ascii="Wingdings" w:hAnsi="Wingdings" w:hint="default"/>
      </w:rPr>
    </w:lvl>
    <w:lvl w:ilvl="6" w:tplc="9FC6FD98">
      <w:start w:val="1"/>
      <w:numFmt w:val="bullet"/>
      <w:lvlText w:val=""/>
      <w:lvlJc w:val="left"/>
      <w:pPr>
        <w:ind w:left="5040" w:hanging="360"/>
      </w:pPr>
      <w:rPr>
        <w:rFonts w:ascii="Symbol" w:hAnsi="Symbol" w:hint="default"/>
      </w:rPr>
    </w:lvl>
    <w:lvl w:ilvl="7" w:tplc="349A6ECA">
      <w:start w:val="1"/>
      <w:numFmt w:val="bullet"/>
      <w:lvlText w:val="o"/>
      <w:lvlJc w:val="left"/>
      <w:pPr>
        <w:ind w:left="5760" w:hanging="360"/>
      </w:pPr>
      <w:rPr>
        <w:rFonts w:ascii="Courier New" w:hAnsi="Courier New" w:hint="default"/>
      </w:rPr>
    </w:lvl>
    <w:lvl w:ilvl="8" w:tplc="A5EC005A">
      <w:start w:val="1"/>
      <w:numFmt w:val="bullet"/>
      <w:lvlText w:val=""/>
      <w:lvlJc w:val="left"/>
      <w:pPr>
        <w:ind w:left="6480" w:hanging="360"/>
      </w:pPr>
      <w:rPr>
        <w:rFonts w:ascii="Wingdings" w:hAnsi="Wingdings" w:hint="default"/>
      </w:rPr>
    </w:lvl>
  </w:abstractNum>
  <w:abstractNum w:abstractNumId="21"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2"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3" w15:restartNumberingAfterBreak="0">
    <w:nsid w:val="4D9638CA"/>
    <w:multiLevelType w:val="hybridMultilevel"/>
    <w:tmpl w:val="FFFFFFFF"/>
    <w:lvl w:ilvl="0" w:tplc="1292BBB8">
      <w:start w:val="1"/>
      <w:numFmt w:val="bullet"/>
      <w:lvlText w:val="·"/>
      <w:lvlJc w:val="left"/>
      <w:pPr>
        <w:ind w:left="720" w:hanging="360"/>
      </w:pPr>
      <w:rPr>
        <w:rFonts w:ascii="Symbol" w:hAnsi="Symbol" w:hint="default"/>
      </w:rPr>
    </w:lvl>
    <w:lvl w:ilvl="1" w:tplc="299A6024">
      <w:start w:val="1"/>
      <w:numFmt w:val="bullet"/>
      <w:lvlText w:val="o"/>
      <w:lvlJc w:val="left"/>
      <w:pPr>
        <w:ind w:left="1440" w:hanging="360"/>
      </w:pPr>
      <w:rPr>
        <w:rFonts w:ascii="Courier New" w:hAnsi="Courier New" w:hint="default"/>
      </w:rPr>
    </w:lvl>
    <w:lvl w:ilvl="2" w:tplc="A4B2CEEE">
      <w:start w:val="1"/>
      <w:numFmt w:val="bullet"/>
      <w:lvlText w:val=""/>
      <w:lvlJc w:val="left"/>
      <w:pPr>
        <w:ind w:left="2160" w:hanging="360"/>
      </w:pPr>
      <w:rPr>
        <w:rFonts w:ascii="Wingdings" w:hAnsi="Wingdings" w:hint="default"/>
      </w:rPr>
    </w:lvl>
    <w:lvl w:ilvl="3" w:tplc="25103E64">
      <w:start w:val="1"/>
      <w:numFmt w:val="bullet"/>
      <w:lvlText w:val=""/>
      <w:lvlJc w:val="left"/>
      <w:pPr>
        <w:ind w:left="2880" w:hanging="360"/>
      </w:pPr>
      <w:rPr>
        <w:rFonts w:ascii="Symbol" w:hAnsi="Symbol" w:hint="default"/>
      </w:rPr>
    </w:lvl>
    <w:lvl w:ilvl="4" w:tplc="E07A3378">
      <w:start w:val="1"/>
      <w:numFmt w:val="bullet"/>
      <w:lvlText w:val="o"/>
      <w:lvlJc w:val="left"/>
      <w:pPr>
        <w:ind w:left="3600" w:hanging="360"/>
      </w:pPr>
      <w:rPr>
        <w:rFonts w:ascii="Courier New" w:hAnsi="Courier New" w:hint="default"/>
      </w:rPr>
    </w:lvl>
    <w:lvl w:ilvl="5" w:tplc="DEDE8F88">
      <w:start w:val="1"/>
      <w:numFmt w:val="bullet"/>
      <w:lvlText w:val=""/>
      <w:lvlJc w:val="left"/>
      <w:pPr>
        <w:ind w:left="4320" w:hanging="360"/>
      </w:pPr>
      <w:rPr>
        <w:rFonts w:ascii="Wingdings" w:hAnsi="Wingdings" w:hint="default"/>
      </w:rPr>
    </w:lvl>
    <w:lvl w:ilvl="6" w:tplc="D0222FAA">
      <w:start w:val="1"/>
      <w:numFmt w:val="bullet"/>
      <w:lvlText w:val=""/>
      <w:lvlJc w:val="left"/>
      <w:pPr>
        <w:ind w:left="5040" w:hanging="360"/>
      </w:pPr>
      <w:rPr>
        <w:rFonts w:ascii="Symbol" w:hAnsi="Symbol" w:hint="default"/>
      </w:rPr>
    </w:lvl>
    <w:lvl w:ilvl="7" w:tplc="D366A44E">
      <w:start w:val="1"/>
      <w:numFmt w:val="bullet"/>
      <w:lvlText w:val="o"/>
      <w:lvlJc w:val="left"/>
      <w:pPr>
        <w:ind w:left="5760" w:hanging="360"/>
      </w:pPr>
      <w:rPr>
        <w:rFonts w:ascii="Courier New" w:hAnsi="Courier New" w:hint="default"/>
      </w:rPr>
    </w:lvl>
    <w:lvl w:ilvl="8" w:tplc="CE481F8C">
      <w:start w:val="1"/>
      <w:numFmt w:val="bullet"/>
      <w:lvlText w:val=""/>
      <w:lvlJc w:val="left"/>
      <w:pPr>
        <w:ind w:left="6480" w:hanging="360"/>
      </w:pPr>
      <w:rPr>
        <w:rFonts w:ascii="Wingdings" w:hAnsi="Wingdings" w:hint="default"/>
      </w:rPr>
    </w:lvl>
  </w:abstractNum>
  <w:abstractNum w:abstractNumId="24"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25" w15:restartNumberingAfterBreak="0">
    <w:nsid w:val="549B04E2"/>
    <w:multiLevelType w:val="hybridMultilevel"/>
    <w:tmpl w:val="221E658C"/>
    <w:lvl w:ilvl="0" w:tplc="68B08BF2">
      <w:start w:val="1"/>
      <w:numFmt w:val="bullet"/>
      <w:lvlText w:val=""/>
      <w:lvlJc w:val="left"/>
      <w:pPr>
        <w:ind w:left="360" w:hanging="360"/>
      </w:pPr>
      <w:rPr>
        <w:rFonts w:ascii="Symbol" w:hAnsi="Symbol" w:hint="default"/>
      </w:rPr>
    </w:lvl>
    <w:lvl w:ilvl="1" w:tplc="06901BF6">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6011CFE"/>
    <w:multiLevelType w:val="hybridMultilevel"/>
    <w:tmpl w:val="FB989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9"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0" w15:restartNumberingAfterBreak="0">
    <w:nsid w:val="5E4378A3"/>
    <w:multiLevelType w:val="hybridMultilevel"/>
    <w:tmpl w:val="641CD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0AD224C"/>
    <w:multiLevelType w:val="hybridMultilevel"/>
    <w:tmpl w:val="07EE9C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7FC0ECD"/>
    <w:multiLevelType w:val="hybridMultilevel"/>
    <w:tmpl w:val="1A0CBA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4"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5"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6"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7"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9"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1"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2"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F117BE7"/>
    <w:multiLevelType w:val="hybridMultilevel"/>
    <w:tmpl w:val="FB989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0519624">
    <w:abstractNumId w:val="40"/>
  </w:num>
  <w:num w:numId="2" w16cid:durableId="1583370973">
    <w:abstractNumId w:val="33"/>
  </w:num>
  <w:num w:numId="3" w16cid:durableId="207110921">
    <w:abstractNumId w:val="17"/>
  </w:num>
  <w:num w:numId="4" w16cid:durableId="1427845850">
    <w:abstractNumId w:val="19"/>
  </w:num>
  <w:num w:numId="5" w16cid:durableId="807087355">
    <w:abstractNumId w:val="0"/>
  </w:num>
  <w:num w:numId="6" w16cid:durableId="233398198">
    <w:abstractNumId w:val="42"/>
  </w:num>
  <w:num w:numId="7" w16cid:durableId="304162879">
    <w:abstractNumId w:val="13"/>
  </w:num>
  <w:num w:numId="8" w16cid:durableId="1210191051">
    <w:abstractNumId w:val="2"/>
  </w:num>
  <w:num w:numId="9" w16cid:durableId="853541794">
    <w:abstractNumId w:val="39"/>
  </w:num>
  <w:num w:numId="10" w16cid:durableId="1585794420">
    <w:abstractNumId w:val="1"/>
  </w:num>
  <w:num w:numId="11" w16cid:durableId="594217819">
    <w:abstractNumId w:val="37"/>
  </w:num>
  <w:num w:numId="12" w16cid:durableId="880358675">
    <w:abstractNumId w:val="3"/>
  </w:num>
  <w:num w:numId="13" w16cid:durableId="878199634">
    <w:abstractNumId w:val="7"/>
  </w:num>
  <w:num w:numId="14" w16cid:durableId="1154446368">
    <w:abstractNumId w:val="5"/>
  </w:num>
  <w:num w:numId="15" w16cid:durableId="79495296">
    <w:abstractNumId w:val="9"/>
  </w:num>
  <w:num w:numId="16" w16cid:durableId="754590931">
    <w:abstractNumId w:val="27"/>
  </w:num>
  <w:num w:numId="17" w16cid:durableId="968128398">
    <w:abstractNumId w:val="11"/>
  </w:num>
  <w:num w:numId="18" w16cid:durableId="1141919610">
    <w:abstractNumId w:val="35"/>
  </w:num>
  <w:num w:numId="19" w16cid:durableId="2065911584">
    <w:abstractNumId w:val="12"/>
  </w:num>
  <w:num w:numId="20" w16cid:durableId="1790969858">
    <w:abstractNumId w:val="22"/>
  </w:num>
  <w:num w:numId="21" w16cid:durableId="404692975">
    <w:abstractNumId w:val="6"/>
  </w:num>
  <w:num w:numId="22" w16cid:durableId="2036693246">
    <w:abstractNumId w:val="4"/>
  </w:num>
  <w:num w:numId="23" w16cid:durableId="1760979113">
    <w:abstractNumId w:val="29"/>
  </w:num>
  <w:num w:numId="24" w16cid:durableId="46731031">
    <w:abstractNumId w:val="28"/>
  </w:num>
  <w:num w:numId="25" w16cid:durableId="333800722">
    <w:abstractNumId w:val="41"/>
  </w:num>
  <w:num w:numId="26" w16cid:durableId="636835956">
    <w:abstractNumId w:val="14"/>
  </w:num>
  <w:num w:numId="27" w16cid:durableId="511920421">
    <w:abstractNumId w:val="36"/>
  </w:num>
  <w:num w:numId="28" w16cid:durableId="1150559294">
    <w:abstractNumId w:val="34"/>
  </w:num>
  <w:num w:numId="29" w16cid:durableId="85076996">
    <w:abstractNumId w:val="21"/>
  </w:num>
  <w:num w:numId="30" w16cid:durableId="926183917">
    <w:abstractNumId w:val="10"/>
  </w:num>
  <w:num w:numId="31" w16cid:durableId="268775710">
    <w:abstractNumId w:val="38"/>
  </w:num>
  <w:num w:numId="32" w16cid:durableId="2062627426">
    <w:abstractNumId w:val="15"/>
  </w:num>
  <w:num w:numId="33" w16cid:durableId="239021243">
    <w:abstractNumId w:val="16"/>
  </w:num>
  <w:num w:numId="34" w16cid:durableId="620066370">
    <w:abstractNumId w:val="25"/>
  </w:num>
  <w:num w:numId="35" w16cid:durableId="407923470">
    <w:abstractNumId w:val="23"/>
  </w:num>
  <w:num w:numId="36" w16cid:durableId="846746859">
    <w:abstractNumId w:val="20"/>
  </w:num>
  <w:num w:numId="37" w16cid:durableId="1547832781">
    <w:abstractNumId w:val="30"/>
  </w:num>
  <w:num w:numId="38" w16cid:durableId="1712994524">
    <w:abstractNumId w:val="8"/>
  </w:num>
  <w:num w:numId="39" w16cid:durableId="2064864156">
    <w:abstractNumId w:val="26"/>
  </w:num>
  <w:num w:numId="40" w16cid:durableId="2135714595">
    <w:abstractNumId w:val="18"/>
  </w:num>
  <w:num w:numId="41" w16cid:durableId="72899407">
    <w:abstractNumId w:val="24"/>
  </w:num>
  <w:num w:numId="42" w16cid:durableId="1819304338">
    <w:abstractNumId w:val="32"/>
  </w:num>
  <w:num w:numId="43" w16cid:durableId="800808584">
    <w:abstractNumId w:val="31"/>
  </w:num>
  <w:num w:numId="44" w16cid:durableId="558129859">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34CF"/>
    <w:rsid w:val="00025A6F"/>
    <w:rsid w:val="0002618D"/>
    <w:rsid w:val="00030B26"/>
    <w:rsid w:val="00030E84"/>
    <w:rsid w:val="00032C0A"/>
    <w:rsid w:val="00035257"/>
    <w:rsid w:val="00035D68"/>
    <w:rsid w:val="00054B44"/>
    <w:rsid w:val="0006228D"/>
    <w:rsid w:val="0006535E"/>
    <w:rsid w:val="000705B2"/>
    <w:rsid w:val="00072BD6"/>
    <w:rsid w:val="00075B78"/>
    <w:rsid w:val="000763E9"/>
    <w:rsid w:val="00076D0D"/>
    <w:rsid w:val="00082CD6"/>
    <w:rsid w:val="0008437D"/>
    <w:rsid w:val="00085AFE"/>
    <w:rsid w:val="00094800"/>
    <w:rsid w:val="000A247B"/>
    <w:rsid w:val="000A41ED"/>
    <w:rsid w:val="000B0730"/>
    <w:rsid w:val="000D19F4"/>
    <w:rsid w:val="000D58DD"/>
    <w:rsid w:val="000F2AE2"/>
    <w:rsid w:val="000F2BFF"/>
    <w:rsid w:val="000F5C09"/>
    <w:rsid w:val="00102063"/>
    <w:rsid w:val="0010541C"/>
    <w:rsid w:val="00106F93"/>
    <w:rsid w:val="00111D50"/>
    <w:rsid w:val="00113B8E"/>
    <w:rsid w:val="0012053C"/>
    <w:rsid w:val="00122363"/>
    <w:rsid w:val="0012551A"/>
    <w:rsid w:val="001342C7"/>
    <w:rsid w:val="0013585C"/>
    <w:rsid w:val="00137BA1"/>
    <w:rsid w:val="00142261"/>
    <w:rsid w:val="00142954"/>
    <w:rsid w:val="001460E0"/>
    <w:rsid w:val="001472F0"/>
    <w:rsid w:val="00147F71"/>
    <w:rsid w:val="00150A6E"/>
    <w:rsid w:val="0016304B"/>
    <w:rsid w:val="0016468A"/>
    <w:rsid w:val="00172194"/>
    <w:rsid w:val="0017716F"/>
    <w:rsid w:val="0018662D"/>
    <w:rsid w:val="00194B88"/>
    <w:rsid w:val="00196A9E"/>
    <w:rsid w:val="00197427"/>
    <w:rsid w:val="001A21B4"/>
    <w:rsid w:val="001A5CF5"/>
    <w:rsid w:val="001B39D2"/>
    <w:rsid w:val="001B4BF8"/>
    <w:rsid w:val="001B5703"/>
    <w:rsid w:val="001C4326"/>
    <w:rsid w:val="001C665E"/>
    <w:rsid w:val="001D3541"/>
    <w:rsid w:val="001D3E4E"/>
    <w:rsid w:val="001E254A"/>
    <w:rsid w:val="001E6769"/>
    <w:rsid w:val="001E7386"/>
    <w:rsid w:val="001F098A"/>
    <w:rsid w:val="001F45A7"/>
    <w:rsid w:val="00201A01"/>
    <w:rsid w:val="0020754B"/>
    <w:rsid w:val="002104D3"/>
    <w:rsid w:val="00213A33"/>
    <w:rsid w:val="00213F19"/>
    <w:rsid w:val="0021763B"/>
    <w:rsid w:val="002255C1"/>
    <w:rsid w:val="002422D8"/>
    <w:rsid w:val="00246DB1"/>
    <w:rsid w:val="002476B5"/>
    <w:rsid w:val="002520CC"/>
    <w:rsid w:val="0025379F"/>
    <w:rsid w:val="00253ECF"/>
    <w:rsid w:val="002546A1"/>
    <w:rsid w:val="00260F25"/>
    <w:rsid w:val="002628F4"/>
    <w:rsid w:val="00264DA8"/>
    <w:rsid w:val="00270DE1"/>
    <w:rsid w:val="00275D08"/>
    <w:rsid w:val="0028264D"/>
    <w:rsid w:val="002858E3"/>
    <w:rsid w:val="00286A2A"/>
    <w:rsid w:val="00290BE0"/>
    <w:rsid w:val="0029190A"/>
    <w:rsid w:val="00292C5A"/>
    <w:rsid w:val="00295241"/>
    <w:rsid w:val="00296D56"/>
    <w:rsid w:val="002A4DFC"/>
    <w:rsid w:val="002B047D"/>
    <w:rsid w:val="002B32BD"/>
    <w:rsid w:val="002B68B9"/>
    <w:rsid w:val="002B732B"/>
    <w:rsid w:val="002B76A7"/>
    <w:rsid w:val="002C2219"/>
    <w:rsid w:val="002C2552"/>
    <w:rsid w:val="002C380A"/>
    <w:rsid w:val="002D0DF2"/>
    <w:rsid w:val="002D23BD"/>
    <w:rsid w:val="002E0B47"/>
    <w:rsid w:val="002F26C0"/>
    <w:rsid w:val="002F4685"/>
    <w:rsid w:val="002F7213"/>
    <w:rsid w:val="0030382F"/>
    <w:rsid w:val="0030408D"/>
    <w:rsid w:val="003060E4"/>
    <w:rsid w:val="00306D08"/>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0F71"/>
    <w:rsid w:val="003E74C8"/>
    <w:rsid w:val="003E7C46"/>
    <w:rsid w:val="003F1F60"/>
    <w:rsid w:val="003F2106"/>
    <w:rsid w:val="003F529C"/>
    <w:rsid w:val="003F52A7"/>
    <w:rsid w:val="003F7013"/>
    <w:rsid w:val="0040240C"/>
    <w:rsid w:val="00413021"/>
    <w:rsid w:val="0042224C"/>
    <w:rsid w:val="004301C6"/>
    <w:rsid w:val="0043478F"/>
    <w:rsid w:val="0043602B"/>
    <w:rsid w:val="00440BE0"/>
    <w:rsid w:val="00442C1C"/>
    <w:rsid w:val="0044584B"/>
    <w:rsid w:val="00446787"/>
    <w:rsid w:val="00447CB7"/>
    <w:rsid w:val="00455CC9"/>
    <w:rsid w:val="00457CAC"/>
    <w:rsid w:val="00460826"/>
    <w:rsid w:val="00460EA7"/>
    <w:rsid w:val="0046195B"/>
    <w:rsid w:val="0046362D"/>
    <w:rsid w:val="0046596D"/>
    <w:rsid w:val="00472D50"/>
    <w:rsid w:val="00487C04"/>
    <w:rsid w:val="004907E1"/>
    <w:rsid w:val="004A035B"/>
    <w:rsid w:val="004A2108"/>
    <w:rsid w:val="004A38D7"/>
    <w:rsid w:val="004A778C"/>
    <w:rsid w:val="004B48C7"/>
    <w:rsid w:val="004B7C6B"/>
    <w:rsid w:val="004C2E6A"/>
    <w:rsid w:val="004C64B8"/>
    <w:rsid w:val="004D2A2D"/>
    <w:rsid w:val="004D479F"/>
    <w:rsid w:val="004D6689"/>
    <w:rsid w:val="004E1D1D"/>
    <w:rsid w:val="004E5E40"/>
    <w:rsid w:val="004E7AC8"/>
    <w:rsid w:val="004F0C94"/>
    <w:rsid w:val="005019AE"/>
    <w:rsid w:val="00503749"/>
    <w:rsid w:val="00504CF4"/>
    <w:rsid w:val="00504E1D"/>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0B1E"/>
    <w:rsid w:val="005E226E"/>
    <w:rsid w:val="005E2636"/>
    <w:rsid w:val="005F77FC"/>
    <w:rsid w:val="006015D7"/>
    <w:rsid w:val="00601B21"/>
    <w:rsid w:val="006041F0"/>
    <w:rsid w:val="00605C6D"/>
    <w:rsid w:val="006120CA"/>
    <w:rsid w:val="006208F9"/>
    <w:rsid w:val="00624174"/>
    <w:rsid w:val="00626886"/>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67EA0"/>
    <w:rsid w:val="00671078"/>
    <w:rsid w:val="00674666"/>
    <w:rsid w:val="006758CA"/>
    <w:rsid w:val="0067720E"/>
    <w:rsid w:val="00680A04"/>
    <w:rsid w:val="00686D80"/>
    <w:rsid w:val="00693FE2"/>
    <w:rsid w:val="00694895"/>
    <w:rsid w:val="00697E2E"/>
    <w:rsid w:val="006A25A2"/>
    <w:rsid w:val="006A3B87"/>
    <w:rsid w:val="006A7A1C"/>
    <w:rsid w:val="006B0E73"/>
    <w:rsid w:val="006B1E3D"/>
    <w:rsid w:val="006B4A4D"/>
    <w:rsid w:val="006B5695"/>
    <w:rsid w:val="006B7B2E"/>
    <w:rsid w:val="006C78EB"/>
    <w:rsid w:val="006D1660"/>
    <w:rsid w:val="006D63E5"/>
    <w:rsid w:val="006E1753"/>
    <w:rsid w:val="006E3911"/>
    <w:rsid w:val="006F1B67"/>
    <w:rsid w:val="006F4D9C"/>
    <w:rsid w:val="006F56A4"/>
    <w:rsid w:val="0070091D"/>
    <w:rsid w:val="00702854"/>
    <w:rsid w:val="00715EFE"/>
    <w:rsid w:val="0071741C"/>
    <w:rsid w:val="007254F9"/>
    <w:rsid w:val="00742B90"/>
    <w:rsid w:val="0074434D"/>
    <w:rsid w:val="0074676B"/>
    <w:rsid w:val="007570C4"/>
    <w:rsid w:val="007605B8"/>
    <w:rsid w:val="00771B1E"/>
    <w:rsid w:val="00773C95"/>
    <w:rsid w:val="0078171E"/>
    <w:rsid w:val="007830EA"/>
    <w:rsid w:val="0078658E"/>
    <w:rsid w:val="007920E2"/>
    <w:rsid w:val="00792D7B"/>
    <w:rsid w:val="0079566E"/>
    <w:rsid w:val="00795B34"/>
    <w:rsid w:val="007A067F"/>
    <w:rsid w:val="007B1770"/>
    <w:rsid w:val="007B4D3E"/>
    <w:rsid w:val="007B7C70"/>
    <w:rsid w:val="007B7DEB"/>
    <w:rsid w:val="007C0449"/>
    <w:rsid w:val="007D0EF6"/>
    <w:rsid w:val="007D2151"/>
    <w:rsid w:val="007D36D6"/>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0F66"/>
    <w:rsid w:val="0083330F"/>
    <w:rsid w:val="00835945"/>
    <w:rsid w:val="00836165"/>
    <w:rsid w:val="00844E4A"/>
    <w:rsid w:val="0084640C"/>
    <w:rsid w:val="00856088"/>
    <w:rsid w:val="00860826"/>
    <w:rsid w:val="00860E21"/>
    <w:rsid w:val="00863117"/>
    <w:rsid w:val="0086388B"/>
    <w:rsid w:val="008642E5"/>
    <w:rsid w:val="00864488"/>
    <w:rsid w:val="00870A36"/>
    <w:rsid w:val="00872D93"/>
    <w:rsid w:val="00880470"/>
    <w:rsid w:val="00880D94"/>
    <w:rsid w:val="00884FA0"/>
    <w:rsid w:val="00886F64"/>
    <w:rsid w:val="008924DE"/>
    <w:rsid w:val="008A3755"/>
    <w:rsid w:val="008B19DC"/>
    <w:rsid w:val="008B264F"/>
    <w:rsid w:val="008B6F83"/>
    <w:rsid w:val="008B792A"/>
    <w:rsid w:val="008B7FD8"/>
    <w:rsid w:val="008C1108"/>
    <w:rsid w:val="008C1DC0"/>
    <w:rsid w:val="008C2973"/>
    <w:rsid w:val="008C6324"/>
    <w:rsid w:val="008C64C4"/>
    <w:rsid w:val="008D2CDD"/>
    <w:rsid w:val="008D5AF1"/>
    <w:rsid w:val="008D74D5"/>
    <w:rsid w:val="008E0ED1"/>
    <w:rsid w:val="008E3A07"/>
    <w:rsid w:val="008E537B"/>
    <w:rsid w:val="008E682A"/>
    <w:rsid w:val="008F29BE"/>
    <w:rsid w:val="008F2B72"/>
    <w:rsid w:val="008F4AE5"/>
    <w:rsid w:val="008F51EB"/>
    <w:rsid w:val="00900197"/>
    <w:rsid w:val="00902F55"/>
    <w:rsid w:val="009049B7"/>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327F"/>
    <w:rsid w:val="0095565C"/>
    <w:rsid w:val="00963C71"/>
    <w:rsid w:val="00964AB6"/>
    <w:rsid w:val="00966F9A"/>
    <w:rsid w:val="00977B8A"/>
    <w:rsid w:val="00982971"/>
    <w:rsid w:val="009845AD"/>
    <w:rsid w:val="00984835"/>
    <w:rsid w:val="0098639B"/>
    <w:rsid w:val="009933EF"/>
    <w:rsid w:val="00995BA0"/>
    <w:rsid w:val="00997C72"/>
    <w:rsid w:val="009A3779"/>
    <w:rsid w:val="009A418B"/>
    <w:rsid w:val="009A426F"/>
    <w:rsid w:val="009A42D5"/>
    <w:rsid w:val="009A4473"/>
    <w:rsid w:val="009B05C9"/>
    <w:rsid w:val="009B0C01"/>
    <w:rsid w:val="009B286C"/>
    <w:rsid w:val="009B485E"/>
    <w:rsid w:val="009C151C"/>
    <w:rsid w:val="009C440A"/>
    <w:rsid w:val="009D28D8"/>
    <w:rsid w:val="009D301A"/>
    <w:rsid w:val="009D5125"/>
    <w:rsid w:val="009D60B8"/>
    <w:rsid w:val="009D7D4B"/>
    <w:rsid w:val="009E1B40"/>
    <w:rsid w:val="009E36ED"/>
    <w:rsid w:val="009E3C8C"/>
    <w:rsid w:val="009E470C"/>
    <w:rsid w:val="009E6B77"/>
    <w:rsid w:val="009F460A"/>
    <w:rsid w:val="00A03A1D"/>
    <w:rsid w:val="00A043FB"/>
    <w:rsid w:val="00A06BE4"/>
    <w:rsid w:val="00A0729C"/>
    <w:rsid w:val="00A07779"/>
    <w:rsid w:val="00A1166A"/>
    <w:rsid w:val="00A11F32"/>
    <w:rsid w:val="00A20B2E"/>
    <w:rsid w:val="00A24F33"/>
    <w:rsid w:val="00A25069"/>
    <w:rsid w:val="00A257DF"/>
    <w:rsid w:val="00A26065"/>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4DA7"/>
    <w:rsid w:val="00A87C05"/>
    <w:rsid w:val="00A9169D"/>
    <w:rsid w:val="00AA12BC"/>
    <w:rsid w:val="00AA240C"/>
    <w:rsid w:val="00AA4C78"/>
    <w:rsid w:val="00AC101C"/>
    <w:rsid w:val="00AD4CF1"/>
    <w:rsid w:val="00AD5988"/>
    <w:rsid w:val="00AD6293"/>
    <w:rsid w:val="00AF1BA8"/>
    <w:rsid w:val="00AF7800"/>
    <w:rsid w:val="00B00CF5"/>
    <w:rsid w:val="00B072E0"/>
    <w:rsid w:val="00B1007E"/>
    <w:rsid w:val="00B14425"/>
    <w:rsid w:val="00B20765"/>
    <w:rsid w:val="00B253F6"/>
    <w:rsid w:val="00B26675"/>
    <w:rsid w:val="00B26F0F"/>
    <w:rsid w:val="00B305DB"/>
    <w:rsid w:val="00B332F8"/>
    <w:rsid w:val="00B3492B"/>
    <w:rsid w:val="00B34E83"/>
    <w:rsid w:val="00B4646F"/>
    <w:rsid w:val="00B50BA8"/>
    <w:rsid w:val="00B55C7D"/>
    <w:rsid w:val="00B56460"/>
    <w:rsid w:val="00B63038"/>
    <w:rsid w:val="00B64BD8"/>
    <w:rsid w:val="00B657AF"/>
    <w:rsid w:val="00B701D1"/>
    <w:rsid w:val="00B73AF2"/>
    <w:rsid w:val="00B7551A"/>
    <w:rsid w:val="00B773F1"/>
    <w:rsid w:val="00B82FFE"/>
    <w:rsid w:val="00B86AB1"/>
    <w:rsid w:val="00B94B8C"/>
    <w:rsid w:val="00B97F07"/>
    <w:rsid w:val="00BA32CA"/>
    <w:rsid w:val="00BA7EBA"/>
    <w:rsid w:val="00BB241A"/>
    <w:rsid w:val="00BB2A06"/>
    <w:rsid w:val="00BB2CBB"/>
    <w:rsid w:val="00BB302B"/>
    <w:rsid w:val="00BB4198"/>
    <w:rsid w:val="00BB6735"/>
    <w:rsid w:val="00BC03EE"/>
    <w:rsid w:val="00BC0605"/>
    <w:rsid w:val="00BC59F1"/>
    <w:rsid w:val="00BF242C"/>
    <w:rsid w:val="00BF3DE1"/>
    <w:rsid w:val="00BF4843"/>
    <w:rsid w:val="00BF5205"/>
    <w:rsid w:val="00C044FC"/>
    <w:rsid w:val="00C047F3"/>
    <w:rsid w:val="00C05132"/>
    <w:rsid w:val="00C056AC"/>
    <w:rsid w:val="00C12508"/>
    <w:rsid w:val="00C23728"/>
    <w:rsid w:val="00C3026C"/>
    <w:rsid w:val="00C313A9"/>
    <w:rsid w:val="00C441CF"/>
    <w:rsid w:val="00C45AA2"/>
    <w:rsid w:val="00C4792C"/>
    <w:rsid w:val="00C517F1"/>
    <w:rsid w:val="00C55BEF"/>
    <w:rsid w:val="00C601AF"/>
    <w:rsid w:val="00C61A63"/>
    <w:rsid w:val="00C66296"/>
    <w:rsid w:val="00C7394D"/>
    <w:rsid w:val="00C77282"/>
    <w:rsid w:val="00C80348"/>
    <w:rsid w:val="00C84DE5"/>
    <w:rsid w:val="00C86248"/>
    <w:rsid w:val="00C90B31"/>
    <w:rsid w:val="00CA0D6F"/>
    <w:rsid w:val="00CA4C33"/>
    <w:rsid w:val="00CA6F4A"/>
    <w:rsid w:val="00CB6427"/>
    <w:rsid w:val="00CC0B1F"/>
    <w:rsid w:val="00CC0FBE"/>
    <w:rsid w:val="00CD2119"/>
    <w:rsid w:val="00CD237A"/>
    <w:rsid w:val="00CD36AC"/>
    <w:rsid w:val="00CE13A3"/>
    <w:rsid w:val="00CE36BC"/>
    <w:rsid w:val="00CF1747"/>
    <w:rsid w:val="00CF60ED"/>
    <w:rsid w:val="00D05D74"/>
    <w:rsid w:val="00D14910"/>
    <w:rsid w:val="00D20C59"/>
    <w:rsid w:val="00D23323"/>
    <w:rsid w:val="00D2392A"/>
    <w:rsid w:val="00D25FFE"/>
    <w:rsid w:val="00D30BBE"/>
    <w:rsid w:val="00D3214C"/>
    <w:rsid w:val="00D37D80"/>
    <w:rsid w:val="00D4476F"/>
    <w:rsid w:val="00D46B4B"/>
    <w:rsid w:val="00D50573"/>
    <w:rsid w:val="00D53100"/>
    <w:rsid w:val="00D54D50"/>
    <w:rsid w:val="00D560B4"/>
    <w:rsid w:val="00D60A00"/>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A20A3"/>
    <w:rsid w:val="00DB39CF"/>
    <w:rsid w:val="00DB7256"/>
    <w:rsid w:val="00DC0401"/>
    <w:rsid w:val="00DC20BD"/>
    <w:rsid w:val="00DD0BCD"/>
    <w:rsid w:val="00DD447A"/>
    <w:rsid w:val="00DD5718"/>
    <w:rsid w:val="00DE3B20"/>
    <w:rsid w:val="00DE4BEB"/>
    <w:rsid w:val="00DE6C94"/>
    <w:rsid w:val="00DE6FD7"/>
    <w:rsid w:val="00E069F3"/>
    <w:rsid w:val="00E23271"/>
    <w:rsid w:val="00E23F1F"/>
    <w:rsid w:val="00E24F80"/>
    <w:rsid w:val="00E259F3"/>
    <w:rsid w:val="00E30985"/>
    <w:rsid w:val="00E33238"/>
    <w:rsid w:val="00E376B7"/>
    <w:rsid w:val="00E42F5D"/>
    <w:rsid w:val="00E4486C"/>
    <w:rsid w:val="00E460B6"/>
    <w:rsid w:val="00E463F2"/>
    <w:rsid w:val="00E511D5"/>
    <w:rsid w:val="00E53A9F"/>
    <w:rsid w:val="00E60249"/>
    <w:rsid w:val="00E65269"/>
    <w:rsid w:val="00E67033"/>
    <w:rsid w:val="00E7092A"/>
    <w:rsid w:val="00E76D66"/>
    <w:rsid w:val="00E90239"/>
    <w:rsid w:val="00E959FA"/>
    <w:rsid w:val="00EA796A"/>
    <w:rsid w:val="00EB1856"/>
    <w:rsid w:val="00EB271D"/>
    <w:rsid w:val="00EC41FD"/>
    <w:rsid w:val="00EC50CE"/>
    <w:rsid w:val="00EC5B34"/>
    <w:rsid w:val="00ED021E"/>
    <w:rsid w:val="00ED323C"/>
    <w:rsid w:val="00ED3C90"/>
    <w:rsid w:val="00EE2D5C"/>
    <w:rsid w:val="00EE4ADE"/>
    <w:rsid w:val="00EE4DE8"/>
    <w:rsid w:val="00EE5CB7"/>
    <w:rsid w:val="00F024FE"/>
    <w:rsid w:val="00F05AD4"/>
    <w:rsid w:val="00F10EB6"/>
    <w:rsid w:val="00F13F07"/>
    <w:rsid w:val="00F140B2"/>
    <w:rsid w:val="00F235A4"/>
    <w:rsid w:val="00F25970"/>
    <w:rsid w:val="00F311A9"/>
    <w:rsid w:val="00F43509"/>
    <w:rsid w:val="00F5180D"/>
    <w:rsid w:val="00F5202A"/>
    <w:rsid w:val="00F543A1"/>
    <w:rsid w:val="00F63781"/>
    <w:rsid w:val="00F67496"/>
    <w:rsid w:val="00F801BA"/>
    <w:rsid w:val="00F9366A"/>
    <w:rsid w:val="00F9430B"/>
    <w:rsid w:val="00F946C9"/>
    <w:rsid w:val="00FA0EA5"/>
    <w:rsid w:val="00FA74EE"/>
    <w:rsid w:val="00FB380E"/>
    <w:rsid w:val="00FC3711"/>
    <w:rsid w:val="00FC46E7"/>
    <w:rsid w:val="00FC4DFD"/>
    <w:rsid w:val="00FC5D25"/>
    <w:rsid w:val="00FD0D7E"/>
    <w:rsid w:val="00FD3A9D"/>
    <w:rsid w:val="00FD410D"/>
    <w:rsid w:val="00FD4FFB"/>
    <w:rsid w:val="00FD6A66"/>
    <w:rsid w:val="00FE6578"/>
    <w:rsid w:val="00FE6E13"/>
    <w:rsid w:val="00FF15F6"/>
    <w:rsid w:val="00FF527C"/>
    <w:rsid w:val="00FF54C0"/>
    <w:rsid w:val="00FF65CD"/>
    <w:rsid w:val="0ACCD662"/>
    <w:rsid w:val="10A25175"/>
    <w:rsid w:val="2A0389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172194"/>
    <w:pPr>
      <w:keepNext/>
      <w:spacing w:after="360"/>
      <w:outlineLvl w:val="0"/>
    </w:pPr>
    <w:rPr>
      <w:b/>
      <w:color w:val="23305D"/>
      <w:spacing w:val="-10"/>
      <w:sz w:val="60"/>
      <w:szCs w:val="60"/>
      <w:lang w:val="en-GB"/>
    </w:rPr>
  </w:style>
  <w:style w:type="paragraph" w:styleId="Heading2">
    <w:name w:val="heading 2"/>
    <w:basedOn w:val="Normal"/>
    <w:next w:val="Normal"/>
    <w:link w:val="Heading2Char"/>
    <w:uiPriority w:val="1"/>
    <w:qFormat/>
    <w:rsid w:val="002B32BD"/>
    <w:pPr>
      <w:keepNext/>
      <w:spacing w:before="480" w:after="180"/>
      <w:outlineLvl w:val="1"/>
    </w:pPr>
    <w:rPr>
      <w:b/>
      <w:color w:val="0A6AB4"/>
      <w:spacing w:val="-5"/>
      <w:sz w:val="40"/>
      <w:szCs w:val="16"/>
      <w:lang w:val="en-GB"/>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1"/>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uiPriority w:val="1"/>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172194"/>
    <w:rPr>
      <w:rFonts w:ascii="Segoe UI" w:hAnsi="Segoe UI"/>
      <w:b/>
      <w:color w:val="23305D"/>
      <w:spacing w:val="-10"/>
      <w:sz w:val="60"/>
      <w:szCs w:val="60"/>
      <w:lang w:val="en-GB"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2B32BD"/>
    <w:rPr>
      <w:rFonts w:ascii="Segoe UI" w:hAnsi="Segoe UI"/>
      <w:b/>
      <w:color w:val="0A6AB4"/>
      <w:spacing w:val="-5"/>
      <w:sz w:val="40"/>
      <w:szCs w:val="16"/>
      <w:lang w:val="en-GB"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customStyle="1" w:styleId="BulletChar">
    <w:name w:val="Bullet Char"/>
    <w:link w:val="Bullet"/>
    <w:locked/>
    <w:rsid w:val="002B32BD"/>
    <w:rPr>
      <w:rFonts w:ascii="Segoe UI" w:hAnsi="Segoe UI"/>
      <w:sz w:val="21"/>
      <w:lang w:eastAsia="en-GB"/>
    </w:rPr>
  </w:style>
  <w:style w:type="paragraph" w:customStyle="1" w:styleId="CabStandard">
    <w:name w:val="CabStandard"/>
    <w:basedOn w:val="Normal"/>
    <w:link w:val="CabStandardChar"/>
    <w:rsid w:val="002B32BD"/>
    <w:pPr>
      <w:keepLines/>
      <w:numPr>
        <w:numId w:val="33"/>
      </w:numPr>
      <w:spacing w:after="240"/>
    </w:pPr>
    <w:rPr>
      <w:rFonts w:ascii="Times New Roman" w:hAnsi="Times New Roman"/>
      <w:sz w:val="24"/>
      <w:lang w:val="en-GB" w:eastAsia="ja-JP"/>
    </w:rPr>
  </w:style>
  <w:style w:type="paragraph" w:customStyle="1" w:styleId="Second-levelbullets">
    <w:name w:val="Second-level bullets"/>
    <w:basedOn w:val="Bullet"/>
    <w:uiPriority w:val="3"/>
    <w:qFormat/>
    <w:rsid w:val="002B32BD"/>
    <w:pPr>
      <w:keepLines/>
      <w:numPr>
        <w:numId w:val="0"/>
      </w:numPr>
      <w:spacing w:before="0" w:after="160"/>
      <w:ind w:left="851" w:hanging="360"/>
    </w:pPr>
    <w:rPr>
      <w:rFonts w:asciiTheme="minorHAnsi" w:eastAsia="Segoe UI" w:hAnsiTheme="minorHAnsi" w:cstheme="minorHAnsi"/>
      <w:sz w:val="22"/>
      <w:szCs w:val="22"/>
      <w:lang w:val="en-GB" w:eastAsia="ja-JP"/>
    </w:rPr>
  </w:style>
  <w:style w:type="character" w:customStyle="1" w:styleId="CabStandardChar">
    <w:name w:val="CabStandard Char"/>
    <w:basedOn w:val="DefaultParagraphFont"/>
    <w:link w:val="CabStandard"/>
    <w:rsid w:val="002B32BD"/>
    <w:rPr>
      <w:sz w:val="24"/>
      <w:lang w:val="en-GB" w:eastAsia="ja-JP"/>
    </w:rPr>
  </w:style>
  <w:style w:type="character" w:styleId="UnresolvedMention">
    <w:name w:val="Unresolved Mention"/>
    <w:basedOn w:val="DefaultParagraphFont"/>
    <w:uiPriority w:val="99"/>
    <w:semiHidden/>
    <w:unhideWhenUsed/>
    <w:rsid w:val="002B68B9"/>
    <w:rPr>
      <w:color w:val="605E5C"/>
      <w:shd w:val="clear" w:color="auto" w:fill="E1DFDD"/>
    </w:rPr>
  </w:style>
  <w:style w:type="character" w:customStyle="1" w:styleId="FigureChar">
    <w:name w:val="Figure Char"/>
    <w:link w:val="Figure"/>
    <w:locked/>
    <w:rsid w:val="002B68B9"/>
    <w:rPr>
      <w:rFonts w:ascii="Segoe UI" w:hAnsi="Segoe UI"/>
      <w:b/>
      <w:lang w:eastAsia="en-GB"/>
    </w:rPr>
  </w:style>
  <w:style w:type="paragraph" w:customStyle="1" w:styleId="pf0">
    <w:name w:val="pf0"/>
    <w:basedOn w:val="Normal"/>
    <w:rsid w:val="002B68B9"/>
    <w:pPr>
      <w:keepLines/>
      <w:spacing w:before="100" w:beforeAutospacing="1" w:after="100" w:afterAutospacing="1"/>
    </w:pPr>
    <w:rPr>
      <w:rFonts w:ascii="Times New Roman" w:hAnsi="Times New Roman"/>
      <w:sz w:val="24"/>
      <w:szCs w:val="24"/>
      <w:lang w:eastAsia="en-NZ"/>
    </w:rPr>
  </w:style>
  <w:style w:type="paragraph" w:styleId="Caption">
    <w:name w:val="caption"/>
    <w:basedOn w:val="Normal"/>
    <w:next w:val="Normal"/>
    <w:unhideWhenUsed/>
    <w:qFormat/>
    <w:rsid w:val="002B68B9"/>
    <w:pPr>
      <w:spacing w:after="200"/>
    </w:pPr>
    <w:rPr>
      <w:i/>
      <w:iCs/>
      <w:color w:val="1F497D" w:themeColor="text2"/>
      <w:sz w:val="18"/>
      <w:szCs w:val="18"/>
    </w:rPr>
  </w:style>
  <w:style w:type="paragraph" w:customStyle="1" w:styleId="Tablebullets">
    <w:name w:val="Table bullets"/>
    <w:basedOn w:val="ListParagraph"/>
    <w:link w:val="TablebulletsChar"/>
    <w:qFormat/>
    <w:rsid w:val="00457CAC"/>
    <w:pPr>
      <w:keepLines/>
      <w:numPr>
        <w:numId w:val="36"/>
      </w:numPr>
      <w:spacing w:before="60" w:after="60"/>
      <w:ind w:left="284" w:hanging="284"/>
      <w:contextualSpacing w:val="0"/>
    </w:pPr>
    <w:rPr>
      <w:rFonts w:asciiTheme="minorHAnsi" w:eastAsia="Calibri" w:hAnsiTheme="minorHAnsi" w:cstheme="minorHAnsi"/>
      <w:sz w:val="20"/>
      <w:lang w:eastAsia="en-US"/>
    </w:rPr>
  </w:style>
  <w:style w:type="character" w:customStyle="1" w:styleId="TablebulletsChar">
    <w:name w:val="Table bullets Char"/>
    <w:basedOn w:val="DefaultParagraphFont"/>
    <w:link w:val="Tablebullets"/>
    <w:rsid w:val="00457CAC"/>
    <w:rPr>
      <w:rFonts w:asciiTheme="minorHAnsi" w:eastAsia="Calibri" w:hAnsiTheme="minorHAnsi" w:cstheme="minorHAnsi"/>
      <w:lang w:eastAsia="en-US"/>
    </w:rPr>
  </w:style>
  <w:style w:type="paragraph" w:styleId="ListParagraph">
    <w:name w:val="List Paragraph"/>
    <w:aliases w:val="Level 3,List Paragraph1,List Paragraph numbered,List Bullet indent,Normal text,Bullet Normal,numbered,FooterText,Paragraphe de liste1,Bulletr List Paragraph,列出段落,列出段落1,Bullet List,Board paper bullet list,#List Paragraph,target,Rec para,L"/>
    <w:basedOn w:val="Normal"/>
    <w:link w:val="ListParagraphChar"/>
    <w:uiPriority w:val="34"/>
    <w:qFormat/>
    <w:rsid w:val="00457CAC"/>
    <w:pPr>
      <w:ind w:left="720"/>
      <w:contextualSpacing/>
    </w:pPr>
  </w:style>
  <w:style w:type="character" w:customStyle="1" w:styleId="ListParagraphChar">
    <w:name w:val="List Paragraph Char"/>
    <w:aliases w:val="Level 3 Char,List Paragraph1 Char,List Paragraph numbered Char,List Bullet indent Char,Normal text Char,Bullet Normal Char,numbered Char,FooterText Char,Paragraphe de liste1 Char,Bulletr List Paragraph Char,列出段落 Char,列出段落1 Char"/>
    <w:basedOn w:val="DefaultParagraphFont"/>
    <w:link w:val="ListParagraph"/>
    <w:uiPriority w:val="34"/>
    <w:qFormat/>
    <w:rsid w:val="002422D8"/>
    <w:rPr>
      <w:rFonts w:ascii="Segoe UI" w:hAnsi="Segoe UI"/>
      <w:sz w:val="21"/>
      <w:lang w:eastAsia="en-GB"/>
    </w:rPr>
  </w:style>
  <w:style w:type="character" w:customStyle="1" w:styleId="TableTextChar">
    <w:name w:val="TableText Char"/>
    <w:link w:val="TableText"/>
    <w:rsid w:val="008B792A"/>
    <w:rPr>
      <w:rFonts w:ascii="Segoe UI" w:hAnsi="Segoe UI"/>
      <w:sz w:val="18"/>
      <w:lang w:eastAsia="en-GB"/>
    </w:rPr>
  </w:style>
  <w:style w:type="paragraph" w:styleId="TOCHeading">
    <w:name w:val="TOC Heading"/>
    <w:basedOn w:val="Heading1"/>
    <w:next w:val="Normal"/>
    <w:uiPriority w:val="39"/>
    <w:unhideWhenUsed/>
    <w:qFormat/>
    <w:rsid w:val="009049B7"/>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character" w:customStyle="1" w:styleId="ui-provider">
    <w:name w:val="ui-provider"/>
    <w:basedOn w:val="DefaultParagraphFont"/>
    <w:rsid w:val="0066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8.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yperlink" Target="mailto:gamblingharm@health.govt.n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hyperlink" Target="https://consult.health.govt.nz/"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consult.health.govt.nz/"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www.health.govt.nz/publication/strategy-prevent-and-minimise-gambling-harm-2025-26-2027-28" TargetMode="External"/><Relationship Id="rId37" Type="http://schemas.openxmlformats.org/officeDocument/2006/relationships/footer" Target="footer12.xml"/><Relationship Id="rId40" Type="http://schemas.openxmlformats.org/officeDocument/2006/relationships/header" Target="header9.xml"/><Relationship Id="rId45" Type="http://schemas.openxmlformats.org/officeDocument/2006/relationships/hyperlink" Target="mailto:gamblingharm@health.govt.nz"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5.xml"/><Relationship Id="rId28" Type="http://schemas.openxmlformats.org/officeDocument/2006/relationships/hyperlink" Target="https://consult.health.govt.nz/" TargetMode="External"/><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png"/><Relationship Id="rId44" Type="http://schemas.openxmlformats.org/officeDocument/2006/relationships/hyperlink" Target="https://consult.health.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yperlink" Target="mailto:gamblingharm@health.govt.nz" TargetMode="External"/><Relationship Id="rId35" Type="http://schemas.openxmlformats.org/officeDocument/2006/relationships/header" Target="header6.xml"/><Relationship Id="rId43" Type="http://schemas.openxmlformats.org/officeDocument/2006/relationships/hyperlink" Target="https://auc-word-edit.officeapps.live.com/we/wordeditorframe.aspx?ui=en-US&amp;rs=en-NZ&amp;actnavid=eyJjIjo3MDc1ODc1MjF9&amp;wopisrc=https%3A%2F%2Fmohgovtnz.sharepoint.com%2Fsites%2Fmoh-ecm-MentHealSPL%2F_vti_bin%2Fwopi.ashx%2Ffiles%2Fa3806fa4fd9e4b98b488767ab7e69147&amp;wdenableroaming=1&amp;mscc=1&amp;hid=F4E337A1-B0D6-3000-8C5F-80FAED400C7B.0&amp;uih=sharepointcom&amp;wdlcid=en-US&amp;jsapi=1&amp;jsapiver=v2&amp;corrid=209f2671-9f91-15ad-85e0-6c06f0f0173f&amp;usid=209f2671-9f91-15ad-85e0-6c06f0f0173f&amp;newsession=1&amp;sftc=1&amp;uihit=docaspx&amp;muv=1&amp;cac=1&amp;sams=1&amp;mtf=1&amp;sfp=1&amp;sdp=1&amp;hch=1&amp;hwfh=1&amp;dchat=1&amp;sc=%7B%22pmo%22%3A%22https%3A%2F%2Fmohgovtnz.sharepoint.com%22%2C%22pmshare%22%3Atrue%7D&amp;ctp=LeastProtected&amp;rct=Normal&amp;wdorigin=Outlook-Body.Sharing.DirectLink&amp;wdhostclicktime=1719800065323&amp;instantedit=1&amp;wopicomplete=1&amp;wdredirectionreason=Unified_SingleFlush"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dia.govt.nz/gambling-statistics-expenditure" TargetMode="External"/><Relationship Id="rId7" Type="http://schemas.openxmlformats.org/officeDocument/2006/relationships/hyperlink" Target="http://www.health.govt.nz/our-work/mental-health-and-addiction/addiction/gambling/service-user-data/intervention-client-data" TargetMode="External"/><Relationship Id="rId2" Type="http://schemas.openxmlformats.org/officeDocument/2006/relationships/hyperlink" Target="https://www.hpa.org.nz/sites/default/files/2020%20Health%20and%20Lifestyles%20Survey%20Top%20line%20report.pdf" TargetMode="External"/><Relationship Id="rId1" Type="http://schemas.openxmlformats.org/officeDocument/2006/relationships/hyperlink" Target="http://www.hpa.org.nz/our-work/research/publications" TargetMode="External"/><Relationship Id="rId6" Type="http://schemas.openxmlformats.org/officeDocument/2006/relationships/hyperlink" Target="https://kupe.healthpromotion.govt.nz/%23!/gambling/gambling-harm/hls-household-level-gambling-harm" TargetMode="External"/><Relationship Id="rId5" Type="http://schemas.openxmlformats.org/officeDocument/2006/relationships/hyperlink" Target="http://www.health.govt.nz/publication/measuring-burden-gambling-harm-new-zealand" TargetMode="External"/><Relationship Id="rId4" Type="http://schemas.openxmlformats.org/officeDocument/2006/relationships/hyperlink" Target="http://www.hpa.org.nz/research-library/research-publications/new-zealanders-participation-in-gambling-results-from-the-2016-health-and-lifestyles-surve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49" ma:contentTypeDescription="Create a new document." ma:contentTypeScope="" ma:versionID="bee1d29c67ab6bb5282dd1013999878d">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870b4d023e6b60fe012b63a4806e0a7a"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MOHECM-952532665-22144</_dlc_DocId>
    <_dlc_DocIdUrl xmlns="c5b47098-0215-444c-9096-523bda4ac5c6">
      <Url>https://mohgovtnz.sharepoint.com/sites/moh-ecm-MentHealSPL/_layouts/15/DocIdRedir.aspx?ID=MOHECM-952532665-22144</Url>
      <Description>MOHECM-952532665-22144</Description>
    </_dlc_DocIdUrl>
  </documentManagement>
</p:properties>
</file>

<file path=customXml/itemProps1.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2.xml><?xml version="1.0" encoding="utf-8"?>
<ds:datastoreItem xmlns:ds="http://schemas.openxmlformats.org/officeDocument/2006/customXml" ds:itemID="{7CC042D6-2091-4E28-BBA8-46D7C8C49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088DF-9A63-429D-8273-5E41D1BFCC22}">
  <ds:schemaRefs>
    <ds:schemaRef ds:uri="http://schemas.microsoft.com/sharepoint/events"/>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5.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c5b47098-0215-444c-9096-523bda4ac5c6"/>
    <ds:schemaRef ds:uri="d0b61010-d6f3-4072-b934-7bbb13e97771"/>
    <ds:schemaRef ds:uri="54904628-6268-4ac5-9416-97794f1d508d"/>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TotalTime>
  <Pages>1</Pages>
  <Words>9382</Words>
  <Characters>53482</Characters>
  <Application>Microsoft Office Word</Application>
  <DocSecurity>0</DocSecurity>
  <Lines>445</Lines>
  <Paragraphs>125</Paragraphs>
  <ScaleCrop>false</ScaleCrop>
  <Company>Microsoft</Company>
  <LinksUpToDate>false</LinksUpToDate>
  <CharactersWithSpaces>62739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Grain</dc:creator>
  <cp:lastModifiedBy>Nicole Willis</cp:lastModifiedBy>
  <cp:revision>39</cp:revision>
  <cp:lastPrinted>2024-09-11T21:44:00Z</cp:lastPrinted>
  <dcterms:created xsi:type="dcterms:W3CDTF">2024-08-19T11:32:00Z</dcterms:created>
  <dcterms:modified xsi:type="dcterms:W3CDTF">2024-09-11T22:08:00Z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f3ce9dae-6e67-4478-9428-4e607834bfae</vt:lpwstr>
  </property>
  <property fmtid="{D5CDD505-2E9C-101B-9397-08002B2CF9AE}" pid="4" name="MediaServiceImageTags">
    <vt:lpwstr/>
  </property>
</Properties>
</file>