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EDB7" w14:textId="77777777" w:rsidR="00167349" w:rsidRPr="008E49CF" w:rsidRDefault="00167349" w:rsidP="00167349">
      <w:pPr>
        <w:pStyle w:val="MaintitleML"/>
      </w:pPr>
      <w:r>
        <w:t>Ambulatory sensitive (avoidable) hospital admissions, 0-4 years</w:t>
      </w:r>
    </w:p>
    <w:tbl>
      <w:tblPr>
        <w:tblStyle w:val="TableGrid"/>
        <w:tblW w:w="9639" w:type="dxa"/>
        <w:tblInd w:w="-5" w:type="dxa"/>
        <w:tblLayout w:type="fixed"/>
        <w:tblLook w:val="04A0" w:firstRow="1" w:lastRow="0" w:firstColumn="1" w:lastColumn="0" w:noHBand="0" w:noVBand="1"/>
      </w:tblPr>
      <w:tblGrid>
        <w:gridCol w:w="2988"/>
        <w:gridCol w:w="6651"/>
      </w:tblGrid>
      <w:tr w:rsidR="00167349" w:rsidRPr="00AD3169" w14:paraId="2A319A88" w14:textId="77777777" w:rsidTr="00167349">
        <w:trPr>
          <w:trHeight w:val="179"/>
        </w:trPr>
        <w:tc>
          <w:tcPr>
            <w:tcW w:w="9639" w:type="dxa"/>
            <w:gridSpan w:val="2"/>
            <w:shd w:val="clear" w:color="auto" w:fill="7F7F7F" w:themeFill="text1" w:themeFillTint="80"/>
          </w:tcPr>
          <w:p w14:paraId="65027439" w14:textId="77777777" w:rsidR="00167349" w:rsidRPr="00167349" w:rsidRDefault="00167349" w:rsidP="00AE6461">
            <w:pPr>
              <w:spacing w:before="60" w:after="60" w:line="276" w:lineRule="auto"/>
              <w:jc w:val="center"/>
              <w:rPr>
                <w:rFonts w:ascii="Whitney Semibold" w:hAnsi="Whitney Semibold" w:cs="Arial"/>
                <w:b/>
                <w:bCs/>
                <w:color w:val="FFFFFF" w:themeColor="background1"/>
              </w:rPr>
            </w:pPr>
            <w:r w:rsidRPr="00167349">
              <w:rPr>
                <w:rFonts w:ascii="Whitney Semibold" w:hAnsi="Whitney Semibold" w:cs="Arial"/>
                <w:b/>
                <w:bCs/>
                <w:color w:val="FFFFFF" w:themeColor="background1"/>
              </w:rPr>
              <w:t>Technical information</w:t>
            </w:r>
          </w:p>
        </w:tc>
      </w:tr>
      <w:tr w:rsidR="00167349" w:rsidRPr="00AD3169" w14:paraId="0EC17700" w14:textId="77777777" w:rsidTr="00167349">
        <w:trPr>
          <w:trHeight w:val="397"/>
        </w:trPr>
        <w:tc>
          <w:tcPr>
            <w:tcW w:w="2988" w:type="dxa"/>
            <w:shd w:val="clear" w:color="auto" w:fill="7F7F7F" w:themeFill="text1" w:themeFillTint="80"/>
          </w:tcPr>
          <w:p w14:paraId="4C02157E"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Indicator name (short)</w:t>
            </w:r>
          </w:p>
        </w:tc>
        <w:tc>
          <w:tcPr>
            <w:tcW w:w="6651" w:type="dxa"/>
            <w:shd w:val="clear" w:color="auto" w:fill="FFFFFF" w:themeFill="background1"/>
          </w:tcPr>
          <w:p w14:paraId="06FF648F" w14:textId="77777777" w:rsidR="00167349" w:rsidRPr="008E49CF" w:rsidRDefault="00167349" w:rsidP="00AE6461">
            <w:pPr>
              <w:pStyle w:val="TabletextML"/>
            </w:pPr>
            <w:r w:rsidRPr="003057E8">
              <w:rPr>
                <w:rFonts w:ascii="Whitney Semibold" w:hAnsi="Whitney Semibold"/>
              </w:rPr>
              <w:t>ASH (0-4)</w:t>
            </w:r>
          </w:p>
        </w:tc>
      </w:tr>
      <w:tr w:rsidR="00167349" w:rsidRPr="00AD3169" w14:paraId="6DCB42FC" w14:textId="77777777" w:rsidTr="00167349">
        <w:trPr>
          <w:trHeight w:val="340"/>
        </w:trPr>
        <w:tc>
          <w:tcPr>
            <w:tcW w:w="2988" w:type="dxa"/>
            <w:shd w:val="clear" w:color="auto" w:fill="7F7F7F" w:themeFill="text1" w:themeFillTint="80"/>
          </w:tcPr>
          <w:p w14:paraId="2EFF058E"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Description</w:t>
            </w:r>
          </w:p>
        </w:tc>
        <w:tc>
          <w:tcPr>
            <w:tcW w:w="6651" w:type="dxa"/>
            <w:shd w:val="clear" w:color="auto" w:fill="FFFFFF" w:themeFill="background1"/>
          </w:tcPr>
          <w:p w14:paraId="0884E82A" w14:textId="77777777" w:rsidR="00167349" w:rsidRPr="003057E8" w:rsidRDefault="00167349" w:rsidP="00AE6461">
            <w:pPr>
              <w:pStyle w:val="TabletextML"/>
              <w:rPr>
                <w:rFonts w:ascii="Whitney Semibold" w:hAnsi="Whitney Semibold"/>
              </w:rPr>
            </w:pPr>
            <w:r w:rsidRPr="003057E8">
              <w:rPr>
                <w:rFonts w:ascii="Whitney Semibold" w:hAnsi="Whitney Semibold"/>
              </w:rPr>
              <w:t>ASH events per capita, rate for 0-4 years.</w:t>
            </w:r>
          </w:p>
        </w:tc>
      </w:tr>
      <w:tr w:rsidR="00167349" w:rsidRPr="00AD3169" w14:paraId="764D6FBA" w14:textId="77777777" w:rsidTr="00167349">
        <w:trPr>
          <w:trHeight w:val="340"/>
        </w:trPr>
        <w:tc>
          <w:tcPr>
            <w:tcW w:w="2988" w:type="dxa"/>
            <w:shd w:val="clear" w:color="auto" w:fill="7F7F7F" w:themeFill="text1" w:themeFillTint="80"/>
          </w:tcPr>
          <w:p w14:paraId="29D5B270"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Rationale</w:t>
            </w:r>
          </w:p>
        </w:tc>
        <w:tc>
          <w:tcPr>
            <w:tcW w:w="6651" w:type="dxa"/>
            <w:shd w:val="clear" w:color="auto" w:fill="FFFFFF" w:themeFill="background1"/>
          </w:tcPr>
          <w:p w14:paraId="062B33F4" w14:textId="77777777" w:rsidR="00167349" w:rsidRPr="003057E8" w:rsidRDefault="00167349" w:rsidP="00AE6461">
            <w:pPr>
              <w:pStyle w:val="TabletextML"/>
              <w:rPr>
                <w:rFonts w:ascii="Whitney Semibold" w:hAnsi="Whitney Semibold"/>
              </w:rPr>
            </w:pPr>
            <w:r>
              <w:rPr>
                <w:rFonts w:ascii="Whitney Semibold" w:hAnsi="Whitney Semibold"/>
              </w:rPr>
              <w:t>An a</w:t>
            </w:r>
            <w:r w:rsidRPr="003057E8">
              <w:rPr>
                <w:rFonts w:ascii="Whitney Semibold" w:hAnsi="Whitney Semibold"/>
              </w:rPr>
              <w:t xml:space="preserve">mbulatory sensitive hospitalisation (ASH) is a hospital event for a condition </w:t>
            </w:r>
            <w:proofErr w:type="gramStart"/>
            <w:r w:rsidRPr="003057E8">
              <w:rPr>
                <w:rFonts w:ascii="Whitney Semibold" w:hAnsi="Whitney Semibold"/>
              </w:rPr>
              <w:t>that  the</w:t>
            </w:r>
            <w:proofErr w:type="gramEnd"/>
            <w:r w:rsidRPr="003057E8">
              <w:rPr>
                <w:rFonts w:ascii="Whitney Semibold" w:hAnsi="Whitney Semibold"/>
              </w:rPr>
              <w:t xml:space="preserve"> hospitalisation could potentially have been avoided by the provision of appropriate health interventions and early disease management, normally delivered in primary care and community based care settings e.g. general practitioners, dentists, nurses and other health professionals. </w:t>
            </w:r>
          </w:p>
          <w:p w14:paraId="4274D322" w14:textId="77777777" w:rsidR="00167349" w:rsidRPr="003057E8" w:rsidRDefault="00167349" w:rsidP="00AE6461">
            <w:pPr>
              <w:pStyle w:val="TabletextML"/>
              <w:rPr>
                <w:rFonts w:ascii="Whitney Semibold" w:hAnsi="Whitney Semibold"/>
              </w:rPr>
            </w:pPr>
            <w:r w:rsidRPr="003057E8">
              <w:rPr>
                <w:rFonts w:ascii="Whitney Semibold" w:hAnsi="Whitney Semibold"/>
              </w:rPr>
              <w:t xml:space="preserve">It has been suggested that admission rates can serve as proxy markers for primary care access and quality, with high admission rates indicating difficulty in accessing care in a timely fashion, poor care coordination or care continuity, or structural constraints such as limited supply of primary care workers. </w:t>
            </w:r>
          </w:p>
          <w:p w14:paraId="16D4A1BC" w14:textId="77777777" w:rsidR="00167349" w:rsidRPr="003057E8" w:rsidRDefault="00167349" w:rsidP="00AE6461">
            <w:pPr>
              <w:pStyle w:val="TabletextML"/>
              <w:rPr>
                <w:rFonts w:ascii="Whitney Semibold" w:hAnsi="Whitney Semibold"/>
              </w:rPr>
            </w:pPr>
            <w:r w:rsidRPr="003057E8">
              <w:rPr>
                <w:rFonts w:ascii="Whitney Semibold" w:hAnsi="Whitney Semibold"/>
              </w:rPr>
              <w:t>ASH rates are also determined by other factors, such as hospital emergency departments and admission policies, health literacy and overall social determinants of health. This measure can also highlight variation between different population groups</w:t>
            </w:r>
            <w:r>
              <w:rPr>
                <w:rFonts w:ascii="Whitney Semibold" w:hAnsi="Whitney Semibold"/>
              </w:rPr>
              <w:t>.</w:t>
            </w:r>
          </w:p>
        </w:tc>
      </w:tr>
      <w:tr w:rsidR="00167349" w:rsidRPr="00AD3169" w14:paraId="17CADEA4" w14:textId="77777777" w:rsidTr="00167349">
        <w:trPr>
          <w:trHeight w:val="340"/>
        </w:trPr>
        <w:tc>
          <w:tcPr>
            <w:tcW w:w="2988" w:type="dxa"/>
            <w:shd w:val="clear" w:color="auto" w:fill="7F7F7F" w:themeFill="text1" w:themeFillTint="80"/>
          </w:tcPr>
          <w:p w14:paraId="13C428E3" w14:textId="77777777" w:rsidR="00167349" w:rsidRPr="00167349" w:rsidRDefault="00167349" w:rsidP="00AE6461">
            <w:pPr>
              <w:spacing w:before="60" w:after="60" w:line="276" w:lineRule="auto"/>
              <w:rPr>
                <w:rFonts w:ascii="Whitney Semibold" w:hAnsi="Whitney Semibold" w:cs="Arial"/>
                <w:b/>
                <w:bCs/>
                <w:color w:val="FFFFFF" w:themeColor="background1"/>
              </w:rPr>
            </w:pPr>
            <w:bookmarkStart w:id="0" w:name="_Hlk93389011"/>
            <w:r w:rsidRPr="00167349">
              <w:rPr>
                <w:rFonts w:ascii="Whitney Semibold" w:hAnsi="Whitney Semibold" w:cs="Arial"/>
                <w:b/>
                <w:bCs/>
                <w:color w:val="FFFFFF" w:themeColor="background1"/>
              </w:rPr>
              <w:t>Numerator</w:t>
            </w:r>
          </w:p>
        </w:tc>
        <w:tc>
          <w:tcPr>
            <w:tcW w:w="6651" w:type="dxa"/>
            <w:shd w:val="clear" w:color="auto" w:fill="auto"/>
          </w:tcPr>
          <w:p w14:paraId="676138BF" w14:textId="77777777" w:rsidR="00167349" w:rsidRPr="003057E8" w:rsidRDefault="00167349" w:rsidP="00AE6461">
            <w:pPr>
              <w:pStyle w:val="TabletextML"/>
              <w:rPr>
                <w:rFonts w:ascii="Whitney Semibold" w:hAnsi="Whitney Semibold"/>
              </w:rPr>
            </w:pPr>
            <w:r w:rsidRPr="003057E8">
              <w:rPr>
                <w:rFonts w:ascii="Whitney Semibold" w:hAnsi="Whitney Semibold"/>
              </w:rPr>
              <w:t>ASH events for 0-4 years: Inpatient hospital events where the hospital admission is acute (or elective for selected dental conditions), the patient is 0 to 4 years, and the event primary diagnosis is included in the list of ASH conditions.</w:t>
            </w:r>
          </w:p>
        </w:tc>
      </w:tr>
      <w:bookmarkEnd w:id="0"/>
      <w:tr w:rsidR="00167349" w:rsidRPr="00AD3169" w14:paraId="39C2B607" w14:textId="77777777" w:rsidTr="00167349">
        <w:trPr>
          <w:trHeight w:val="283"/>
        </w:trPr>
        <w:tc>
          <w:tcPr>
            <w:tcW w:w="2988" w:type="dxa"/>
            <w:shd w:val="clear" w:color="auto" w:fill="7F7F7F" w:themeFill="text1" w:themeFillTint="80"/>
          </w:tcPr>
          <w:p w14:paraId="5CCBF897"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Denominator</w:t>
            </w:r>
          </w:p>
        </w:tc>
        <w:tc>
          <w:tcPr>
            <w:tcW w:w="6651" w:type="dxa"/>
            <w:shd w:val="clear" w:color="auto" w:fill="auto"/>
          </w:tcPr>
          <w:p w14:paraId="180CAFD8" w14:textId="77777777" w:rsidR="00167349" w:rsidRPr="003057E8" w:rsidRDefault="00167349" w:rsidP="00AE6461">
            <w:pPr>
              <w:pStyle w:val="TabletextML"/>
              <w:rPr>
                <w:rFonts w:ascii="Whitney Semibold" w:hAnsi="Whitney Semibold"/>
              </w:rPr>
            </w:pPr>
            <w:r w:rsidRPr="003057E8">
              <w:rPr>
                <w:rFonts w:ascii="Whitney Semibold" w:hAnsi="Whitney Semibold"/>
              </w:rPr>
              <w:t>Children aged 0 to 4 years old.</w:t>
            </w:r>
          </w:p>
        </w:tc>
      </w:tr>
      <w:tr w:rsidR="00167349" w:rsidRPr="00AD3169" w14:paraId="4344F2A2" w14:textId="77777777" w:rsidTr="00167349">
        <w:trPr>
          <w:trHeight w:val="474"/>
        </w:trPr>
        <w:tc>
          <w:tcPr>
            <w:tcW w:w="2988" w:type="dxa"/>
            <w:shd w:val="clear" w:color="auto" w:fill="7F7F7F" w:themeFill="text1" w:themeFillTint="80"/>
          </w:tcPr>
          <w:p w14:paraId="7DCE0C19"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Inclusions</w:t>
            </w:r>
          </w:p>
        </w:tc>
        <w:tc>
          <w:tcPr>
            <w:tcW w:w="6651" w:type="dxa"/>
            <w:shd w:val="clear" w:color="auto" w:fill="auto"/>
          </w:tcPr>
          <w:p w14:paraId="64B307F3" w14:textId="77777777" w:rsidR="00167349" w:rsidRPr="003057E8" w:rsidRDefault="00167349" w:rsidP="00AE6461">
            <w:pPr>
              <w:pStyle w:val="TabletextML"/>
              <w:rPr>
                <w:rFonts w:ascii="Whitney Semibold" w:hAnsi="Whitney Semibold"/>
              </w:rPr>
            </w:pPr>
            <w:r w:rsidRPr="003057E8">
              <w:rPr>
                <w:rFonts w:ascii="Whitney Semibold" w:hAnsi="Whitney Semibold"/>
              </w:rPr>
              <w:t>See appendix for list of ASH conditions included.</w:t>
            </w:r>
          </w:p>
        </w:tc>
      </w:tr>
      <w:tr w:rsidR="00167349" w:rsidRPr="00AD3169" w14:paraId="1DE59D6F" w14:textId="77777777" w:rsidTr="00167349">
        <w:trPr>
          <w:trHeight w:val="336"/>
        </w:trPr>
        <w:tc>
          <w:tcPr>
            <w:tcW w:w="2988" w:type="dxa"/>
            <w:shd w:val="clear" w:color="auto" w:fill="7F7F7F" w:themeFill="text1" w:themeFillTint="80"/>
          </w:tcPr>
          <w:p w14:paraId="471D0645"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Exclusions</w:t>
            </w:r>
          </w:p>
        </w:tc>
        <w:tc>
          <w:tcPr>
            <w:tcW w:w="6651" w:type="dxa"/>
            <w:shd w:val="clear" w:color="auto" w:fill="auto"/>
          </w:tcPr>
          <w:p w14:paraId="3F86619A" w14:textId="77777777" w:rsidR="00167349" w:rsidRPr="003057E8" w:rsidRDefault="00167349" w:rsidP="00AE6461">
            <w:pPr>
              <w:pStyle w:val="TabletextML"/>
              <w:rPr>
                <w:rFonts w:ascii="Whitney Semibold" w:hAnsi="Whitney Semibold"/>
              </w:rPr>
            </w:pPr>
            <w:r w:rsidRPr="003057E8">
              <w:rPr>
                <w:rFonts w:ascii="Whitney Semibold" w:hAnsi="Whitney Semibold"/>
              </w:rPr>
              <w:t xml:space="preserve">Non-casemix events </w:t>
            </w:r>
          </w:p>
          <w:p w14:paraId="215B374D" w14:textId="77777777" w:rsidR="00167349" w:rsidRPr="003057E8" w:rsidRDefault="00167349" w:rsidP="00AE6461">
            <w:pPr>
              <w:pStyle w:val="TabletextML"/>
              <w:rPr>
                <w:rFonts w:ascii="Whitney Semibold" w:hAnsi="Whitney Semibold"/>
              </w:rPr>
            </w:pPr>
            <w:r w:rsidRPr="003057E8">
              <w:rPr>
                <w:rFonts w:ascii="Whitney Semibold" w:hAnsi="Whitney Semibold"/>
              </w:rPr>
              <w:t xml:space="preserve">Neonates, i.e. patients less than 29 days old at admission </w:t>
            </w:r>
          </w:p>
          <w:p w14:paraId="43653D18" w14:textId="77777777" w:rsidR="00167349" w:rsidRPr="003057E8" w:rsidRDefault="00167349" w:rsidP="00AE6461">
            <w:pPr>
              <w:pStyle w:val="TabletextML"/>
              <w:rPr>
                <w:rFonts w:ascii="Whitney Semibold" w:hAnsi="Whitney Semibold"/>
              </w:rPr>
            </w:pPr>
            <w:r w:rsidRPr="003057E8">
              <w:rPr>
                <w:rFonts w:ascii="Whitney Semibold" w:hAnsi="Whitney Semibold"/>
              </w:rPr>
              <w:t>Events with an overseas or unknown DHB of domicile</w:t>
            </w:r>
          </w:p>
        </w:tc>
      </w:tr>
      <w:tr w:rsidR="00167349" w:rsidRPr="00AD3169" w14:paraId="3173DFBF" w14:textId="77777777" w:rsidTr="00167349">
        <w:trPr>
          <w:trHeight w:val="742"/>
        </w:trPr>
        <w:tc>
          <w:tcPr>
            <w:tcW w:w="2988" w:type="dxa"/>
            <w:shd w:val="clear" w:color="auto" w:fill="7F7F7F" w:themeFill="text1" w:themeFillTint="80"/>
          </w:tcPr>
          <w:p w14:paraId="0CD56B64"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Note for calculation</w:t>
            </w:r>
          </w:p>
        </w:tc>
        <w:tc>
          <w:tcPr>
            <w:tcW w:w="6651" w:type="dxa"/>
            <w:shd w:val="clear" w:color="auto" w:fill="auto"/>
          </w:tcPr>
          <w:p w14:paraId="72859A6A" w14:textId="77777777" w:rsidR="00167349" w:rsidRPr="003057E8" w:rsidRDefault="00167349" w:rsidP="00AE6461">
            <w:pPr>
              <w:pStyle w:val="TabletextML"/>
              <w:rPr>
                <w:rFonts w:ascii="Whitney Semibold" w:hAnsi="Whitney Semibold"/>
              </w:rPr>
            </w:pPr>
            <w:r w:rsidRPr="003057E8">
              <w:rPr>
                <w:rFonts w:ascii="Whitney Semibold" w:hAnsi="Whitney Semibold"/>
              </w:rPr>
              <w:t xml:space="preserve">Unit of measure: Rate is number of events per 100,000 </w:t>
            </w:r>
            <w:proofErr w:type="gramStart"/>
            <w:r w:rsidRPr="003057E8">
              <w:rPr>
                <w:rFonts w:ascii="Whitney Semibold" w:hAnsi="Whitney Semibold"/>
              </w:rPr>
              <w:t>population</w:t>
            </w:r>
            <w:proofErr w:type="gramEnd"/>
          </w:p>
          <w:p w14:paraId="0A81D277" w14:textId="77777777" w:rsidR="00167349" w:rsidRPr="003057E8" w:rsidRDefault="00167349" w:rsidP="00AE6461">
            <w:pPr>
              <w:pStyle w:val="TabletextML"/>
              <w:rPr>
                <w:rFonts w:ascii="Whitney Semibold" w:hAnsi="Whitney Semibold"/>
              </w:rPr>
            </w:pPr>
            <w:r w:rsidRPr="003057E8">
              <w:rPr>
                <w:rFonts w:ascii="Whitney Semibold" w:hAnsi="Whitney Semibold"/>
              </w:rPr>
              <w:t>District health board assignment: Domicile</w:t>
            </w:r>
          </w:p>
        </w:tc>
      </w:tr>
      <w:tr w:rsidR="00167349" w:rsidRPr="00AD3169" w14:paraId="15DA6C4B" w14:textId="77777777" w:rsidTr="00167349">
        <w:trPr>
          <w:trHeight w:val="413"/>
        </w:trPr>
        <w:tc>
          <w:tcPr>
            <w:tcW w:w="2988" w:type="dxa"/>
            <w:shd w:val="clear" w:color="auto" w:fill="7F7F7F" w:themeFill="text1" w:themeFillTint="80"/>
          </w:tcPr>
          <w:p w14:paraId="455B64EC"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Data sources</w:t>
            </w:r>
          </w:p>
        </w:tc>
        <w:tc>
          <w:tcPr>
            <w:tcW w:w="6651" w:type="dxa"/>
            <w:shd w:val="clear" w:color="auto" w:fill="auto"/>
          </w:tcPr>
          <w:p w14:paraId="5E3B96F6" w14:textId="77777777" w:rsidR="00167349" w:rsidRPr="003057E8" w:rsidRDefault="00167349" w:rsidP="00AE6461">
            <w:pPr>
              <w:pStyle w:val="TabletextML"/>
              <w:rPr>
                <w:rFonts w:ascii="Whitney Semibold" w:hAnsi="Whitney Semibold"/>
              </w:rPr>
            </w:pPr>
            <w:r w:rsidRPr="003057E8">
              <w:rPr>
                <w:rFonts w:ascii="Whitney Semibold" w:hAnsi="Whitney Semibold"/>
              </w:rPr>
              <w:t>National minimum dataset (Hospital Inpatient Events) NMDS</w:t>
            </w:r>
          </w:p>
          <w:p w14:paraId="2F1B446B" w14:textId="77777777" w:rsidR="00167349" w:rsidRPr="003057E8" w:rsidRDefault="00167349" w:rsidP="00AE6461">
            <w:pPr>
              <w:pStyle w:val="TabletextML"/>
              <w:rPr>
                <w:rFonts w:ascii="Whitney Semibold" w:hAnsi="Whitney Semibold"/>
              </w:rPr>
            </w:pPr>
            <w:r w:rsidRPr="003057E8">
              <w:rPr>
                <w:rFonts w:ascii="Whitney Semibold" w:hAnsi="Whitney Semibold"/>
              </w:rPr>
              <w:t xml:space="preserve">Population projections </w:t>
            </w:r>
          </w:p>
          <w:p w14:paraId="441C89AC" w14:textId="77777777" w:rsidR="00167349" w:rsidRPr="003057E8" w:rsidRDefault="00167349" w:rsidP="00AE6461">
            <w:pPr>
              <w:pStyle w:val="TabletextML"/>
              <w:rPr>
                <w:rFonts w:ascii="Whitney Semibold" w:hAnsi="Whitney Semibold"/>
              </w:rPr>
            </w:pPr>
            <w:r w:rsidRPr="003057E8">
              <w:rPr>
                <w:rFonts w:ascii="Whitney Semibold" w:hAnsi="Whitney Semibold"/>
              </w:rPr>
              <w:t>PHO registration dataset</w:t>
            </w:r>
          </w:p>
        </w:tc>
      </w:tr>
      <w:tr w:rsidR="00167349" w:rsidRPr="00AD3169" w14:paraId="7CBC313A" w14:textId="77777777" w:rsidTr="00167349">
        <w:trPr>
          <w:trHeight w:val="478"/>
        </w:trPr>
        <w:tc>
          <w:tcPr>
            <w:tcW w:w="2988" w:type="dxa"/>
            <w:shd w:val="clear" w:color="auto" w:fill="7F7F7F" w:themeFill="text1" w:themeFillTint="80"/>
          </w:tcPr>
          <w:p w14:paraId="777946CB"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t>Suppression rule</w:t>
            </w:r>
          </w:p>
        </w:tc>
        <w:tc>
          <w:tcPr>
            <w:tcW w:w="6651" w:type="dxa"/>
            <w:shd w:val="clear" w:color="auto" w:fill="auto"/>
          </w:tcPr>
          <w:p w14:paraId="029DD9E1" w14:textId="77777777" w:rsidR="00167349" w:rsidRPr="003057E8" w:rsidRDefault="00167349" w:rsidP="00AE6461">
            <w:pPr>
              <w:pStyle w:val="TabletextML"/>
              <w:rPr>
                <w:rFonts w:ascii="Whitney Semibold" w:hAnsi="Whitney Semibold"/>
              </w:rPr>
            </w:pPr>
            <w:r w:rsidRPr="003057E8">
              <w:rPr>
                <w:rFonts w:ascii="Whitney Semibold" w:hAnsi="Whitney Semibold"/>
              </w:rPr>
              <w:t xml:space="preserve">Ethnicity: Pacific ethnicity is only defined in 7 DHBs with relatively large Pacific population and patients. These DHBs are Auckland, </w:t>
            </w:r>
            <w:proofErr w:type="spellStart"/>
            <w:r w:rsidRPr="003057E8">
              <w:rPr>
                <w:rFonts w:ascii="Whitney Semibold" w:hAnsi="Whitney Semibold"/>
              </w:rPr>
              <w:t>Waitematā</w:t>
            </w:r>
            <w:proofErr w:type="spellEnd"/>
            <w:r w:rsidRPr="003057E8">
              <w:rPr>
                <w:rFonts w:ascii="Whitney Semibold" w:hAnsi="Whitney Semibold"/>
              </w:rPr>
              <w:t xml:space="preserve">, Counties Manukau, Waikato, Hawke's Bay, Capital and Coast, Hutt Valley, Canterbury. For other DHBs, Pacific is grouped into other. </w:t>
            </w:r>
          </w:p>
        </w:tc>
      </w:tr>
      <w:tr w:rsidR="00167349" w:rsidRPr="00AD3169" w14:paraId="7D4A011F" w14:textId="77777777" w:rsidTr="00167349">
        <w:trPr>
          <w:trHeight w:val="794"/>
        </w:trPr>
        <w:tc>
          <w:tcPr>
            <w:tcW w:w="2988" w:type="dxa"/>
            <w:shd w:val="clear" w:color="auto" w:fill="7F7F7F" w:themeFill="text1" w:themeFillTint="80"/>
          </w:tcPr>
          <w:p w14:paraId="5AB96985" w14:textId="77777777" w:rsidR="00167349" w:rsidRPr="00167349" w:rsidRDefault="00167349" w:rsidP="00AE6461">
            <w:pPr>
              <w:spacing w:before="60" w:after="60" w:line="276" w:lineRule="auto"/>
              <w:rPr>
                <w:rFonts w:ascii="Whitney Semibold" w:hAnsi="Whitney Semibold" w:cs="Arial"/>
                <w:b/>
                <w:bCs/>
                <w:color w:val="FFFFFF" w:themeColor="background1"/>
              </w:rPr>
            </w:pPr>
            <w:r w:rsidRPr="00167349">
              <w:rPr>
                <w:rFonts w:ascii="Whitney Semibold" w:hAnsi="Whitney Semibold" w:cs="Arial"/>
                <w:b/>
                <w:bCs/>
                <w:color w:val="FFFFFF" w:themeColor="background1"/>
              </w:rPr>
              <w:lastRenderedPageBreak/>
              <w:t>Notes</w:t>
            </w:r>
          </w:p>
        </w:tc>
        <w:tc>
          <w:tcPr>
            <w:tcW w:w="6651" w:type="dxa"/>
          </w:tcPr>
          <w:p w14:paraId="1611F001" w14:textId="77777777" w:rsidR="00167349" w:rsidRPr="003057E8" w:rsidRDefault="00167349" w:rsidP="00AE6461">
            <w:pPr>
              <w:pStyle w:val="TabletextML"/>
              <w:rPr>
                <w:rFonts w:ascii="Whitney Semibold" w:hAnsi="Whitney Semibold"/>
              </w:rPr>
            </w:pPr>
            <w:r w:rsidRPr="003057E8">
              <w:rPr>
                <w:rFonts w:ascii="Whitney Semibold" w:hAnsi="Whitney Semibold"/>
              </w:rPr>
              <w:t>Conditions are based on primary diagnosis.</w:t>
            </w:r>
          </w:p>
          <w:p w14:paraId="4931244A" w14:textId="77777777" w:rsidR="00167349" w:rsidRPr="003057E8" w:rsidRDefault="00167349" w:rsidP="00AE6461">
            <w:pPr>
              <w:pStyle w:val="TabletextML"/>
              <w:rPr>
                <w:rFonts w:ascii="Whitney Semibold" w:hAnsi="Whitney Semibold"/>
              </w:rPr>
            </w:pPr>
            <w:r w:rsidRPr="003057E8">
              <w:rPr>
                <w:rFonts w:ascii="Whitney Semibold" w:hAnsi="Whitney Semibold"/>
              </w:rPr>
              <w:t>Age is calculated at admission.</w:t>
            </w:r>
          </w:p>
        </w:tc>
      </w:tr>
    </w:tbl>
    <w:p w14:paraId="1B1A0517" w14:textId="77777777" w:rsidR="00167349" w:rsidRDefault="00167349" w:rsidP="00167349">
      <w:pPr>
        <w:spacing w:line="276" w:lineRule="auto"/>
        <w:rPr>
          <w:rFonts w:ascii="Whitney" w:eastAsia="Segoe UI" w:hAnsi="Whitney" w:cs="Segoe UI"/>
          <w:b/>
          <w:bCs/>
          <w:color w:val="293868"/>
          <w:sz w:val="24"/>
          <w:szCs w:val="24"/>
        </w:rPr>
      </w:pPr>
    </w:p>
    <w:p w14:paraId="5041FC86" w14:textId="77777777" w:rsidR="00167349" w:rsidRDefault="00167349" w:rsidP="00167349">
      <w:pPr>
        <w:spacing w:line="276" w:lineRule="auto"/>
        <w:rPr>
          <w:rFonts w:ascii="Whitney" w:eastAsia="Segoe UI" w:hAnsi="Whitney" w:cs="Segoe UI"/>
          <w:b/>
          <w:bCs/>
          <w:color w:val="293868"/>
          <w:sz w:val="24"/>
          <w:szCs w:val="24"/>
        </w:rPr>
      </w:pPr>
    </w:p>
    <w:p w14:paraId="102B2565" w14:textId="77777777" w:rsidR="00594A3B" w:rsidRDefault="00594A3B"/>
    <w:p w14:paraId="1DA33ECA" w14:textId="77777777" w:rsidR="00167349" w:rsidRDefault="00167349"/>
    <w:p w14:paraId="666ED0E3" w14:textId="77777777" w:rsidR="00167349" w:rsidRDefault="00167349"/>
    <w:p w14:paraId="5D0073DE" w14:textId="77777777" w:rsidR="00167349" w:rsidRDefault="00167349"/>
    <w:sectPr w:rsidR="001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Book">
    <w:altName w:val="Calibri"/>
    <w:panose1 w:val="00000000000000000000"/>
    <w:charset w:val="00"/>
    <w:family w:val="modern"/>
    <w:notTrueType/>
    <w:pitch w:val="variable"/>
    <w:sig w:usb0="A00002FF" w:usb1="4000004A" w:usb2="00000000" w:usb3="00000000" w:csb0="0000009F" w:csb1="00000000"/>
  </w:font>
  <w:font w:name="Arial">
    <w:panose1 w:val="020B0604020202020204"/>
    <w:charset w:val="00"/>
    <w:family w:val="swiss"/>
    <w:pitch w:val="variable"/>
    <w:sig w:usb0="E0002EFF" w:usb1="C000785B" w:usb2="00000009" w:usb3="00000000" w:csb0="000001FF" w:csb1="00000000"/>
  </w:font>
  <w:font w:name="Whitney Semibold">
    <w:altName w:val="Calibri"/>
    <w:panose1 w:val="00000000000000000000"/>
    <w:charset w:val="00"/>
    <w:family w:val="modern"/>
    <w:notTrueType/>
    <w:pitch w:val="variable"/>
    <w:sig w:usb0="A00000AF" w:usb1="50002048" w:usb2="00000000" w:usb3="00000000" w:csb0="00000111" w:csb1="00000000"/>
  </w:font>
  <w:font w:name="Whitney">
    <w:altName w:val="Cambria"/>
    <w:panose1 w:val="00000000000000000000"/>
    <w:charset w:val="00"/>
    <w:family w:val="modern"/>
    <w:notTrueType/>
    <w:pitch w:val="variable"/>
    <w:sig w:usb0="A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49"/>
    <w:rsid w:val="00167349"/>
    <w:rsid w:val="00594A3B"/>
    <w:rsid w:val="00B824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B958"/>
  <w15:chartTrackingRefBased/>
  <w15:docId w15:val="{DD3A4F91-6D1A-4519-8A63-F3D8E092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4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3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ML">
    <w:name w:val="Table text ML"/>
    <w:basedOn w:val="Normal"/>
    <w:link w:val="TabletextMLChar"/>
    <w:qFormat/>
    <w:rsid w:val="00167349"/>
    <w:pPr>
      <w:spacing w:before="60" w:after="60" w:line="276" w:lineRule="auto"/>
    </w:pPr>
    <w:rPr>
      <w:rFonts w:ascii="Whitney Book" w:hAnsi="Whitney Book" w:cs="Arial"/>
    </w:rPr>
  </w:style>
  <w:style w:type="character" w:customStyle="1" w:styleId="TabletextMLChar">
    <w:name w:val="Table text ML Char"/>
    <w:basedOn w:val="DefaultParagraphFont"/>
    <w:link w:val="TabletextML"/>
    <w:rsid w:val="00167349"/>
    <w:rPr>
      <w:rFonts w:ascii="Whitney Book" w:hAnsi="Whitney Book" w:cs="Arial"/>
      <w:kern w:val="0"/>
      <w14:ligatures w14:val="none"/>
    </w:rPr>
  </w:style>
  <w:style w:type="paragraph" w:customStyle="1" w:styleId="MaintitleML">
    <w:name w:val="Main title ML"/>
    <w:basedOn w:val="Normal"/>
    <w:link w:val="MaintitleMLChar"/>
    <w:qFormat/>
    <w:rsid w:val="00167349"/>
    <w:pPr>
      <w:spacing w:line="276" w:lineRule="auto"/>
    </w:pPr>
    <w:rPr>
      <w:rFonts w:ascii="Whitney Semibold" w:hAnsi="Whitney Semibold" w:cs="Arial"/>
      <w:sz w:val="32"/>
      <w:szCs w:val="32"/>
    </w:rPr>
  </w:style>
  <w:style w:type="character" w:customStyle="1" w:styleId="MaintitleMLChar">
    <w:name w:val="Main title ML Char"/>
    <w:basedOn w:val="DefaultParagraphFont"/>
    <w:link w:val="MaintitleML"/>
    <w:rsid w:val="00167349"/>
    <w:rPr>
      <w:rFonts w:ascii="Whitney Semibold" w:hAnsi="Whitney Semibold" w:cs="Arial"/>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Stotzer</dc:creator>
  <cp:keywords/>
  <dc:description/>
  <cp:lastModifiedBy>Odile Stotzer</cp:lastModifiedBy>
  <cp:revision>1</cp:revision>
  <dcterms:created xsi:type="dcterms:W3CDTF">2024-09-27T01:36:00Z</dcterms:created>
  <dcterms:modified xsi:type="dcterms:W3CDTF">2024-09-27T01:54:00Z</dcterms:modified>
</cp:coreProperties>
</file>