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55161" w14:textId="00056756" w:rsidR="00C86248" w:rsidRPr="00926083" w:rsidRDefault="00835945" w:rsidP="002B32BD">
      <w:pPr>
        <w:pStyle w:val="Title"/>
        <w:ind w:right="2835"/>
      </w:pPr>
      <w:r w:rsidRPr="00835945">
        <w:t>Strategy to Prevent and Minimise Gambling Harm 2025/26 to 2027/28</w:t>
      </w:r>
    </w:p>
    <w:p w14:paraId="2B4FAC6A" w14:textId="4E56BA52" w:rsidR="00C05132" w:rsidRDefault="003D29F1" w:rsidP="00926083">
      <w:pPr>
        <w:pStyle w:val="Subhead"/>
      </w:pPr>
      <w:r w:rsidRPr="003D29F1">
        <w:t>Plain English Summary</w:t>
      </w:r>
    </w:p>
    <w:p w14:paraId="5C1CCC9F" w14:textId="77777777" w:rsidR="00C05132" w:rsidRDefault="00C05132" w:rsidP="00A06BE4"/>
    <w:p w14:paraId="57E2CB79" w14:textId="77777777" w:rsidR="00142954" w:rsidRPr="00142954" w:rsidRDefault="00142954" w:rsidP="00142954">
      <w:pPr>
        <w:sectPr w:rsidR="00142954" w:rsidRPr="00142954" w:rsidSect="005A79E5">
          <w:headerReference w:type="default" r:id="rId11"/>
          <w:footerReference w:type="default" r:id="rId12"/>
          <w:pgSz w:w="11907" w:h="16834" w:code="9"/>
          <w:pgMar w:top="5670" w:right="1134" w:bottom="1134" w:left="1134" w:header="567" w:footer="851" w:gutter="0"/>
          <w:pgNumType w:start="1"/>
          <w:cols w:space="720"/>
        </w:sectPr>
      </w:pPr>
    </w:p>
    <w:p w14:paraId="358CE3BA" w14:textId="3D2CC85F" w:rsidR="00A80363" w:rsidRPr="00C05132" w:rsidRDefault="003D29F1" w:rsidP="00A63DFF">
      <w:pPr>
        <w:pStyle w:val="Imprint"/>
        <w:spacing w:before="1200"/>
        <w:rPr>
          <w:rFonts w:cs="Segoe UI"/>
        </w:rPr>
      </w:pPr>
      <w:r w:rsidRPr="00C05132">
        <w:rPr>
          <w:rFonts w:cs="Segoe UI"/>
        </w:rPr>
        <w:lastRenderedPageBreak/>
        <w:t xml:space="preserve">Citation: Ministry of Health. </w:t>
      </w:r>
      <w:r>
        <w:rPr>
          <w:rFonts w:cs="Segoe UI"/>
        </w:rPr>
        <w:t>2024.</w:t>
      </w:r>
      <w:r w:rsidRPr="00C05132">
        <w:rPr>
          <w:rFonts w:cs="Segoe UI"/>
        </w:rPr>
        <w:t xml:space="preserve"> </w:t>
      </w:r>
      <w:r>
        <w:rPr>
          <w:rFonts w:cs="Segoe UI"/>
          <w:i/>
        </w:rPr>
        <w:t>Strategy to Prevent and Minimise Gambling Harm 2022/23 to 2024/25: Plain English Summary</w:t>
      </w:r>
      <w:r w:rsidRPr="00C05132">
        <w:rPr>
          <w:rFonts w:cs="Segoe UI"/>
        </w:rPr>
        <w:t>.</w:t>
      </w:r>
      <w:r>
        <w:rPr>
          <w:rFonts w:cs="Segoe UI"/>
        </w:rPr>
        <w:t xml:space="preserve"> </w:t>
      </w:r>
      <w:r w:rsidR="00442C1C" w:rsidRPr="00C05132">
        <w:rPr>
          <w:rFonts w:cs="Segoe UI"/>
        </w:rPr>
        <w:t>Wellington: Ministry of Health.</w:t>
      </w:r>
    </w:p>
    <w:p w14:paraId="7909192E" w14:textId="7BC5E019" w:rsidR="00C86248" w:rsidRDefault="00C86248">
      <w:pPr>
        <w:pStyle w:val="Imprint"/>
      </w:pPr>
      <w:r>
        <w:t xml:space="preserve">Published in </w:t>
      </w:r>
      <w:r w:rsidR="00835945">
        <w:t>August 2024</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5D939440" w14:textId="5ED399B4" w:rsidR="003D29F1" w:rsidRPr="00773F08" w:rsidRDefault="003D29F1" w:rsidP="00773F08">
      <w:pPr>
        <w:rPr>
          <w:rFonts w:cs="Segoe UI"/>
          <w:color w:val="000000"/>
          <w:sz w:val="22"/>
          <w:shd w:val="clear" w:color="auto" w:fill="FFFFFF"/>
        </w:rPr>
      </w:pPr>
      <w:r w:rsidRPr="00773F08">
        <w:t xml:space="preserve">ISBN </w:t>
      </w:r>
      <w:r w:rsidR="00773F08" w:rsidRPr="00773F08">
        <w:rPr>
          <w:rStyle w:val="normaltextrun"/>
          <w:rFonts w:cs="Segoe UI"/>
          <w:color w:val="000000"/>
          <w:sz w:val="20"/>
          <w:shd w:val="clear" w:color="auto" w:fill="FFFFFF"/>
          <w:lang w:val="en-US"/>
        </w:rPr>
        <w:t>978-1-991075-94-9</w:t>
      </w:r>
      <w:r w:rsidR="00773F08" w:rsidRPr="00773F08">
        <w:rPr>
          <w:rStyle w:val="eop"/>
          <w:rFonts w:cs="Segoe UI"/>
          <w:color w:val="000000"/>
          <w:sz w:val="20"/>
          <w:shd w:val="clear" w:color="auto" w:fill="FFFFFF"/>
        </w:rPr>
        <w:t> </w:t>
      </w:r>
      <w:r w:rsidRPr="00773F08">
        <w:br/>
        <w:t>HP</w:t>
      </w:r>
      <w:r w:rsidRPr="009C0F2D">
        <w:t xml:space="preserve"> </w:t>
      </w:r>
      <w:r w:rsidR="00162513">
        <w:t>9046</w:t>
      </w:r>
    </w:p>
    <w:p w14:paraId="48DBDA36" w14:textId="77777777" w:rsidR="00C86248" w:rsidRDefault="008C64C4" w:rsidP="00A63DFF">
      <w:r>
        <w:rPr>
          <w:noProof/>
          <w:lang w:eastAsia="en-NZ"/>
        </w:rPr>
        <w:drawing>
          <wp:inline distT="0" distB="0" distL="0" distR="0" wp14:anchorId="6EF4539D" wp14:editId="7EC1ED81">
            <wp:extent cx="1216825" cy="57627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16825" cy="576270"/>
                    </a:xfrm>
                    <a:prstGeom prst="rect">
                      <a:avLst/>
                    </a:prstGeom>
                    <a:noFill/>
                    <a:ln>
                      <a:noFill/>
                    </a:ln>
                  </pic:spPr>
                </pic:pic>
              </a:graphicData>
            </a:graphic>
          </wp:inline>
        </w:drawing>
      </w:r>
    </w:p>
    <w:p w14:paraId="354F16DF" w14:textId="77777777" w:rsidR="00A63DFF" w:rsidRDefault="00A63DFF" w:rsidP="00A63DFF">
      <w:pPr>
        <w:pStyle w:val="Imprint"/>
        <w:spacing w:before="240" w:after="480"/>
      </w:pPr>
      <w:r>
        <w:t xml:space="preserve">This document is available at </w:t>
      </w:r>
      <w:proofErr w:type="gramStart"/>
      <w:r>
        <w:t>health.govt.nz</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3FC6B2D2" w14:textId="77777777" w:rsidTr="00A63DFF">
        <w:trPr>
          <w:cantSplit/>
        </w:trPr>
        <w:tc>
          <w:tcPr>
            <w:tcW w:w="1526" w:type="dxa"/>
          </w:tcPr>
          <w:p w14:paraId="362D26E7"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4BFD7476" wp14:editId="5569ABB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3A471A"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 xml:space="preserve">You must give appropriate credit, provide a link to the </w:t>
            </w:r>
            <w:proofErr w:type="gramStart"/>
            <w:r w:rsidRPr="00A63DFF">
              <w:rPr>
                <w:rFonts w:cs="Segoe UI"/>
                <w:bCs/>
                <w:sz w:val="15"/>
                <w:szCs w:val="15"/>
              </w:rPr>
              <w:t>licence</w:t>
            </w:r>
            <w:proofErr w:type="gramEnd"/>
            <w:r w:rsidRPr="00A63DFF">
              <w:rPr>
                <w:rFonts w:cs="Segoe UI"/>
                <w:bCs/>
                <w:sz w:val="15"/>
                <w:szCs w:val="15"/>
              </w:rPr>
              <w:t xml:space="preserve"> and indicate if changes were made.</w:t>
            </w:r>
          </w:p>
        </w:tc>
      </w:tr>
    </w:tbl>
    <w:p w14:paraId="44C6FE3A" w14:textId="77777777" w:rsidR="007E74F1" w:rsidRPr="001F45A7" w:rsidRDefault="007E74F1" w:rsidP="00A63DFF"/>
    <w:p w14:paraId="2113CC0B" w14:textId="77777777" w:rsidR="00C86248" w:rsidRDefault="00C86248">
      <w:pPr>
        <w:jc w:val="center"/>
        <w:sectPr w:rsidR="00C86248" w:rsidSect="00C05132">
          <w:footerReference w:type="even" r:id="rId15"/>
          <w:footerReference w:type="default" r:id="rId16"/>
          <w:pgSz w:w="11907" w:h="16834" w:code="9"/>
          <w:pgMar w:top="1701" w:right="2268" w:bottom="1134" w:left="2268" w:header="0" w:footer="0" w:gutter="0"/>
          <w:cols w:space="720"/>
          <w:vAlign w:val="bottom"/>
        </w:sectPr>
      </w:pPr>
    </w:p>
    <w:p w14:paraId="648D4F84" w14:textId="4A32FE51" w:rsidR="00C86248" w:rsidRDefault="00C86248" w:rsidP="00172194">
      <w:pPr>
        <w:pStyle w:val="IntroHead"/>
      </w:pPr>
      <w:bookmarkStart w:id="1" w:name="_Toc405792991"/>
      <w:bookmarkStart w:id="2" w:name="_Toc405793224"/>
      <w:r>
        <w:lastRenderedPageBreak/>
        <w:t>Contents</w:t>
      </w:r>
      <w:bookmarkEnd w:id="1"/>
      <w:bookmarkEnd w:id="2"/>
    </w:p>
    <w:p w14:paraId="3F056CDC" w14:textId="0B6C5751" w:rsidR="00B56138" w:rsidRDefault="00C86248">
      <w:pPr>
        <w:pStyle w:val="TOC1"/>
        <w:rPr>
          <w:rFonts w:asciiTheme="minorHAnsi" w:eastAsiaTheme="minorEastAsia" w:hAnsiTheme="minorHAnsi" w:cstheme="minorBidi"/>
          <w:noProof/>
          <w:sz w:val="22"/>
          <w:szCs w:val="22"/>
          <w:lang w:val="en-AU" w:eastAsia="en-AU"/>
        </w:rPr>
      </w:pPr>
      <w:r>
        <w:rPr>
          <w:b/>
        </w:rPr>
        <w:fldChar w:fldCharType="begin"/>
      </w:r>
      <w:r>
        <w:instrText xml:space="preserve"> TOC \o "1-2" </w:instrText>
      </w:r>
      <w:r>
        <w:rPr>
          <w:b/>
        </w:rPr>
        <w:fldChar w:fldCharType="separate"/>
      </w:r>
      <w:r w:rsidR="00B56138">
        <w:rPr>
          <w:noProof/>
        </w:rPr>
        <w:t>Have your say</w:t>
      </w:r>
      <w:r w:rsidR="00B56138">
        <w:rPr>
          <w:noProof/>
        </w:rPr>
        <w:tab/>
      </w:r>
      <w:r w:rsidR="00B56138">
        <w:rPr>
          <w:noProof/>
        </w:rPr>
        <w:fldChar w:fldCharType="begin"/>
      </w:r>
      <w:r w:rsidR="00B56138">
        <w:rPr>
          <w:noProof/>
        </w:rPr>
        <w:instrText xml:space="preserve"> PAGEREF _Toc175225082 \h </w:instrText>
      </w:r>
      <w:r w:rsidR="00B56138">
        <w:rPr>
          <w:noProof/>
        </w:rPr>
      </w:r>
      <w:r w:rsidR="00B56138">
        <w:rPr>
          <w:noProof/>
        </w:rPr>
        <w:fldChar w:fldCharType="separate"/>
      </w:r>
      <w:r w:rsidR="003D7512">
        <w:rPr>
          <w:noProof/>
        </w:rPr>
        <w:t>1</w:t>
      </w:r>
      <w:r w:rsidR="00B56138">
        <w:rPr>
          <w:noProof/>
        </w:rPr>
        <w:fldChar w:fldCharType="end"/>
      </w:r>
    </w:p>
    <w:p w14:paraId="4E2E00CC" w14:textId="7E9B0FBA" w:rsidR="00B56138" w:rsidRDefault="00B56138">
      <w:pPr>
        <w:pStyle w:val="TOC2"/>
        <w:rPr>
          <w:rFonts w:asciiTheme="minorHAnsi" w:eastAsiaTheme="minorEastAsia" w:hAnsiTheme="minorHAnsi" w:cstheme="minorBidi"/>
          <w:noProof/>
          <w:szCs w:val="22"/>
          <w:lang w:val="en-AU" w:eastAsia="en-AU"/>
        </w:rPr>
      </w:pPr>
      <w:r>
        <w:rPr>
          <w:noProof/>
        </w:rPr>
        <w:t>Make a submission</w:t>
      </w:r>
      <w:r>
        <w:rPr>
          <w:noProof/>
        </w:rPr>
        <w:tab/>
      </w:r>
      <w:r>
        <w:rPr>
          <w:noProof/>
        </w:rPr>
        <w:fldChar w:fldCharType="begin"/>
      </w:r>
      <w:r>
        <w:rPr>
          <w:noProof/>
        </w:rPr>
        <w:instrText xml:space="preserve"> PAGEREF _Toc175225083 \h </w:instrText>
      </w:r>
      <w:r>
        <w:rPr>
          <w:noProof/>
        </w:rPr>
      </w:r>
      <w:r>
        <w:rPr>
          <w:noProof/>
        </w:rPr>
        <w:fldChar w:fldCharType="separate"/>
      </w:r>
      <w:r w:rsidR="003D7512">
        <w:rPr>
          <w:noProof/>
        </w:rPr>
        <w:t>1</w:t>
      </w:r>
      <w:r>
        <w:rPr>
          <w:noProof/>
        </w:rPr>
        <w:fldChar w:fldCharType="end"/>
      </w:r>
    </w:p>
    <w:p w14:paraId="55E179E2" w14:textId="1C488F2E" w:rsidR="00B56138" w:rsidRDefault="00B56138">
      <w:pPr>
        <w:pStyle w:val="TOC2"/>
        <w:rPr>
          <w:rFonts w:asciiTheme="minorHAnsi" w:eastAsiaTheme="minorEastAsia" w:hAnsiTheme="minorHAnsi" w:cstheme="minorBidi"/>
          <w:noProof/>
          <w:szCs w:val="22"/>
          <w:lang w:val="en-AU" w:eastAsia="en-AU"/>
        </w:rPr>
      </w:pPr>
      <w:r>
        <w:rPr>
          <w:noProof/>
        </w:rPr>
        <w:t>Next steps</w:t>
      </w:r>
      <w:r>
        <w:rPr>
          <w:noProof/>
        </w:rPr>
        <w:tab/>
      </w:r>
      <w:r>
        <w:rPr>
          <w:noProof/>
        </w:rPr>
        <w:fldChar w:fldCharType="begin"/>
      </w:r>
      <w:r>
        <w:rPr>
          <w:noProof/>
        </w:rPr>
        <w:instrText xml:space="preserve"> PAGEREF _Toc175225084 \h </w:instrText>
      </w:r>
      <w:r>
        <w:rPr>
          <w:noProof/>
        </w:rPr>
      </w:r>
      <w:r>
        <w:rPr>
          <w:noProof/>
        </w:rPr>
        <w:fldChar w:fldCharType="separate"/>
      </w:r>
      <w:r w:rsidR="003D7512">
        <w:rPr>
          <w:noProof/>
        </w:rPr>
        <w:t>1</w:t>
      </w:r>
      <w:r>
        <w:rPr>
          <w:noProof/>
        </w:rPr>
        <w:fldChar w:fldCharType="end"/>
      </w:r>
    </w:p>
    <w:p w14:paraId="460DC2E5" w14:textId="539AC799" w:rsidR="00B56138" w:rsidRDefault="00B56138">
      <w:pPr>
        <w:pStyle w:val="TOC1"/>
        <w:rPr>
          <w:rFonts w:asciiTheme="minorHAnsi" w:eastAsiaTheme="minorEastAsia" w:hAnsiTheme="minorHAnsi" w:cstheme="minorBidi"/>
          <w:noProof/>
          <w:sz w:val="22"/>
          <w:szCs w:val="22"/>
          <w:lang w:val="en-AU" w:eastAsia="en-AU"/>
        </w:rPr>
      </w:pPr>
      <w:r>
        <w:rPr>
          <w:noProof/>
        </w:rPr>
        <w:t>Introduction</w:t>
      </w:r>
      <w:r>
        <w:rPr>
          <w:noProof/>
        </w:rPr>
        <w:tab/>
      </w:r>
      <w:r>
        <w:rPr>
          <w:noProof/>
        </w:rPr>
        <w:fldChar w:fldCharType="begin"/>
      </w:r>
      <w:r>
        <w:rPr>
          <w:noProof/>
        </w:rPr>
        <w:instrText xml:space="preserve"> PAGEREF _Toc175225085 \h </w:instrText>
      </w:r>
      <w:r>
        <w:rPr>
          <w:noProof/>
        </w:rPr>
      </w:r>
      <w:r>
        <w:rPr>
          <w:noProof/>
        </w:rPr>
        <w:fldChar w:fldCharType="separate"/>
      </w:r>
      <w:r w:rsidR="003D7512">
        <w:rPr>
          <w:noProof/>
        </w:rPr>
        <w:t>2</w:t>
      </w:r>
      <w:r>
        <w:rPr>
          <w:noProof/>
        </w:rPr>
        <w:fldChar w:fldCharType="end"/>
      </w:r>
    </w:p>
    <w:p w14:paraId="18FAA555" w14:textId="28E6AD1B" w:rsidR="00B56138" w:rsidRDefault="00B56138">
      <w:pPr>
        <w:pStyle w:val="TOC2"/>
        <w:rPr>
          <w:rFonts w:asciiTheme="minorHAnsi" w:eastAsiaTheme="minorEastAsia" w:hAnsiTheme="minorHAnsi" w:cstheme="minorBidi"/>
          <w:noProof/>
          <w:szCs w:val="22"/>
          <w:lang w:val="en-AU" w:eastAsia="en-AU"/>
        </w:rPr>
      </w:pPr>
      <w:r>
        <w:rPr>
          <w:noProof/>
        </w:rPr>
        <w:t>Why we want to hear from you</w:t>
      </w:r>
      <w:r>
        <w:rPr>
          <w:noProof/>
        </w:rPr>
        <w:tab/>
      </w:r>
      <w:r>
        <w:rPr>
          <w:noProof/>
        </w:rPr>
        <w:fldChar w:fldCharType="begin"/>
      </w:r>
      <w:r>
        <w:rPr>
          <w:noProof/>
        </w:rPr>
        <w:instrText xml:space="preserve"> PAGEREF _Toc175225086 \h </w:instrText>
      </w:r>
      <w:r>
        <w:rPr>
          <w:noProof/>
        </w:rPr>
      </w:r>
      <w:r>
        <w:rPr>
          <w:noProof/>
        </w:rPr>
        <w:fldChar w:fldCharType="separate"/>
      </w:r>
      <w:r w:rsidR="003D7512">
        <w:rPr>
          <w:noProof/>
        </w:rPr>
        <w:t>2</w:t>
      </w:r>
      <w:r>
        <w:rPr>
          <w:noProof/>
        </w:rPr>
        <w:fldChar w:fldCharType="end"/>
      </w:r>
    </w:p>
    <w:p w14:paraId="62A5750F" w14:textId="6F0F8421" w:rsidR="00B56138" w:rsidRDefault="00B56138">
      <w:pPr>
        <w:pStyle w:val="TOC2"/>
        <w:rPr>
          <w:rFonts w:asciiTheme="minorHAnsi" w:eastAsiaTheme="minorEastAsia" w:hAnsiTheme="minorHAnsi" w:cstheme="minorBidi"/>
          <w:noProof/>
          <w:szCs w:val="22"/>
          <w:lang w:val="en-AU" w:eastAsia="en-AU"/>
        </w:rPr>
      </w:pPr>
      <w:r>
        <w:rPr>
          <w:noProof/>
        </w:rPr>
        <w:t>What we know right now</w:t>
      </w:r>
      <w:r>
        <w:rPr>
          <w:noProof/>
        </w:rPr>
        <w:tab/>
      </w:r>
      <w:r>
        <w:rPr>
          <w:noProof/>
        </w:rPr>
        <w:fldChar w:fldCharType="begin"/>
      </w:r>
      <w:r>
        <w:rPr>
          <w:noProof/>
        </w:rPr>
        <w:instrText xml:space="preserve"> PAGEREF _Toc175225087 \h </w:instrText>
      </w:r>
      <w:r>
        <w:rPr>
          <w:noProof/>
        </w:rPr>
      </w:r>
      <w:r>
        <w:rPr>
          <w:noProof/>
        </w:rPr>
        <w:fldChar w:fldCharType="separate"/>
      </w:r>
      <w:r w:rsidR="003D7512">
        <w:rPr>
          <w:noProof/>
        </w:rPr>
        <w:t>2</w:t>
      </w:r>
      <w:r>
        <w:rPr>
          <w:noProof/>
        </w:rPr>
        <w:fldChar w:fldCharType="end"/>
      </w:r>
    </w:p>
    <w:p w14:paraId="0088AFB9" w14:textId="3EA631DC" w:rsidR="00B56138" w:rsidRDefault="00B56138">
      <w:pPr>
        <w:pStyle w:val="TOC1"/>
        <w:rPr>
          <w:rFonts w:asciiTheme="minorHAnsi" w:eastAsiaTheme="minorEastAsia" w:hAnsiTheme="minorHAnsi" w:cstheme="minorBidi"/>
          <w:noProof/>
          <w:sz w:val="22"/>
          <w:szCs w:val="22"/>
          <w:lang w:val="en-AU" w:eastAsia="en-AU"/>
        </w:rPr>
      </w:pPr>
      <w:r>
        <w:rPr>
          <w:noProof/>
        </w:rPr>
        <w:t>Have your say on the proposed strategic plan</w:t>
      </w:r>
      <w:r>
        <w:rPr>
          <w:noProof/>
        </w:rPr>
        <w:tab/>
      </w:r>
      <w:r>
        <w:rPr>
          <w:noProof/>
        </w:rPr>
        <w:fldChar w:fldCharType="begin"/>
      </w:r>
      <w:r>
        <w:rPr>
          <w:noProof/>
        </w:rPr>
        <w:instrText xml:space="preserve"> PAGEREF _Toc175225088 \h </w:instrText>
      </w:r>
      <w:r>
        <w:rPr>
          <w:noProof/>
        </w:rPr>
      </w:r>
      <w:r>
        <w:rPr>
          <w:noProof/>
        </w:rPr>
        <w:fldChar w:fldCharType="separate"/>
      </w:r>
      <w:r w:rsidR="003D7512">
        <w:rPr>
          <w:noProof/>
        </w:rPr>
        <w:t>4</w:t>
      </w:r>
      <w:r>
        <w:rPr>
          <w:noProof/>
        </w:rPr>
        <w:fldChar w:fldCharType="end"/>
      </w:r>
    </w:p>
    <w:p w14:paraId="16C9F592" w14:textId="364B355F" w:rsidR="00B56138" w:rsidRDefault="00B56138">
      <w:pPr>
        <w:pStyle w:val="TOC2"/>
        <w:rPr>
          <w:rFonts w:asciiTheme="minorHAnsi" w:eastAsiaTheme="minorEastAsia" w:hAnsiTheme="minorHAnsi" w:cstheme="minorBidi"/>
          <w:noProof/>
          <w:szCs w:val="22"/>
          <w:lang w:val="en-AU" w:eastAsia="en-AU"/>
        </w:rPr>
      </w:pPr>
      <w:r>
        <w:rPr>
          <w:noProof/>
        </w:rPr>
        <w:t>Questions for you</w:t>
      </w:r>
      <w:r>
        <w:rPr>
          <w:noProof/>
        </w:rPr>
        <w:tab/>
      </w:r>
      <w:r>
        <w:rPr>
          <w:noProof/>
        </w:rPr>
        <w:fldChar w:fldCharType="begin"/>
      </w:r>
      <w:r>
        <w:rPr>
          <w:noProof/>
        </w:rPr>
        <w:instrText xml:space="preserve"> PAGEREF _Toc175225089 \h </w:instrText>
      </w:r>
      <w:r>
        <w:rPr>
          <w:noProof/>
        </w:rPr>
      </w:r>
      <w:r>
        <w:rPr>
          <w:noProof/>
        </w:rPr>
        <w:fldChar w:fldCharType="separate"/>
      </w:r>
      <w:r w:rsidR="003D7512">
        <w:rPr>
          <w:noProof/>
        </w:rPr>
        <w:t>4</w:t>
      </w:r>
      <w:r>
        <w:rPr>
          <w:noProof/>
        </w:rPr>
        <w:fldChar w:fldCharType="end"/>
      </w:r>
    </w:p>
    <w:p w14:paraId="5CDE9FB4" w14:textId="291B639F" w:rsidR="00B56138" w:rsidRDefault="00B56138">
      <w:pPr>
        <w:pStyle w:val="TOC2"/>
        <w:rPr>
          <w:rFonts w:asciiTheme="minorHAnsi" w:eastAsiaTheme="minorEastAsia" w:hAnsiTheme="minorHAnsi" w:cstheme="minorBidi"/>
          <w:noProof/>
          <w:szCs w:val="22"/>
          <w:lang w:val="en-AU" w:eastAsia="en-AU"/>
        </w:rPr>
      </w:pPr>
      <w:r>
        <w:rPr>
          <w:noProof/>
        </w:rPr>
        <w:t>Strategic priorities</w:t>
      </w:r>
      <w:r>
        <w:rPr>
          <w:noProof/>
        </w:rPr>
        <w:tab/>
      </w:r>
      <w:r>
        <w:rPr>
          <w:noProof/>
        </w:rPr>
        <w:fldChar w:fldCharType="begin"/>
      </w:r>
      <w:r>
        <w:rPr>
          <w:noProof/>
        </w:rPr>
        <w:instrText xml:space="preserve"> PAGEREF _Toc175225090 \h </w:instrText>
      </w:r>
      <w:r>
        <w:rPr>
          <w:noProof/>
        </w:rPr>
      </w:r>
      <w:r>
        <w:rPr>
          <w:noProof/>
        </w:rPr>
        <w:fldChar w:fldCharType="separate"/>
      </w:r>
      <w:r w:rsidR="003D7512">
        <w:rPr>
          <w:noProof/>
        </w:rPr>
        <w:t>4</w:t>
      </w:r>
      <w:r>
        <w:rPr>
          <w:noProof/>
        </w:rPr>
        <w:fldChar w:fldCharType="end"/>
      </w:r>
    </w:p>
    <w:p w14:paraId="63A1B489" w14:textId="43918711" w:rsidR="00B56138" w:rsidRDefault="00B56138">
      <w:pPr>
        <w:pStyle w:val="TOC2"/>
        <w:rPr>
          <w:rFonts w:asciiTheme="minorHAnsi" w:eastAsiaTheme="minorEastAsia" w:hAnsiTheme="minorHAnsi" w:cstheme="minorBidi"/>
          <w:noProof/>
          <w:szCs w:val="22"/>
          <w:lang w:val="en-AU" w:eastAsia="en-AU"/>
        </w:rPr>
      </w:pPr>
      <w:r>
        <w:rPr>
          <w:noProof/>
        </w:rPr>
        <w:t>Strategic goal and outcomes</w:t>
      </w:r>
      <w:r>
        <w:rPr>
          <w:noProof/>
        </w:rPr>
        <w:tab/>
      </w:r>
      <w:r>
        <w:rPr>
          <w:noProof/>
        </w:rPr>
        <w:fldChar w:fldCharType="begin"/>
      </w:r>
      <w:r>
        <w:rPr>
          <w:noProof/>
        </w:rPr>
        <w:instrText xml:space="preserve"> PAGEREF _Toc175225091 \h </w:instrText>
      </w:r>
      <w:r>
        <w:rPr>
          <w:noProof/>
        </w:rPr>
      </w:r>
      <w:r>
        <w:rPr>
          <w:noProof/>
        </w:rPr>
        <w:fldChar w:fldCharType="separate"/>
      </w:r>
      <w:r w:rsidR="003D7512">
        <w:rPr>
          <w:noProof/>
        </w:rPr>
        <w:t>4</w:t>
      </w:r>
      <w:r>
        <w:rPr>
          <w:noProof/>
        </w:rPr>
        <w:fldChar w:fldCharType="end"/>
      </w:r>
    </w:p>
    <w:p w14:paraId="4D97E2C1" w14:textId="70A32D85" w:rsidR="00B56138" w:rsidRDefault="00B56138">
      <w:pPr>
        <w:pStyle w:val="TOC2"/>
        <w:rPr>
          <w:rFonts w:asciiTheme="minorHAnsi" w:eastAsiaTheme="minorEastAsia" w:hAnsiTheme="minorHAnsi" w:cstheme="minorBidi"/>
          <w:noProof/>
          <w:szCs w:val="22"/>
          <w:lang w:val="en-AU" w:eastAsia="en-AU"/>
        </w:rPr>
      </w:pPr>
      <w:r>
        <w:rPr>
          <w:noProof/>
        </w:rPr>
        <w:t>Priority action areas</w:t>
      </w:r>
      <w:r>
        <w:rPr>
          <w:noProof/>
        </w:rPr>
        <w:tab/>
      </w:r>
      <w:r>
        <w:rPr>
          <w:noProof/>
        </w:rPr>
        <w:fldChar w:fldCharType="begin"/>
      </w:r>
      <w:r>
        <w:rPr>
          <w:noProof/>
        </w:rPr>
        <w:instrText xml:space="preserve"> PAGEREF _Toc175225092 \h </w:instrText>
      </w:r>
      <w:r>
        <w:rPr>
          <w:noProof/>
        </w:rPr>
      </w:r>
      <w:r>
        <w:rPr>
          <w:noProof/>
        </w:rPr>
        <w:fldChar w:fldCharType="separate"/>
      </w:r>
      <w:r w:rsidR="003D7512">
        <w:rPr>
          <w:noProof/>
        </w:rPr>
        <w:t>5</w:t>
      </w:r>
      <w:r>
        <w:rPr>
          <w:noProof/>
        </w:rPr>
        <w:fldChar w:fldCharType="end"/>
      </w:r>
    </w:p>
    <w:p w14:paraId="56E2F109" w14:textId="500B4161" w:rsidR="00B56138" w:rsidRDefault="00B56138">
      <w:pPr>
        <w:pStyle w:val="TOC1"/>
        <w:rPr>
          <w:rFonts w:asciiTheme="minorHAnsi" w:eastAsiaTheme="minorEastAsia" w:hAnsiTheme="minorHAnsi" w:cstheme="minorBidi"/>
          <w:noProof/>
          <w:sz w:val="22"/>
          <w:szCs w:val="22"/>
          <w:lang w:val="en-AU" w:eastAsia="en-AU"/>
        </w:rPr>
      </w:pPr>
      <w:r>
        <w:rPr>
          <w:noProof/>
        </w:rPr>
        <w:t>Have your say on the draft service plan for 2025/26 to 2027/28</w:t>
      </w:r>
      <w:r>
        <w:rPr>
          <w:noProof/>
        </w:rPr>
        <w:tab/>
      </w:r>
      <w:r>
        <w:rPr>
          <w:noProof/>
        </w:rPr>
        <w:fldChar w:fldCharType="begin"/>
      </w:r>
      <w:r>
        <w:rPr>
          <w:noProof/>
        </w:rPr>
        <w:instrText xml:space="preserve"> PAGEREF _Toc175225093 \h </w:instrText>
      </w:r>
      <w:r>
        <w:rPr>
          <w:noProof/>
        </w:rPr>
      </w:r>
      <w:r>
        <w:rPr>
          <w:noProof/>
        </w:rPr>
        <w:fldChar w:fldCharType="separate"/>
      </w:r>
      <w:r w:rsidR="003D7512">
        <w:rPr>
          <w:noProof/>
        </w:rPr>
        <w:t>7</w:t>
      </w:r>
      <w:r>
        <w:rPr>
          <w:noProof/>
        </w:rPr>
        <w:fldChar w:fldCharType="end"/>
      </w:r>
    </w:p>
    <w:p w14:paraId="5B45C7D3" w14:textId="2D2E5DEE" w:rsidR="00B56138" w:rsidRDefault="00B56138">
      <w:pPr>
        <w:pStyle w:val="TOC2"/>
        <w:rPr>
          <w:rFonts w:asciiTheme="minorHAnsi" w:eastAsiaTheme="minorEastAsia" w:hAnsiTheme="minorHAnsi" w:cstheme="minorBidi"/>
          <w:noProof/>
          <w:szCs w:val="22"/>
          <w:lang w:val="en-AU" w:eastAsia="en-AU"/>
        </w:rPr>
      </w:pPr>
      <w:r>
        <w:rPr>
          <w:noProof/>
        </w:rPr>
        <w:t>Questions for you</w:t>
      </w:r>
      <w:r>
        <w:rPr>
          <w:noProof/>
        </w:rPr>
        <w:tab/>
      </w:r>
      <w:r>
        <w:rPr>
          <w:noProof/>
        </w:rPr>
        <w:fldChar w:fldCharType="begin"/>
      </w:r>
      <w:r>
        <w:rPr>
          <w:noProof/>
        </w:rPr>
        <w:instrText xml:space="preserve"> PAGEREF _Toc175225094 \h </w:instrText>
      </w:r>
      <w:r>
        <w:rPr>
          <w:noProof/>
        </w:rPr>
      </w:r>
      <w:r>
        <w:rPr>
          <w:noProof/>
        </w:rPr>
        <w:fldChar w:fldCharType="separate"/>
      </w:r>
      <w:r w:rsidR="003D7512">
        <w:rPr>
          <w:noProof/>
        </w:rPr>
        <w:t>7</w:t>
      </w:r>
      <w:r>
        <w:rPr>
          <w:noProof/>
        </w:rPr>
        <w:fldChar w:fldCharType="end"/>
      </w:r>
    </w:p>
    <w:p w14:paraId="1F0FD687" w14:textId="41C2E9CC" w:rsidR="00B56138" w:rsidRDefault="00B56138">
      <w:pPr>
        <w:pStyle w:val="TOC2"/>
        <w:rPr>
          <w:rFonts w:asciiTheme="minorHAnsi" w:eastAsiaTheme="minorEastAsia" w:hAnsiTheme="minorHAnsi" w:cstheme="minorBidi"/>
          <w:noProof/>
          <w:szCs w:val="22"/>
          <w:lang w:val="en-AU" w:eastAsia="en-AU"/>
        </w:rPr>
      </w:pPr>
      <w:r>
        <w:rPr>
          <w:noProof/>
        </w:rPr>
        <w:t>Purpose of the service plan</w:t>
      </w:r>
      <w:r>
        <w:rPr>
          <w:noProof/>
        </w:rPr>
        <w:tab/>
      </w:r>
      <w:r>
        <w:rPr>
          <w:noProof/>
        </w:rPr>
        <w:fldChar w:fldCharType="begin"/>
      </w:r>
      <w:r>
        <w:rPr>
          <w:noProof/>
        </w:rPr>
        <w:instrText xml:space="preserve"> PAGEREF _Toc175225095 \h </w:instrText>
      </w:r>
      <w:r>
        <w:rPr>
          <w:noProof/>
        </w:rPr>
      </w:r>
      <w:r>
        <w:rPr>
          <w:noProof/>
        </w:rPr>
        <w:fldChar w:fldCharType="separate"/>
      </w:r>
      <w:r w:rsidR="003D7512">
        <w:rPr>
          <w:noProof/>
        </w:rPr>
        <w:t>7</w:t>
      </w:r>
      <w:r>
        <w:rPr>
          <w:noProof/>
        </w:rPr>
        <w:fldChar w:fldCharType="end"/>
      </w:r>
    </w:p>
    <w:p w14:paraId="3DA5A999" w14:textId="4BB322C4" w:rsidR="00B56138" w:rsidRDefault="00B56138">
      <w:pPr>
        <w:pStyle w:val="TOC2"/>
        <w:rPr>
          <w:rFonts w:asciiTheme="minorHAnsi" w:eastAsiaTheme="minorEastAsia" w:hAnsiTheme="minorHAnsi" w:cstheme="minorBidi"/>
          <w:noProof/>
          <w:szCs w:val="22"/>
          <w:lang w:val="en-AU" w:eastAsia="en-AU"/>
        </w:rPr>
      </w:pPr>
      <w:r>
        <w:rPr>
          <w:noProof/>
        </w:rPr>
        <w:t>Draft service plan</w:t>
      </w:r>
      <w:r>
        <w:rPr>
          <w:noProof/>
        </w:rPr>
        <w:tab/>
      </w:r>
      <w:r>
        <w:rPr>
          <w:noProof/>
        </w:rPr>
        <w:fldChar w:fldCharType="begin"/>
      </w:r>
      <w:r>
        <w:rPr>
          <w:noProof/>
        </w:rPr>
        <w:instrText xml:space="preserve"> PAGEREF _Toc175225096 \h </w:instrText>
      </w:r>
      <w:r>
        <w:rPr>
          <w:noProof/>
        </w:rPr>
      </w:r>
      <w:r>
        <w:rPr>
          <w:noProof/>
        </w:rPr>
        <w:fldChar w:fldCharType="separate"/>
      </w:r>
      <w:r w:rsidR="003D7512">
        <w:rPr>
          <w:noProof/>
        </w:rPr>
        <w:t>7</w:t>
      </w:r>
      <w:r>
        <w:rPr>
          <w:noProof/>
        </w:rPr>
        <w:fldChar w:fldCharType="end"/>
      </w:r>
    </w:p>
    <w:p w14:paraId="17682109" w14:textId="4DB1869D" w:rsidR="00B56138" w:rsidRDefault="00B56138">
      <w:pPr>
        <w:pStyle w:val="TOC2"/>
        <w:rPr>
          <w:rFonts w:asciiTheme="minorHAnsi" w:eastAsiaTheme="minorEastAsia" w:hAnsiTheme="minorHAnsi" w:cstheme="minorBidi"/>
          <w:noProof/>
          <w:szCs w:val="22"/>
          <w:lang w:val="en-AU" w:eastAsia="en-AU"/>
        </w:rPr>
      </w:pPr>
      <w:r>
        <w:rPr>
          <w:noProof/>
        </w:rPr>
        <w:t>Indicative budget for 2025/26 to 2027/28</w:t>
      </w:r>
      <w:r>
        <w:rPr>
          <w:noProof/>
        </w:rPr>
        <w:tab/>
      </w:r>
      <w:r>
        <w:rPr>
          <w:noProof/>
        </w:rPr>
        <w:fldChar w:fldCharType="begin"/>
      </w:r>
      <w:r>
        <w:rPr>
          <w:noProof/>
        </w:rPr>
        <w:instrText xml:space="preserve"> PAGEREF _Toc175225097 \h </w:instrText>
      </w:r>
      <w:r>
        <w:rPr>
          <w:noProof/>
        </w:rPr>
      </w:r>
      <w:r>
        <w:rPr>
          <w:noProof/>
        </w:rPr>
        <w:fldChar w:fldCharType="separate"/>
      </w:r>
      <w:r w:rsidR="003D7512">
        <w:rPr>
          <w:noProof/>
        </w:rPr>
        <w:t>8</w:t>
      </w:r>
      <w:r>
        <w:rPr>
          <w:noProof/>
        </w:rPr>
        <w:fldChar w:fldCharType="end"/>
      </w:r>
    </w:p>
    <w:p w14:paraId="10C81091" w14:textId="6800F887" w:rsidR="00B56138" w:rsidRDefault="00B56138">
      <w:pPr>
        <w:pStyle w:val="TOC2"/>
        <w:rPr>
          <w:rFonts w:asciiTheme="minorHAnsi" w:eastAsiaTheme="minorEastAsia" w:hAnsiTheme="minorHAnsi" w:cstheme="minorBidi"/>
          <w:noProof/>
          <w:szCs w:val="22"/>
          <w:lang w:val="en-AU" w:eastAsia="en-AU"/>
        </w:rPr>
      </w:pPr>
      <w:r>
        <w:rPr>
          <w:noProof/>
        </w:rPr>
        <w:t>Summary of service plan and budget</w:t>
      </w:r>
      <w:r>
        <w:rPr>
          <w:noProof/>
        </w:rPr>
        <w:tab/>
      </w:r>
      <w:r>
        <w:rPr>
          <w:noProof/>
        </w:rPr>
        <w:fldChar w:fldCharType="begin"/>
      </w:r>
      <w:r>
        <w:rPr>
          <w:noProof/>
        </w:rPr>
        <w:instrText xml:space="preserve"> PAGEREF _Toc175225098 \h </w:instrText>
      </w:r>
      <w:r>
        <w:rPr>
          <w:noProof/>
        </w:rPr>
      </w:r>
      <w:r>
        <w:rPr>
          <w:noProof/>
        </w:rPr>
        <w:fldChar w:fldCharType="separate"/>
      </w:r>
      <w:r w:rsidR="003D7512">
        <w:rPr>
          <w:noProof/>
        </w:rPr>
        <w:t>9</w:t>
      </w:r>
      <w:r>
        <w:rPr>
          <w:noProof/>
        </w:rPr>
        <w:fldChar w:fldCharType="end"/>
      </w:r>
    </w:p>
    <w:p w14:paraId="66304A4A" w14:textId="4A3BC6C9" w:rsidR="00B56138" w:rsidRDefault="00B56138">
      <w:pPr>
        <w:pStyle w:val="TOC1"/>
        <w:rPr>
          <w:rFonts w:asciiTheme="minorHAnsi" w:eastAsiaTheme="minorEastAsia" w:hAnsiTheme="minorHAnsi" w:cstheme="minorBidi"/>
          <w:noProof/>
          <w:sz w:val="22"/>
          <w:szCs w:val="22"/>
          <w:lang w:val="en-AU" w:eastAsia="en-AU"/>
        </w:rPr>
      </w:pPr>
      <w:r>
        <w:rPr>
          <w:noProof/>
        </w:rPr>
        <w:t>Have your say on the problem gambling levy</w:t>
      </w:r>
      <w:r>
        <w:rPr>
          <w:noProof/>
        </w:rPr>
        <w:tab/>
      </w:r>
      <w:r>
        <w:rPr>
          <w:noProof/>
        </w:rPr>
        <w:fldChar w:fldCharType="begin"/>
      </w:r>
      <w:r>
        <w:rPr>
          <w:noProof/>
        </w:rPr>
        <w:instrText xml:space="preserve"> PAGEREF _Toc175225099 \h </w:instrText>
      </w:r>
      <w:r>
        <w:rPr>
          <w:noProof/>
        </w:rPr>
      </w:r>
      <w:r>
        <w:rPr>
          <w:noProof/>
        </w:rPr>
        <w:fldChar w:fldCharType="separate"/>
      </w:r>
      <w:r w:rsidR="003D7512">
        <w:rPr>
          <w:noProof/>
        </w:rPr>
        <w:t>10</w:t>
      </w:r>
      <w:r>
        <w:rPr>
          <w:noProof/>
        </w:rPr>
        <w:fldChar w:fldCharType="end"/>
      </w:r>
      <w:r w:rsidR="00F60522">
        <w:rPr>
          <w:noProof/>
        </w:rPr>
        <w:t>0</w:t>
      </w:r>
    </w:p>
    <w:p w14:paraId="659EDAE3" w14:textId="003D4602" w:rsidR="00B56138" w:rsidRDefault="00B56138">
      <w:pPr>
        <w:pStyle w:val="TOC2"/>
        <w:rPr>
          <w:rFonts w:asciiTheme="minorHAnsi" w:eastAsiaTheme="minorEastAsia" w:hAnsiTheme="minorHAnsi" w:cstheme="minorBidi"/>
          <w:noProof/>
          <w:szCs w:val="22"/>
          <w:lang w:val="en-AU" w:eastAsia="en-AU"/>
        </w:rPr>
      </w:pPr>
      <w:r>
        <w:rPr>
          <w:noProof/>
        </w:rPr>
        <w:t>Questions for you</w:t>
      </w:r>
      <w:r>
        <w:rPr>
          <w:noProof/>
        </w:rPr>
        <w:tab/>
      </w:r>
      <w:r>
        <w:rPr>
          <w:noProof/>
        </w:rPr>
        <w:fldChar w:fldCharType="begin"/>
      </w:r>
      <w:r>
        <w:rPr>
          <w:noProof/>
        </w:rPr>
        <w:instrText xml:space="preserve"> PAGEREF _Toc175225100 \h </w:instrText>
      </w:r>
      <w:r>
        <w:rPr>
          <w:noProof/>
        </w:rPr>
      </w:r>
      <w:r>
        <w:rPr>
          <w:noProof/>
        </w:rPr>
        <w:fldChar w:fldCharType="separate"/>
      </w:r>
      <w:r w:rsidR="003D7512">
        <w:rPr>
          <w:noProof/>
        </w:rPr>
        <w:t>10</w:t>
      </w:r>
      <w:r>
        <w:rPr>
          <w:noProof/>
        </w:rPr>
        <w:fldChar w:fldCharType="end"/>
      </w:r>
      <w:r w:rsidR="00F60522">
        <w:rPr>
          <w:noProof/>
        </w:rPr>
        <w:t>0</w:t>
      </w:r>
    </w:p>
    <w:p w14:paraId="1A4026C9" w14:textId="05CAF938" w:rsidR="00B56138" w:rsidRDefault="00B56138">
      <w:pPr>
        <w:pStyle w:val="TOC2"/>
        <w:rPr>
          <w:rFonts w:asciiTheme="minorHAnsi" w:eastAsiaTheme="minorEastAsia" w:hAnsiTheme="minorHAnsi" w:cstheme="minorBidi"/>
          <w:noProof/>
          <w:szCs w:val="22"/>
          <w:lang w:val="en-AU" w:eastAsia="en-AU"/>
        </w:rPr>
      </w:pPr>
      <w:r>
        <w:rPr>
          <w:noProof/>
        </w:rPr>
        <w:t>The problem gambling levy</w:t>
      </w:r>
      <w:r>
        <w:rPr>
          <w:noProof/>
        </w:rPr>
        <w:tab/>
      </w:r>
      <w:r>
        <w:rPr>
          <w:noProof/>
        </w:rPr>
        <w:fldChar w:fldCharType="begin"/>
      </w:r>
      <w:r>
        <w:rPr>
          <w:noProof/>
        </w:rPr>
        <w:instrText xml:space="preserve"> PAGEREF _Toc175225101 \h </w:instrText>
      </w:r>
      <w:r>
        <w:rPr>
          <w:noProof/>
        </w:rPr>
      </w:r>
      <w:r>
        <w:rPr>
          <w:noProof/>
        </w:rPr>
        <w:fldChar w:fldCharType="separate"/>
      </w:r>
      <w:r w:rsidR="003D7512">
        <w:rPr>
          <w:noProof/>
        </w:rPr>
        <w:t>10</w:t>
      </w:r>
      <w:r>
        <w:rPr>
          <w:noProof/>
        </w:rPr>
        <w:fldChar w:fldCharType="end"/>
      </w:r>
    </w:p>
    <w:p w14:paraId="133A9219" w14:textId="2A1CAB36" w:rsidR="00C86248" w:rsidRDefault="00C86248">
      <w:r>
        <w:rPr>
          <w:b/>
        </w:rPr>
        <w:fldChar w:fldCharType="end"/>
      </w:r>
    </w:p>
    <w:p w14:paraId="4A6797B1" w14:textId="4F383EFF" w:rsidR="002B76A7" w:rsidRDefault="002B76A7" w:rsidP="003A5FEA"/>
    <w:p w14:paraId="03333094" w14:textId="77777777" w:rsidR="001D3E4E" w:rsidRDefault="001D3E4E" w:rsidP="003A5FEA">
      <w:pPr>
        <w:sectPr w:rsidR="001D3E4E" w:rsidSect="0078658E">
          <w:headerReference w:type="even" r:id="rId17"/>
          <w:headerReference w:type="default" r:id="rId18"/>
          <w:footerReference w:type="even" r:id="rId19"/>
          <w:footerReference w:type="default" r:id="rId20"/>
          <w:pgSz w:w="11907" w:h="16840" w:code="9"/>
          <w:pgMar w:top="1418" w:right="1701" w:bottom="1134" w:left="1843" w:header="284" w:footer="425" w:gutter="284"/>
          <w:pgNumType w:fmt="lowerRoman"/>
          <w:cols w:space="720"/>
        </w:sectPr>
      </w:pPr>
    </w:p>
    <w:p w14:paraId="4272CCA5" w14:textId="77777777" w:rsidR="003D29F1" w:rsidRPr="003D29F1" w:rsidRDefault="003D29F1" w:rsidP="003D29F1">
      <w:pPr>
        <w:pStyle w:val="Heading1"/>
      </w:pPr>
      <w:bookmarkStart w:id="3" w:name="_Toc82618399"/>
      <w:bookmarkStart w:id="4" w:name="_Toc175089331"/>
      <w:bookmarkStart w:id="5" w:name="_Toc175225082"/>
      <w:r w:rsidRPr="003D29F1">
        <w:lastRenderedPageBreak/>
        <w:t xml:space="preserve">Have your </w:t>
      </w:r>
      <w:proofErr w:type="gramStart"/>
      <w:r w:rsidRPr="003D29F1">
        <w:t>say</w:t>
      </w:r>
      <w:bookmarkEnd w:id="3"/>
      <w:bookmarkEnd w:id="4"/>
      <w:bookmarkEnd w:id="5"/>
      <w:proofErr w:type="gramEnd"/>
    </w:p>
    <w:p w14:paraId="49219ED9" w14:textId="77777777" w:rsidR="003D29F1" w:rsidRDefault="003D29F1" w:rsidP="003D29F1">
      <w:r>
        <w:t xml:space="preserve">This is an overview of the full consultation document for the draft strategy to prevent and minimise gambling harm. The full document, along with supporting documents, can be found on the </w:t>
      </w:r>
      <w:bookmarkStart w:id="6" w:name="_Hlk175089112"/>
      <w:r>
        <w:rPr>
          <w:b/>
          <w:bCs/>
        </w:rPr>
        <w:fldChar w:fldCharType="begin"/>
      </w:r>
      <w:r>
        <w:rPr>
          <w:b/>
          <w:bCs/>
        </w:rPr>
        <w:instrText>HYPERLINK "https://www.health.govt.nz/publication/strategy-prevent-and-minimise-gambling-harm-2025-26-2027-28"</w:instrText>
      </w:r>
      <w:r>
        <w:rPr>
          <w:b/>
          <w:bCs/>
        </w:rPr>
      </w:r>
      <w:r>
        <w:rPr>
          <w:b/>
          <w:bCs/>
        </w:rPr>
        <w:fldChar w:fldCharType="separate"/>
      </w:r>
      <w:r w:rsidRPr="007B04F2">
        <w:rPr>
          <w:rStyle w:val="Hyperlink"/>
          <w:bCs/>
        </w:rPr>
        <w:t>Strategy to Prevent and Minimise Gambling Harm Consultation page on the Ministry of Health website</w:t>
      </w:r>
      <w:bookmarkEnd w:id="6"/>
      <w:r>
        <w:rPr>
          <w:b/>
          <w:bCs/>
        </w:rPr>
        <w:fldChar w:fldCharType="end"/>
      </w:r>
      <w:r w:rsidRPr="007B04F2">
        <w:t>.</w:t>
      </w:r>
    </w:p>
    <w:p w14:paraId="29D7BA8F" w14:textId="77777777" w:rsidR="003D29F1" w:rsidRDefault="003D29F1" w:rsidP="003D29F1"/>
    <w:p w14:paraId="541CBD9D" w14:textId="77777777" w:rsidR="003D29F1" w:rsidRDefault="003D29F1" w:rsidP="003D29F1">
      <w:r>
        <w:t xml:space="preserve">Every three years, the Ministry of Health (the Ministry) sets out a proposed strategy to prevent and minimise the harm to people, whānau and communities caused by gambling. </w:t>
      </w:r>
    </w:p>
    <w:p w14:paraId="6DA31CAE" w14:textId="77777777" w:rsidR="003D29F1" w:rsidRDefault="003D29F1" w:rsidP="003D29F1"/>
    <w:p w14:paraId="25902797" w14:textId="77777777" w:rsidR="003D29F1" w:rsidRDefault="003D29F1" w:rsidP="003D29F1">
      <w:r>
        <w:t>This is your opportunity to have your say about the draft strategic plan (what we will achieve), the draft service plan (how we will achieve it) and the draft funding levels and levy rates (how we will fund our activities).</w:t>
      </w:r>
    </w:p>
    <w:p w14:paraId="264B8062" w14:textId="77777777" w:rsidR="003D29F1" w:rsidRPr="003D29F1" w:rsidRDefault="003D29F1" w:rsidP="003D29F1">
      <w:pPr>
        <w:pStyle w:val="Heading2"/>
      </w:pPr>
      <w:bookmarkStart w:id="7" w:name="_Toc82618400"/>
      <w:bookmarkStart w:id="8" w:name="_Toc175089332"/>
      <w:bookmarkStart w:id="9" w:name="_Toc175225083"/>
      <w:r w:rsidRPr="003D29F1">
        <w:t xml:space="preserve">Make a </w:t>
      </w:r>
      <w:proofErr w:type="gramStart"/>
      <w:r w:rsidRPr="003D29F1">
        <w:t>submission</w:t>
      </w:r>
      <w:bookmarkEnd w:id="7"/>
      <w:bookmarkEnd w:id="8"/>
      <w:bookmarkEnd w:id="9"/>
      <w:proofErr w:type="gramEnd"/>
    </w:p>
    <w:p w14:paraId="3988EFBE" w14:textId="77777777" w:rsidR="003D29F1" w:rsidRDefault="003D29F1" w:rsidP="003D29F1">
      <w:pPr>
        <w:rPr>
          <w:rFonts w:eastAsia="Calibri"/>
        </w:rPr>
      </w:pPr>
      <w:r w:rsidRPr="00C10A99">
        <w:t>Your feedback</w:t>
      </w:r>
      <w:r>
        <w:t xml:space="preserve"> on the proposals contained in the consultation document</w:t>
      </w:r>
      <w:r w:rsidRPr="00C10A99">
        <w:t xml:space="preserve"> is important</w:t>
      </w:r>
      <w:r>
        <w:t>. I</w:t>
      </w:r>
      <w:r w:rsidRPr="00C10A99">
        <w:t>t will help</w:t>
      </w:r>
      <w:r>
        <w:t xml:space="preserve"> us </w:t>
      </w:r>
      <w:r w:rsidRPr="00C10A99">
        <w:t xml:space="preserve">shape the </w:t>
      </w:r>
      <w:r>
        <w:t xml:space="preserve">proposed strategy, </w:t>
      </w:r>
      <w:proofErr w:type="gramStart"/>
      <w:r>
        <w:t>services</w:t>
      </w:r>
      <w:proofErr w:type="gramEnd"/>
      <w:r>
        <w:t xml:space="preserve"> </w:t>
      </w:r>
      <w:r w:rsidRPr="00C10A99">
        <w:t xml:space="preserve">and levy rates that the Ministry </w:t>
      </w:r>
      <w:r>
        <w:t xml:space="preserve">will </w:t>
      </w:r>
      <w:r w:rsidRPr="00C10A99">
        <w:t>submit to Ministers and the Gambling Commission for</w:t>
      </w:r>
      <w:r>
        <w:t xml:space="preserve"> </w:t>
      </w:r>
      <w:r w:rsidRPr="00C10A99">
        <w:t>consideration.</w:t>
      </w:r>
      <w:r>
        <w:t xml:space="preserve"> </w:t>
      </w:r>
      <w:r w:rsidRPr="00C9524D">
        <w:t>You can provide feedback by:</w:t>
      </w:r>
    </w:p>
    <w:p w14:paraId="55621215" w14:textId="77777777" w:rsidR="003D29F1" w:rsidRPr="00ED46DB" w:rsidRDefault="003D29F1" w:rsidP="003D29F1">
      <w:pPr>
        <w:pStyle w:val="Bullet"/>
        <w:rPr>
          <w:rFonts w:eastAsia="Calibri"/>
        </w:rPr>
      </w:pPr>
      <w:r w:rsidRPr="00ED46DB">
        <w:rPr>
          <w:rFonts w:eastAsia="Calibri"/>
        </w:rPr>
        <w:t xml:space="preserve">making an online submission at </w:t>
      </w:r>
      <w:hyperlink r:id="rId21" w:history="1">
        <w:r w:rsidRPr="004D2397">
          <w:rPr>
            <w:rStyle w:val="Hyperlink"/>
            <w:rFonts w:eastAsia="Calibri" w:cs="Segoe UI"/>
            <w:szCs w:val="21"/>
          </w:rPr>
          <w:t>https://consult.health.govt.nz</w:t>
        </w:r>
      </w:hyperlink>
    </w:p>
    <w:p w14:paraId="2E5C831A" w14:textId="77777777" w:rsidR="003D29F1" w:rsidRPr="00ED46DB" w:rsidRDefault="003D29F1" w:rsidP="003D29F1">
      <w:pPr>
        <w:pStyle w:val="Bullet"/>
        <w:rPr>
          <w:rFonts w:eastAsia="Calibri"/>
        </w:rPr>
      </w:pPr>
      <w:r w:rsidRPr="00ED46DB">
        <w:rPr>
          <w:rFonts w:eastAsia="Calibri"/>
        </w:rPr>
        <w:t>filling in th</w:t>
      </w:r>
      <w:r>
        <w:rPr>
          <w:rFonts w:eastAsia="Calibri"/>
        </w:rPr>
        <w:t xml:space="preserve">e </w:t>
      </w:r>
      <w:r w:rsidRPr="00ED46DB">
        <w:rPr>
          <w:rFonts w:eastAsia="Calibri"/>
        </w:rPr>
        <w:t xml:space="preserve">form </w:t>
      </w:r>
      <w:r>
        <w:rPr>
          <w:rFonts w:eastAsia="Calibri"/>
        </w:rPr>
        <w:t xml:space="preserve">at the end of the consultation document </w:t>
      </w:r>
      <w:r w:rsidRPr="00ED46DB">
        <w:rPr>
          <w:rFonts w:eastAsia="Calibri"/>
        </w:rPr>
        <w:t xml:space="preserve">and emailing it to </w:t>
      </w:r>
      <w:hyperlink r:id="rId22" w:history="1">
        <w:r w:rsidRPr="00024A88">
          <w:rPr>
            <w:rStyle w:val="Hyperlink"/>
            <w:rFonts w:eastAsia="Calibri" w:cs="Segoe UI"/>
            <w:szCs w:val="21"/>
          </w:rPr>
          <w:t>gamblingharm@health.govt.nz</w:t>
        </w:r>
      </w:hyperlink>
      <w:r>
        <w:rPr>
          <w:rFonts w:eastAsia="Calibri"/>
        </w:rPr>
        <w:t xml:space="preserve"> </w:t>
      </w:r>
    </w:p>
    <w:p w14:paraId="2E1E3D42" w14:textId="77777777" w:rsidR="003D29F1" w:rsidRPr="00ED46DB" w:rsidRDefault="003D29F1" w:rsidP="003D29F1">
      <w:pPr>
        <w:pStyle w:val="Bullet"/>
        <w:rPr>
          <w:rFonts w:eastAsia="Calibri"/>
        </w:rPr>
      </w:pPr>
      <w:r w:rsidRPr="00ED46DB">
        <w:rPr>
          <w:rFonts w:eastAsia="Calibri"/>
        </w:rPr>
        <w:t>attending a consultation meeting (meeting details will be made available at</w:t>
      </w:r>
      <w:r>
        <w:rPr>
          <w:rFonts w:eastAsia="Calibri"/>
        </w:rPr>
        <w:t xml:space="preserve"> </w:t>
      </w:r>
      <w:hyperlink r:id="rId23" w:history="1">
        <w:r w:rsidRPr="004D2397">
          <w:rPr>
            <w:rStyle w:val="Hyperlink"/>
            <w:rFonts w:eastAsia="Calibri" w:cs="Segoe UI"/>
            <w:szCs w:val="21"/>
          </w:rPr>
          <w:t>https://consult.health.govt.nz</w:t>
        </w:r>
      </w:hyperlink>
      <w:r>
        <w:rPr>
          <w:rFonts w:eastAsia="Calibri"/>
        </w:rPr>
        <w:t>)</w:t>
      </w:r>
    </w:p>
    <w:p w14:paraId="5920EB63" w14:textId="77777777" w:rsidR="003D29F1" w:rsidRPr="00ED46DB" w:rsidRDefault="003D29F1" w:rsidP="003D29F1">
      <w:pPr>
        <w:pStyle w:val="Bullet"/>
        <w:rPr>
          <w:rFonts w:eastAsia="Calibri"/>
        </w:rPr>
      </w:pPr>
      <w:r w:rsidRPr="00ED46DB">
        <w:rPr>
          <w:rFonts w:eastAsia="Calibri"/>
        </w:rPr>
        <w:t xml:space="preserve">emailing your thoughts to </w:t>
      </w:r>
      <w:hyperlink r:id="rId24" w:history="1">
        <w:r w:rsidRPr="00024A88">
          <w:rPr>
            <w:rStyle w:val="Hyperlink"/>
            <w:rFonts w:eastAsia="Calibri" w:cs="Segoe UI"/>
            <w:szCs w:val="21"/>
          </w:rPr>
          <w:t>gamblingharm@health.govt.nz</w:t>
        </w:r>
      </w:hyperlink>
      <w:r>
        <w:rPr>
          <w:rFonts w:eastAsia="Calibri"/>
        </w:rPr>
        <w:t xml:space="preserve">. </w:t>
      </w:r>
    </w:p>
    <w:p w14:paraId="5EF309B5" w14:textId="77777777" w:rsidR="003D29F1" w:rsidRDefault="003D29F1" w:rsidP="003D29F1">
      <w:pPr>
        <w:rPr>
          <w:rFonts w:eastAsia="Calibri"/>
        </w:rPr>
      </w:pPr>
    </w:p>
    <w:p w14:paraId="2CC84F4E" w14:textId="77777777" w:rsidR="003D29F1" w:rsidRPr="004677FA" w:rsidRDefault="003D29F1" w:rsidP="003D29F1">
      <w:pPr>
        <w:rPr>
          <w:rFonts w:eastAsia="Calibri"/>
        </w:rPr>
      </w:pPr>
      <w:r>
        <w:rPr>
          <w:rFonts w:eastAsia="Calibri"/>
        </w:rPr>
        <w:t xml:space="preserve">You can answer all or some of the consultation questions or submit your views in your own words. </w:t>
      </w:r>
      <w:r w:rsidRPr="004677FA">
        <w:rPr>
          <w:rFonts w:eastAsia="Calibri"/>
          <w:b/>
          <w:bCs/>
        </w:rPr>
        <w:t xml:space="preserve">The consultation closes at 5pm on </w:t>
      </w:r>
      <w:r>
        <w:rPr>
          <w:rFonts w:eastAsia="Calibri"/>
          <w:b/>
          <w:bCs/>
        </w:rPr>
        <w:t>6</w:t>
      </w:r>
      <w:r w:rsidRPr="004677FA">
        <w:rPr>
          <w:rFonts w:eastAsia="Calibri"/>
          <w:b/>
          <w:bCs/>
        </w:rPr>
        <w:t xml:space="preserve"> October 2024.</w:t>
      </w:r>
    </w:p>
    <w:p w14:paraId="1B97220E" w14:textId="77777777" w:rsidR="003D29F1" w:rsidRPr="003D29F1" w:rsidRDefault="003D29F1" w:rsidP="003D29F1">
      <w:pPr>
        <w:pStyle w:val="Heading2"/>
      </w:pPr>
      <w:bookmarkStart w:id="10" w:name="_Toc175089333"/>
      <w:bookmarkStart w:id="11" w:name="_Toc175225084"/>
      <w:r w:rsidRPr="003D29F1">
        <w:t>Next steps</w:t>
      </w:r>
      <w:bookmarkEnd w:id="10"/>
      <w:bookmarkEnd w:id="11"/>
    </w:p>
    <w:p w14:paraId="100227D7" w14:textId="77777777" w:rsidR="003D29F1" w:rsidRPr="00E121AB" w:rsidRDefault="003D29F1" w:rsidP="003D29F1">
      <w:pPr>
        <w:rPr>
          <w:rFonts w:cs="Segoe UI"/>
          <w:szCs w:val="21"/>
        </w:rPr>
      </w:pPr>
      <w:r>
        <w:t>After the consultation has finished, we will analyse the feedback. T</w:t>
      </w:r>
      <w:r>
        <w:rPr>
          <w:rFonts w:cs="Segoe UI"/>
          <w:szCs w:val="21"/>
        </w:rPr>
        <w:t xml:space="preserve">hen we will </w:t>
      </w:r>
      <w:r w:rsidRPr="00E121AB">
        <w:rPr>
          <w:rFonts w:cs="Segoe UI"/>
          <w:szCs w:val="21"/>
        </w:rPr>
        <w:t>update</w:t>
      </w:r>
      <w:r>
        <w:rPr>
          <w:rFonts w:cs="Segoe UI"/>
          <w:szCs w:val="21"/>
        </w:rPr>
        <w:t xml:space="preserve"> the</w:t>
      </w:r>
      <w:r w:rsidRPr="00E121AB">
        <w:rPr>
          <w:rFonts w:cs="Segoe UI"/>
          <w:szCs w:val="21"/>
        </w:rPr>
        <w:t xml:space="preserve"> draft strategy and levy </w:t>
      </w:r>
      <w:r>
        <w:rPr>
          <w:rFonts w:cs="Segoe UI"/>
          <w:szCs w:val="21"/>
        </w:rPr>
        <w:t>rates and share these with</w:t>
      </w:r>
      <w:r w:rsidRPr="00E121AB">
        <w:rPr>
          <w:rFonts w:cs="Segoe UI"/>
          <w:szCs w:val="21"/>
        </w:rPr>
        <w:t xml:space="preserve"> the Gambling Commission</w:t>
      </w:r>
      <w:r>
        <w:rPr>
          <w:rFonts w:cs="Segoe UI"/>
          <w:szCs w:val="21"/>
        </w:rPr>
        <w:t>.</w:t>
      </w:r>
    </w:p>
    <w:p w14:paraId="3DBF11C9" w14:textId="77777777" w:rsidR="003D29F1" w:rsidRDefault="003D29F1" w:rsidP="003D29F1">
      <w:pPr>
        <w:rPr>
          <w:rFonts w:cs="Segoe UI"/>
          <w:szCs w:val="21"/>
        </w:rPr>
      </w:pPr>
    </w:p>
    <w:p w14:paraId="661A2C13" w14:textId="77777777" w:rsidR="003D29F1" w:rsidRDefault="003D29F1" w:rsidP="003D29F1">
      <w:pPr>
        <w:rPr>
          <w:rFonts w:cs="Segoe UI"/>
          <w:szCs w:val="21"/>
        </w:rPr>
      </w:pPr>
      <w:r>
        <w:rPr>
          <w:rFonts w:cs="Segoe UI"/>
          <w:szCs w:val="21"/>
        </w:rPr>
        <w:t xml:space="preserve">The </w:t>
      </w:r>
      <w:r w:rsidRPr="00DD5BE5">
        <w:rPr>
          <w:rFonts w:cs="Segoe UI"/>
          <w:szCs w:val="21"/>
        </w:rPr>
        <w:t xml:space="preserve">Gambling Commission </w:t>
      </w:r>
      <w:r>
        <w:rPr>
          <w:rFonts w:cs="Segoe UI"/>
          <w:szCs w:val="21"/>
        </w:rPr>
        <w:t xml:space="preserve">will then conduct its own </w:t>
      </w:r>
      <w:r w:rsidRPr="00DD5BE5">
        <w:rPr>
          <w:rFonts w:cs="Segoe UI"/>
          <w:szCs w:val="21"/>
        </w:rPr>
        <w:t>consult</w:t>
      </w:r>
      <w:r>
        <w:rPr>
          <w:rFonts w:cs="Segoe UI"/>
          <w:szCs w:val="21"/>
        </w:rPr>
        <w:t>ation</w:t>
      </w:r>
      <w:r w:rsidRPr="00DD5BE5">
        <w:rPr>
          <w:rFonts w:cs="Segoe UI"/>
          <w:szCs w:val="21"/>
        </w:rPr>
        <w:t xml:space="preserve"> on the strategy and levy</w:t>
      </w:r>
      <w:r>
        <w:rPr>
          <w:rFonts w:cs="Segoe UI"/>
          <w:szCs w:val="21"/>
        </w:rPr>
        <w:t xml:space="preserve"> rates and </w:t>
      </w:r>
      <w:r w:rsidRPr="00DD5BE5">
        <w:rPr>
          <w:rFonts w:cs="Segoe UI"/>
          <w:szCs w:val="21"/>
        </w:rPr>
        <w:t xml:space="preserve">make recommendations to the Minister for Mental Health and </w:t>
      </w:r>
      <w:r>
        <w:rPr>
          <w:rFonts w:cs="Segoe UI"/>
          <w:szCs w:val="21"/>
        </w:rPr>
        <w:t xml:space="preserve">the </w:t>
      </w:r>
      <w:r w:rsidRPr="00DD5BE5">
        <w:rPr>
          <w:rFonts w:cs="Segoe UI"/>
          <w:szCs w:val="21"/>
        </w:rPr>
        <w:t>Minister of Internal Affairs</w:t>
      </w:r>
      <w:r>
        <w:rPr>
          <w:rFonts w:cs="Segoe UI"/>
          <w:szCs w:val="21"/>
        </w:rPr>
        <w:t xml:space="preserve"> on both the strategy and the proposed levy rates.</w:t>
      </w:r>
    </w:p>
    <w:p w14:paraId="1519CFDD" w14:textId="77777777" w:rsidR="003D29F1" w:rsidRDefault="003D29F1" w:rsidP="003D29F1">
      <w:pPr>
        <w:rPr>
          <w:rFonts w:cs="Segoe UI"/>
          <w:szCs w:val="21"/>
        </w:rPr>
      </w:pPr>
    </w:p>
    <w:p w14:paraId="1A480789" w14:textId="77777777" w:rsidR="003D29F1" w:rsidRPr="00DD5BE5" w:rsidRDefault="003D29F1" w:rsidP="003D29F1">
      <w:pPr>
        <w:rPr>
          <w:rFonts w:cs="Segoe UI"/>
          <w:szCs w:val="21"/>
        </w:rPr>
      </w:pPr>
      <w:r>
        <w:rPr>
          <w:rFonts w:cs="Segoe UI"/>
          <w:szCs w:val="21"/>
        </w:rPr>
        <w:t>After being confirmed by Cabinet, the n</w:t>
      </w:r>
      <w:r w:rsidRPr="00DD5BE5">
        <w:rPr>
          <w:rFonts w:cs="Segoe UI"/>
          <w:szCs w:val="21"/>
        </w:rPr>
        <w:t xml:space="preserve">ew strategy </w:t>
      </w:r>
      <w:r>
        <w:rPr>
          <w:rFonts w:cs="Segoe UI"/>
          <w:szCs w:val="21"/>
        </w:rPr>
        <w:t xml:space="preserve">and levy rates will </w:t>
      </w:r>
      <w:r w:rsidRPr="00DD5BE5">
        <w:rPr>
          <w:rFonts w:cs="Segoe UI"/>
          <w:szCs w:val="21"/>
        </w:rPr>
        <w:t>take effect from 1 July 2025.</w:t>
      </w:r>
    </w:p>
    <w:p w14:paraId="5855D9BA" w14:textId="77777777" w:rsidR="003D29F1" w:rsidRDefault="003D29F1" w:rsidP="003D29F1">
      <w:pPr>
        <w:sectPr w:rsidR="003D29F1" w:rsidSect="003D29F1">
          <w:footerReference w:type="even" r:id="rId25"/>
          <w:pgSz w:w="11907" w:h="16840" w:code="9"/>
          <w:pgMar w:top="1418" w:right="1701" w:bottom="1134" w:left="1843" w:header="284" w:footer="425" w:gutter="284"/>
          <w:pgNumType w:start="1"/>
          <w:cols w:space="720"/>
        </w:sectPr>
      </w:pPr>
    </w:p>
    <w:p w14:paraId="708E8EEE" w14:textId="77777777" w:rsidR="003D29F1" w:rsidRDefault="003D29F1" w:rsidP="003D29F1">
      <w:pPr>
        <w:pStyle w:val="Heading1"/>
      </w:pPr>
      <w:bookmarkStart w:id="12" w:name="_Toc82618403"/>
      <w:bookmarkStart w:id="13" w:name="_Toc175089334"/>
      <w:bookmarkStart w:id="14" w:name="_Toc175225085"/>
      <w:r>
        <w:lastRenderedPageBreak/>
        <w:t>Introduction</w:t>
      </w:r>
      <w:bookmarkEnd w:id="12"/>
      <w:bookmarkEnd w:id="13"/>
      <w:bookmarkEnd w:id="14"/>
    </w:p>
    <w:p w14:paraId="280E42EA" w14:textId="77777777" w:rsidR="003D29F1" w:rsidRDefault="003D29F1" w:rsidP="003D29F1">
      <w:pPr>
        <w:pStyle w:val="Heading2"/>
      </w:pPr>
      <w:bookmarkStart w:id="15" w:name="_Toc82618404"/>
      <w:bookmarkStart w:id="16" w:name="_Toc175089335"/>
      <w:bookmarkStart w:id="17" w:name="_Toc175225086"/>
      <w:r>
        <w:t xml:space="preserve">Why we want to hear from </w:t>
      </w:r>
      <w:proofErr w:type="gramStart"/>
      <w:r>
        <w:t>you</w:t>
      </w:r>
      <w:bookmarkEnd w:id="15"/>
      <w:bookmarkEnd w:id="16"/>
      <w:bookmarkEnd w:id="17"/>
      <w:proofErr w:type="gramEnd"/>
    </w:p>
    <w:p w14:paraId="4629C7A0" w14:textId="77777777" w:rsidR="003D29F1" w:rsidRDefault="003D29F1" w:rsidP="003D29F1">
      <w:pPr>
        <w:rPr>
          <w:rFonts w:eastAsia="Calibri"/>
        </w:rPr>
      </w:pPr>
      <w:r>
        <w:rPr>
          <w:rFonts w:eastAsia="Calibri"/>
        </w:rPr>
        <w:t>Most New Zealanders have gambled or know somebody who has gambled. Harm from gambling is a significant public health issue within our communities and to individuals, families and whānau. The harm is not evenly spread across our communities: M</w:t>
      </w:r>
      <w:r>
        <w:rPr>
          <w:rFonts w:eastAsia="Calibri" w:cstheme="minorHAnsi"/>
        </w:rPr>
        <w:t>ā</w:t>
      </w:r>
      <w:r>
        <w:rPr>
          <w:rFonts w:eastAsia="Calibri"/>
        </w:rPr>
        <w:t xml:space="preserve">ori, Pacific peoples, Asian </w:t>
      </w:r>
      <w:proofErr w:type="gramStart"/>
      <w:r>
        <w:rPr>
          <w:rFonts w:eastAsia="Calibri"/>
        </w:rPr>
        <w:t>people</w:t>
      </w:r>
      <w:proofErr w:type="gramEnd"/>
      <w:r>
        <w:rPr>
          <w:rFonts w:eastAsia="Calibri"/>
        </w:rPr>
        <w:t xml:space="preserve"> and young people experience or are at risk of more harm from gambling.</w:t>
      </w:r>
    </w:p>
    <w:p w14:paraId="4BDC1CF1" w14:textId="77777777" w:rsidR="003D29F1" w:rsidRDefault="003D29F1" w:rsidP="003D29F1">
      <w:pPr>
        <w:rPr>
          <w:rFonts w:eastAsia="Calibri"/>
        </w:rPr>
      </w:pPr>
    </w:p>
    <w:p w14:paraId="564F1EE5" w14:textId="77777777" w:rsidR="003D29F1" w:rsidRDefault="003D29F1" w:rsidP="003D29F1">
      <w:pPr>
        <w:rPr>
          <w:rFonts w:eastAsia="Calibri"/>
        </w:rPr>
      </w:pPr>
      <w:r w:rsidRPr="00C73ACA">
        <w:rPr>
          <w:rFonts w:eastAsia="Calibri"/>
        </w:rPr>
        <w:t>The Gambling Act 2003</w:t>
      </w:r>
      <w:r>
        <w:rPr>
          <w:rFonts w:eastAsia="Calibri"/>
        </w:rPr>
        <w:t xml:space="preserve"> states that, every three years, the Ministry must develop and implement</w:t>
      </w:r>
      <w:r w:rsidRPr="00C73ACA">
        <w:rPr>
          <w:rFonts w:eastAsia="Calibri"/>
        </w:rPr>
        <w:t xml:space="preserve"> an integrated problem</w:t>
      </w:r>
      <w:r>
        <w:rPr>
          <w:rFonts w:eastAsia="Calibri"/>
        </w:rPr>
        <w:t>-</w:t>
      </w:r>
      <w:r w:rsidRPr="00C73ACA">
        <w:rPr>
          <w:rFonts w:eastAsia="Calibri"/>
        </w:rPr>
        <w:t xml:space="preserve">gambling </w:t>
      </w:r>
      <w:r>
        <w:rPr>
          <w:rFonts w:eastAsia="Calibri"/>
        </w:rPr>
        <w:t>strategy</w:t>
      </w:r>
      <w:r w:rsidRPr="00C73ACA">
        <w:rPr>
          <w:rFonts w:eastAsia="Calibri"/>
        </w:rPr>
        <w:t xml:space="preserve"> focused on public health</w:t>
      </w:r>
      <w:r>
        <w:rPr>
          <w:rFonts w:eastAsia="Calibri"/>
        </w:rPr>
        <w:t xml:space="preserve">. The strategy must include services to address gambling harm and a levy (payment) to recover the costs of those services from the gambling sector. </w:t>
      </w:r>
    </w:p>
    <w:p w14:paraId="34610CC3" w14:textId="77777777" w:rsidR="003D29F1" w:rsidRDefault="003D29F1" w:rsidP="003D29F1">
      <w:pPr>
        <w:rPr>
          <w:rFonts w:eastAsia="Calibri"/>
        </w:rPr>
      </w:pPr>
    </w:p>
    <w:p w14:paraId="0A3358F4" w14:textId="77777777" w:rsidR="003D29F1" w:rsidRDefault="003D29F1" w:rsidP="003D29F1">
      <w:pPr>
        <w:rPr>
          <w:rFonts w:eastAsia="Calibri"/>
        </w:rPr>
      </w:pPr>
      <w:r>
        <w:rPr>
          <w:rFonts w:eastAsia="Calibri"/>
        </w:rPr>
        <w:t>This strategy sets out the areas of focus for the next three years, and the draft service plan published alongside the strategy details what activities we need to undertake in each area. These activities are funded through levies paid by the gambling industry.</w:t>
      </w:r>
    </w:p>
    <w:p w14:paraId="6EE84062" w14:textId="77777777" w:rsidR="003D29F1" w:rsidRDefault="003D29F1" w:rsidP="003D29F1">
      <w:pPr>
        <w:rPr>
          <w:rFonts w:eastAsia="Calibri"/>
        </w:rPr>
      </w:pPr>
    </w:p>
    <w:p w14:paraId="5EFAF532" w14:textId="77777777" w:rsidR="003D29F1" w:rsidRDefault="003D29F1" w:rsidP="003D29F1">
      <w:pPr>
        <w:rPr>
          <w:rFonts w:eastAsia="Calibri"/>
        </w:rPr>
      </w:pPr>
      <w:r>
        <w:rPr>
          <w:rFonts w:eastAsia="Calibri"/>
        </w:rPr>
        <w:t xml:space="preserve">We need to hear from the people, families and whānau, communities, gambling providers and organisations involved in reducing gambling harm so that we can make sure our approach is inclusive and comprehensive. </w:t>
      </w:r>
    </w:p>
    <w:p w14:paraId="5C9D7A45" w14:textId="77777777" w:rsidR="003D29F1" w:rsidRDefault="003D29F1" w:rsidP="003D29F1">
      <w:pPr>
        <w:rPr>
          <w:rFonts w:eastAsia="Calibri"/>
        </w:rPr>
      </w:pPr>
    </w:p>
    <w:p w14:paraId="2068939E" w14:textId="77777777" w:rsidR="003D29F1" w:rsidRDefault="003D29F1" w:rsidP="003D29F1">
      <w:pPr>
        <w:rPr>
          <w:rFonts w:eastAsia="Calibri"/>
        </w:rPr>
      </w:pPr>
      <w:r>
        <w:rPr>
          <w:rFonts w:eastAsia="Calibri"/>
        </w:rPr>
        <w:t>We want to receive feedback on:</w:t>
      </w:r>
    </w:p>
    <w:p w14:paraId="66F3D31D" w14:textId="77777777" w:rsidR="003D29F1" w:rsidRPr="00F2254C" w:rsidRDefault="003D29F1" w:rsidP="003D29F1">
      <w:pPr>
        <w:pStyle w:val="Bullet"/>
        <w:rPr>
          <w:rFonts w:eastAsia="Calibri"/>
        </w:rPr>
      </w:pPr>
      <w:r w:rsidRPr="00F2254C">
        <w:t>the draft strategic plan</w:t>
      </w:r>
    </w:p>
    <w:p w14:paraId="32F6DAA6" w14:textId="77777777" w:rsidR="003D29F1" w:rsidRPr="00F2254C" w:rsidRDefault="003D29F1" w:rsidP="003D29F1">
      <w:pPr>
        <w:pStyle w:val="Bullet"/>
        <w:rPr>
          <w:rFonts w:eastAsia="Calibri"/>
        </w:rPr>
      </w:pPr>
      <w:r w:rsidRPr="00F2254C">
        <w:t xml:space="preserve">the draft service </w:t>
      </w:r>
      <w:proofErr w:type="gramStart"/>
      <w:r w:rsidRPr="00F2254C">
        <w:t>plan</w:t>
      </w:r>
      <w:proofErr w:type="gramEnd"/>
    </w:p>
    <w:p w14:paraId="432EE759" w14:textId="77777777" w:rsidR="003D29F1" w:rsidRPr="00F2254C" w:rsidRDefault="003D29F1" w:rsidP="003D29F1">
      <w:pPr>
        <w:pStyle w:val="Bullet"/>
        <w:rPr>
          <w:rFonts w:eastAsia="Calibri"/>
        </w:rPr>
      </w:pPr>
      <w:r w:rsidRPr="00F2254C">
        <w:t>the proposed funding and levy rates.</w:t>
      </w:r>
    </w:p>
    <w:p w14:paraId="796E2163" w14:textId="77777777" w:rsidR="003D29F1" w:rsidRPr="003D29F1" w:rsidRDefault="003D29F1" w:rsidP="003D29F1">
      <w:pPr>
        <w:pStyle w:val="Heading2"/>
      </w:pPr>
      <w:bookmarkStart w:id="18" w:name="_Toc82618405"/>
      <w:bookmarkStart w:id="19" w:name="_Toc175089336"/>
      <w:bookmarkStart w:id="20" w:name="_Toc175225087"/>
      <w:r w:rsidRPr="003D29F1">
        <w:t>What we know right now</w:t>
      </w:r>
      <w:bookmarkEnd w:id="18"/>
      <w:bookmarkEnd w:id="19"/>
      <w:bookmarkEnd w:id="20"/>
    </w:p>
    <w:p w14:paraId="1103CDED" w14:textId="77777777" w:rsidR="003D29F1" w:rsidRDefault="003D29F1" w:rsidP="003D29F1">
      <w:r w:rsidRPr="00415209">
        <w:t xml:space="preserve">The Ministry </w:t>
      </w:r>
      <w:r>
        <w:t xml:space="preserve">commissioned </w:t>
      </w:r>
      <w:r w:rsidRPr="00415209">
        <w:t xml:space="preserve">an independent ‘needs assessment’ to </w:t>
      </w:r>
      <w:r>
        <w:t>show</w:t>
      </w:r>
      <w:r w:rsidRPr="00415209">
        <w:t xml:space="preserve"> the progress we have made against the current strategy and </w:t>
      </w:r>
      <w:r>
        <w:t xml:space="preserve">to consider </w:t>
      </w:r>
      <w:r w:rsidRPr="00415209">
        <w:t>wh</w:t>
      </w:r>
      <w:r>
        <w:t>at we should</w:t>
      </w:r>
      <w:r w:rsidRPr="00415209">
        <w:t xml:space="preserve"> focus </w:t>
      </w:r>
      <w:r>
        <w:t xml:space="preserve">on </w:t>
      </w:r>
      <w:r w:rsidRPr="00415209">
        <w:t xml:space="preserve">for the next three years. </w:t>
      </w:r>
    </w:p>
    <w:p w14:paraId="59FFB36B" w14:textId="77777777" w:rsidR="003D29F1" w:rsidRDefault="003D29F1" w:rsidP="003D29F1"/>
    <w:p w14:paraId="41930429" w14:textId="77777777" w:rsidR="003D29F1" w:rsidRDefault="003D29F1" w:rsidP="003D29F1">
      <w:r w:rsidRPr="00415209">
        <w:t>The assessment combined a review of recent international and domestic research with a survey and interviews with a cross</w:t>
      </w:r>
      <w:r>
        <w:t xml:space="preserve"> </w:t>
      </w:r>
      <w:r w:rsidRPr="00415209">
        <w:t xml:space="preserve">section of people involved in gambling prevention and harm minimisation. You can </w:t>
      </w:r>
      <w:r>
        <w:t xml:space="preserve">read the full </w:t>
      </w:r>
      <w:r w:rsidRPr="00415209">
        <w:t xml:space="preserve">needs assessment </w:t>
      </w:r>
      <w:r>
        <w:t xml:space="preserve">on the </w:t>
      </w:r>
      <w:hyperlink r:id="rId26" w:history="1">
        <w:r w:rsidRPr="007B04F2">
          <w:rPr>
            <w:rStyle w:val="Hyperlink"/>
            <w:bCs/>
          </w:rPr>
          <w:t xml:space="preserve">Strategy to Prevent and Minimise Gambling Harm Consultation </w:t>
        </w:r>
        <w:r>
          <w:rPr>
            <w:rStyle w:val="Hyperlink"/>
            <w:bCs/>
          </w:rPr>
          <w:t>web</w:t>
        </w:r>
        <w:r w:rsidRPr="007B04F2">
          <w:rPr>
            <w:rStyle w:val="Hyperlink"/>
            <w:bCs/>
          </w:rPr>
          <w:t>page</w:t>
        </w:r>
      </w:hyperlink>
      <w:r w:rsidRPr="007B04F2">
        <w:t>.</w:t>
      </w:r>
    </w:p>
    <w:p w14:paraId="40136F23" w14:textId="77777777" w:rsidR="003D29F1" w:rsidRDefault="003D29F1" w:rsidP="003D29F1"/>
    <w:p w14:paraId="19DE93BC" w14:textId="77777777" w:rsidR="003D29F1" w:rsidRDefault="003D29F1" w:rsidP="003D29F1">
      <w:r>
        <w:t>The assessment showed the following points.</w:t>
      </w:r>
    </w:p>
    <w:p w14:paraId="0AD64F8B" w14:textId="77777777" w:rsidR="003D29F1" w:rsidRPr="003D29F1" w:rsidRDefault="003D29F1" w:rsidP="003D29F1">
      <w:pPr>
        <w:pStyle w:val="Bullet"/>
      </w:pPr>
      <w:r w:rsidRPr="003D29F1">
        <w:t>Gambling activity has remained relatively constant in New Zealand, with most adults gambling at some stage in their lives.</w:t>
      </w:r>
    </w:p>
    <w:p w14:paraId="5AB63C78" w14:textId="77777777" w:rsidR="003D29F1" w:rsidRPr="003D29F1" w:rsidRDefault="003D29F1" w:rsidP="003D29F1">
      <w:pPr>
        <w:pStyle w:val="Bullet"/>
      </w:pPr>
      <w:r w:rsidRPr="003D29F1">
        <w:t xml:space="preserve">While there has been a reduction in the number of electronic gaming machines (pokies), pokies are more common in high-deprivation areas. The amount of money spent on pokies has continued to increase. </w:t>
      </w:r>
    </w:p>
    <w:p w14:paraId="1C3AB18B" w14:textId="77777777" w:rsidR="003D29F1" w:rsidRPr="003D29F1" w:rsidRDefault="003D29F1" w:rsidP="003D29F1">
      <w:pPr>
        <w:pStyle w:val="Bullet"/>
      </w:pPr>
      <w:r w:rsidRPr="003D29F1">
        <w:lastRenderedPageBreak/>
        <w:t xml:space="preserve">Online gambling options continue to grow. The current levy funding does not cover overseas providers. </w:t>
      </w:r>
    </w:p>
    <w:p w14:paraId="12B9F532" w14:textId="77777777" w:rsidR="003D29F1" w:rsidRPr="003D29F1" w:rsidRDefault="003D29F1" w:rsidP="003D29F1">
      <w:pPr>
        <w:pStyle w:val="Bullet"/>
      </w:pPr>
      <w:r w:rsidRPr="003D29F1">
        <w:t>Those who work to minimise gambling harm are under pressure and have found the health reforms challenging. They are looking for stronger government leadership and coordination and more sustainability.</w:t>
      </w:r>
    </w:p>
    <w:p w14:paraId="03002E86" w14:textId="77777777" w:rsidR="003D29F1" w:rsidRPr="003D29F1" w:rsidRDefault="003D29F1" w:rsidP="003D29F1">
      <w:pPr>
        <w:pStyle w:val="Bullet"/>
      </w:pPr>
      <w:r w:rsidRPr="003D29F1">
        <w:t>The gambling harm workforce (both clinical and peer) needs to grow and be supported.</w:t>
      </w:r>
    </w:p>
    <w:p w14:paraId="04F6541D" w14:textId="77777777" w:rsidR="003D29F1" w:rsidRDefault="003D29F1" w:rsidP="003D29F1">
      <w:pPr>
        <w:pStyle w:val="Heading1"/>
        <w:sectPr w:rsidR="003D29F1" w:rsidSect="00835945">
          <w:footerReference w:type="even" r:id="rId27"/>
          <w:footerReference w:type="default" r:id="rId28"/>
          <w:pgSz w:w="11907" w:h="16840" w:code="9"/>
          <w:pgMar w:top="1418" w:right="1701" w:bottom="1134" w:left="1843" w:header="284" w:footer="425" w:gutter="284"/>
          <w:cols w:space="720"/>
        </w:sectPr>
      </w:pPr>
      <w:bookmarkStart w:id="21" w:name="_Toc82618408"/>
      <w:bookmarkStart w:id="22" w:name="_Toc175089337"/>
    </w:p>
    <w:p w14:paraId="3905765D" w14:textId="6A7E28F6" w:rsidR="003D29F1" w:rsidRPr="003D29F1" w:rsidRDefault="003D29F1" w:rsidP="003D29F1">
      <w:pPr>
        <w:pStyle w:val="Heading1"/>
      </w:pPr>
      <w:bookmarkStart w:id="23" w:name="_Toc175225088"/>
      <w:r w:rsidRPr="003D29F1">
        <w:lastRenderedPageBreak/>
        <w:t xml:space="preserve">Have your say on the proposed strategic </w:t>
      </w:r>
      <w:proofErr w:type="gramStart"/>
      <w:r w:rsidRPr="003D29F1">
        <w:t>plan</w:t>
      </w:r>
      <w:bookmarkEnd w:id="21"/>
      <w:bookmarkEnd w:id="22"/>
      <w:bookmarkEnd w:id="23"/>
      <w:proofErr w:type="gramEnd"/>
    </w:p>
    <w:p w14:paraId="219AA3A8" w14:textId="77777777" w:rsidR="003D29F1" w:rsidRDefault="003D29F1" w:rsidP="003D29F1">
      <w:r>
        <w:t>When reading through this section, we would like you to think about</w:t>
      </w:r>
      <w:r w:rsidRPr="00F00F2B">
        <w:t xml:space="preserve"> </w:t>
      </w:r>
      <w:r>
        <w:t>the following questions.</w:t>
      </w:r>
    </w:p>
    <w:p w14:paraId="448534A7" w14:textId="77777777" w:rsidR="003D29F1" w:rsidRPr="003D29F1" w:rsidRDefault="003D29F1" w:rsidP="003D29F1">
      <w:pPr>
        <w:pStyle w:val="Heading2"/>
      </w:pPr>
      <w:bookmarkStart w:id="24" w:name="_Toc82618409"/>
      <w:bookmarkStart w:id="25" w:name="_Toc175089338"/>
      <w:bookmarkStart w:id="26" w:name="_Toc175225089"/>
      <w:r w:rsidRPr="003D29F1">
        <w:t>Questions for you</w:t>
      </w:r>
      <w:bookmarkEnd w:id="24"/>
      <w:bookmarkEnd w:id="25"/>
      <w:bookmarkEnd w:id="26"/>
    </w:p>
    <w:p w14:paraId="4541D597" w14:textId="77777777" w:rsidR="003D29F1" w:rsidRDefault="003D29F1" w:rsidP="003D29F1">
      <w:pPr>
        <w:pStyle w:val="Bullet"/>
      </w:pPr>
      <w:r w:rsidRPr="00A52807">
        <w:t xml:space="preserve">Do you agree with the proposed strategic goal, outcomes, </w:t>
      </w:r>
      <w:proofErr w:type="gramStart"/>
      <w:r w:rsidRPr="00A52807">
        <w:t>actions</w:t>
      </w:r>
      <w:proofErr w:type="gramEnd"/>
      <w:r w:rsidRPr="00A52807">
        <w:t xml:space="preserve"> and system priorities?</w:t>
      </w:r>
    </w:p>
    <w:p w14:paraId="09ABE36A" w14:textId="77777777" w:rsidR="003D29F1" w:rsidRDefault="003D29F1" w:rsidP="003D29F1">
      <w:pPr>
        <w:pStyle w:val="Bullet"/>
      </w:pPr>
      <w:r>
        <w:t>Does the draft strategic plan adequately reflect changes in the gambling environment?</w:t>
      </w:r>
    </w:p>
    <w:p w14:paraId="22402004" w14:textId="77777777" w:rsidR="003D29F1" w:rsidRDefault="003D29F1" w:rsidP="003D29F1">
      <w:pPr>
        <w:pStyle w:val="Bullet"/>
      </w:pPr>
      <w:r>
        <w:t>Do you have any comments to make on the work being done to support priority populations?</w:t>
      </w:r>
    </w:p>
    <w:p w14:paraId="11191060" w14:textId="77777777" w:rsidR="003D29F1" w:rsidRPr="004D4C7D" w:rsidRDefault="003D29F1" w:rsidP="003D29F1">
      <w:pPr>
        <w:pStyle w:val="Heading2"/>
      </w:pPr>
      <w:bookmarkStart w:id="27" w:name="_Toc175089339"/>
      <w:bookmarkStart w:id="28" w:name="_Toc175225090"/>
      <w:bookmarkStart w:id="29" w:name="_Hlk77535844"/>
      <w:bookmarkStart w:id="30" w:name="_Toc82618410"/>
      <w:r w:rsidRPr="0039069B">
        <w:t>Strategic</w:t>
      </w:r>
      <w:r w:rsidRPr="004D4C7D">
        <w:t xml:space="preserve"> </w:t>
      </w:r>
      <w:r>
        <w:t>priorities</w:t>
      </w:r>
      <w:bookmarkEnd w:id="27"/>
      <w:bookmarkEnd w:id="28"/>
      <w:r>
        <w:t xml:space="preserve"> </w:t>
      </w:r>
    </w:p>
    <w:p w14:paraId="0995DAF7" w14:textId="77777777" w:rsidR="003D29F1" w:rsidRDefault="003D29F1" w:rsidP="003D29F1">
      <w:r w:rsidRPr="00DD5453">
        <w:rPr>
          <w:b/>
          <w:bCs/>
        </w:rPr>
        <w:t>Note:</w:t>
      </w:r>
      <w:r>
        <w:t xml:space="preserve"> The strategic priorities are adapted from the priorities for mental health and addiction so are not part of the consultation.</w:t>
      </w:r>
    </w:p>
    <w:p w14:paraId="54FDF006" w14:textId="77777777" w:rsidR="003D29F1" w:rsidRDefault="003D29F1" w:rsidP="003D29F1"/>
    <w:p w14:paraId="2CEDFC29" w14:textId="77777777" w:rsidR="003D29F1" w:rsidRDefault="003D29F1" w:rsidP="003D29F1">
      <w:r>
        <w:t>T</w:t>
      </w:r>
      <w:r w:rsidRPr="0FD73C6D">
        <w:t>o address changes to the gambling environment and respond to gambling harm</w:t>
      </w:r>
      <w:r>
        <w:t>, we must:</w:t>
      </w:r>
    </w:p>
    <w:p w14:paraId="40EF6C8A" w14:textId="77777777" w:rsidR="003D29F1" w:rsidRPr="003D29F1" w:rsidRDefault="003D29F1" w:rsidP="003D29F1">
      <w:pPr>
        <w:pStyle w:val="Bullet"/>
      </w:pPr>
      <w:r w:rsidRPr="003D29F1">
        <w:t xml:space="preserve">increase access to gambling harm </w:t>
      </w:r>
      <w:proofErr w:type="gramStart"/>
      <w:r w:rsidRPr="003D29F1">
        <w:t>support</w:t>
      </w:r>
      <w:proofErr w:type="gramEnd"/>
    </w:p>
    <w:p w14:paraId="3C23B416" w14:textId="77777777" w:rsidR="003D29F1" w:rsidRPr="003D29F1" w:rsidRDefault="003D29F1" w:rsidP="003D29F1">
      <w:pPr>
        <w:pStyle w:val="Bullet"/>
      </w:pPr>
      <w:r w:rsidRPr="003D29F1">
        <w:t xml:space="preserve">grow the gambling harm </w:t>
      </w:r>
      <w:proofErr w:type="gramStart"/>
      <w:r w:rsidRPr="003D29F1">
        <w:t>workforce</w:t>
      </w:r>
      <w:proofErr w:type="gramEnd"/>
    </w:p>
    <w:p w14:paraId="40C0948C" w14:textId="77777777" w:rsidR="003D29F1" w:rsidRPr="003D29F1" w:rsidRDefault="003D29F1" w:rsidP="003D29F1">
      <w:pPr>
        <w:pStyle w:val="Bullet"/>
      </w:pPr>
      <w:r w:rsidRPr="003D29F1">
        <w:t xml:space="preserve">strengthen the focus on the prevention of and early intervention in gambling </w:t>
      </w:r>
      <w:proofErr w:type="gramStart"/>
      <w:r w:rsidRPr="003D29F1">
        <w:t>harm</w:t>
      </w:r>
      <w:proofErr w:type="gramEnd"/>
      <w:r w:rsidRPr="003D29F1">
        <w:t xml:space="preserve"> </w:t>
      </w:r>
    </w:p>
    <w:p w14:paraId="370F8F8F" w14:textId="77777777" w:rsidR="003D29F1" w:rsidRPr="003D29F1" w:rsidRDefault="003D29F1" w:rsidP="003D29F1">
      <w:pPr>
        <w:pStyle w:val="Bullet"/>
      </w:pPr>
      <w:r w:rsidRPr="003D29F1">
        <w:t>improve the effectiveness of gambling harm support.</w:t>
      </w:r>
    </w:p>
    <w:p w14:paraId="6B032C7A" w14:textId="77777777" w:rsidR="003D29F1" w:rsidRDefault="003D29F1" w:rsidP="003D29F1"/>
    <w:p w14:paraId="73CE21C1" w14:textId="77777777" w:rsidR="003D29F1" w:rsidRDefault="003D29F1" w:rsidP="003D29F1">
      <w:r>
        <w:t xml:space="preserve">These priorities align with the priorities of the Minister for Mental Health and underpin the proposed three-year strategic plan. </w:t>
      </w:r>
    </w:p>
    <w:p w14:paraId="45F1D66F" w14:textId="77777777" w:rsidR="003D29F1" w:rsidRPr="003D29F1" w:rsidRDefault="003D29F1" w:rsidP="003D29F1">
      <w:pPr>
        <w:pStyle w:val="Heading2"/>
      </w:pPr>
      <w:bookmarkStart w:id="31" w:name="_Toc175089340"/>
      <w:bookmarkStart w:id="32" w:name="_Toc175225091"/>
      <w:r w:rsidRPr="003D29F1">
        <w:t>Strategic goal and outcomes</w:t>
      </w:r>
      <w:bookmarkEnd w:id="31"/>
      <w:bookmarkEnd w:id="32"/>
    </w:p>
    <w:p w14:paraId="69BC3AC3" w14:textId="77777777" w:rsidR="003D29F1" w:rsidRDefault="003D29F1" w:rsidP="003D29F1">
      <w:pPr>
        <w:rPr>
          <w:szCs w:val="21"/>
        </w:rPr>
      </w:pPr>
      <w:r w:rsidRPr="001D64C9">
        <w:rPr>
          <w:szCs w:val="21"/>
        </w:rPr>
        <w:t>Our proposed strategic goal is:</w:t>
      </w:r>
    </w:p>
    <w:p w14:paraId="75272DE4" w14:textId="77777777" w:rsidR="003D29F1" w:rsidRDefault="003D29F1" w:rsidP="003D29F1">
      <w:pPr>
        <w:rPr>
          <w:szCs w:val="21"/>
        </w:rPr>
      </w:pPr>
    </w:p>
    <w:p w14:paraId="7B1888F9" w14:textId="77777777" w:rsidR="003D29F1" w:rsidRPr="00BC5D9A" w:rsidRDefault="003D29F1" w:rsidP="003D29F1">
      <w:pPr>
        <w:rPr>
          <w:b/>
          <w:bCs/>
          <w:szCs w:val="21"/>
        </w:rPr>
      </w:pPr>
      <w:r w:rsidRPr="00BC5D9A">
        <w:rPr>
          <w:b/>
          <w:bCs/>
          <w:szCs w:val="21"/>
        </w:rPr>
        <w:t>New Zealanders' quality of life and life expectancy are not affected by gambling harm</w:t>
      </w:r>
      <w:r>
        <w:rPr>
          <w:b/>
          <w:bCs/>
          <w:szCs w:val="21"/>
        </w:rPr>
        <w:t>.</w:t>
      </w:r>
    </w:p>
    <w:p w14:paraId="774BB01D" w14:textId="77777777" w:rsidR="003D29F1" w:rsidRDefault="003D29F1" w:rsidP="003D29F1"/>
    <w:p w14:paraId="2DB04BE3" w14:textId="77777777" w:rsidR="003D29F1" w:rsidRDefault="003D29F1" w:rsidP="003D29F1">
      <w:r>
        <w:t>The outcomes we seek are as follows.</w:t>
      </w:r>
    </w:p>
    <w:p w14:paraId="5F5C06F9" w14:textId="77777777" w:rsidR="003D29F1" w:rsidRPr="003D29F1" w:rsidRDefault="003D29F1" w:rsidP="003D29F1">
      <w:pPr>
        <w:pStyle w:val="Bullet"/>
      </w:pPr>
      <w:r w:rsidRPr="003D29F1">
        <w:t>There is a spectrum of services and supports to prevent and minimise gambling harm – from prevention to early intervention to specialist support.</w:t>
      </w:r>
    </w:p>
    <w:p w14:paraId="6884718B" w14:textId="77777777" w:rsidR="003D29F1" w:rsidRPr="003D29F1" w:rsidRDefault="003D29F1" w:rsidP="003D29F1">
      <w:pPr>
        <w:pStyle w:val="Bullet"/>
      </w:pPr>
      <w:r w:rsidRPr="003D29F1">
        <w:lastRenderedPageBreak/>
        <w:t>Social and cultural norms prevent and minimise harm from gambling.</w:t>
      </w:r>
    </w:p>
    <w:p w14:paraId="3C04E1B3" w14:textId="77777777" w:rsidR="003D29F1" w:rsidRPr="003D29F1" w:rsidRDefault="003D29F1" w:rsidP="003D29F1">
      <w:pPr>
        <w:pStyle w:val="Bullet"/>
      </w:pPr>
      <w:r w:rsidRPr="003D29F1">
        <w:t>Strong leadership and accountability of the gambling harm prevention system supports decision-making as close to communities as possible.</w:t>
      </w:r>
    </w:p>
    <w:p w14:paraId="225361B4" w14:textId="77777777" w:rsidR="003D29F1" w:rsidRPr="003D29F1" w:rsidRDefault="003D29F1" w:rsidP="003D29F1">
      <w:pPr>
        <w:pStyle w:val="Bullet"/>
      </w:pPr>
      <w:r w:rsidRPr="003D29F1">
        <w:t>The system focuses on those who are most at risk of harm from gambling.</w:t>
      </w:r>
    </w:p>
    <w:p w14:paraId="73D7E96A" w14:textId="77777777" w:rsidR="003D29F1" w:rsidRDefault="003D29F1" w:rsidP="003D29F1"/>
    <w:p w14:paraId="3D227C19" w14:textId="77777777" w:rsidR="003D29F1" w:rsidRPr="00BF364A" w:rsidRDefault="003D29F1" w:rsidP="003D29F1">
      <w:r w:rsidRPr="0FD73C6D">
        <w:t xml:space="preserve">The </w:t>
      </w:r>
      <w:r>
        <w:t xml:space="preserve">strategy </w:t>
      </w:r>
      <w:r w:rsidRPr="0FD73C6D">
        <w:t>focus</w:t>
      </w:r>
      <w:r>
        <w:t>es</w:t>
      </w:r>
      <w:r w:rsidRPr="0FD73C6D">
        <w:t xml:space="preserve"> on </w:t>
      </w:r>
      <w:r>
        <w:t xml:space="preserve">supporting population groups that experience or are at greatest risk of gambling harm, in particular </w:t>
      </w:r>
      <w:r w:rsidRPr="0FD73C6D">
        <w:t xml:space="preserve">Māori, Pacific, Asian and young people. </w:t>
      </w:r>
      <w:bookmarkEnd w:id="29"/>
      <w:bookmarkEnd w:id="30"/>
    </w:p>
    <w:p w14:paraId="6EFF96D5" w14:textId="77777777" w:rsidR="003D29F1" w:rsidRPr="007F4B4C" w:rsidRDefault="003D29F1" w:rsidP="003D29F1">
      <w:pPr>
        <w:pStyle w:val="Heading2"/>
      </w:pPr>
      <w:bookmarkStart w:id="33" w:name="_Toc82618414"/>
      <w:bookmarkStart w:id="34" w:name="_Toc175089341"/>
      <w:bookmarkStart w:id="35" w:name="_Toc175225092"/>
      <w:r>
        <w:t>Priority action areas</w:t>
      </w:r>
      <w:bookmarkEnd w:id="33"/>
      <w:bookmarkEnd w:id="34"/>
      <w:bookmarkEnd w:id="35"/>
    </w:p>
    <w:p w14:paraId="5E4A5BB8" w14:textId="77777777" w:rsidR="003D29F1" w:rsidRDefault="003D29F1" w:rsidP="003D29F1">
      <w:r>
        <w:t>Each outcome is supported by a key priority action area, helping us break down our strategy into more manageable and measurable tasks.</w:t>
      </w:r>
    </w:p>
    <w:p w14:paraId="65AD82E0" w14:textId="77777777" w:rsidR="003D29F1" w:rsidRPr="007B04F2" w:rsidRDefault="003D29F1" w:rsidP="003D29F1">
      <w:pPr>
        <w:pStyle w:val="Heading3"/>
        <w:rPr>
          <w:szCs w:val="36"/>
        </w:rPr>
      </w:pPr>
      <w:bookmarkStart w:id="36" w:name="_Toc175089342"/>
      <w:r w:rsidRPr="007B04F2">
        <w:rPr>
          <w:szCs w:val="36"/>
        </w:rPr>
        <w:t xml:space="preserve">Actions to increase access to gambling harm </w:t>
      </w:r>
      <w:proofErr w:type="gramStart"/>
      <w:r w:rsidRPr="007B04F2">
        <w:rPr>
          <w:szCs w:val="36"/>
        </w:rPr>
        <w:t>support</w:t>
      </w:r>
      <w:bookmarkEnd w:id="36"/>
      <w:proofErr w:type="gramEnd"/>
    </w:p>
    <w:p w14:paraId="4C82ADD5" w14:textId="77777777" w:rsidR="003D29F1" w:rsidRPr="003D29F1" w:rsidRDefault="003D29F1" w:rsidP="003D29F1">
      <w:pPr>
        <w:pStyle w:val="Bullet"/>
      </w:pPr>
      <w:r w:rsidRPr="003D29F1">
        <w:t>Barriers to accessing services and supports are identified and addressed systematically.</w:t>
      </w:r>
    </w:p>
    <w:p w14:paraId="4C5391C8" w14:textId="77777777" w:rsidR="003D29F1" w:rsidRPr="003D29F1" w:rsidRDefault="003D29F1" w:rsidP="003D29F1">
      <w:pPr>
        <w:pStyle w:val="Bullet"/>
      </w:pPr>
      <w:r w:rsidRPr="003D29F1">
        <w:t xml:space="preserve">Māori, Pacific peoples, Asian people, young </w:t>
      </w:r>
      <w:proofErr w:type="gramStart"/>
      <w:r w:rsidRPr="003D29F1">
        <w:t>people</w:t>
      </w:r>
      <w:proofErr w:type="gramEnd"/>
      <w:r w:rsidRPr="003D29F1">
        <w:t xml:space="preserve"> and people with lived experience are actively involved in harm prevention and minimisation efforts.</w:t>
      </w:r>
    </w:p>
    <w:p w14:paraId="3D0C717C" w14:textId="77777777" w:rsidR="003D29F1" w:rsidRPr="003D29F1" w:rsidRDefault="003D29F1" w:rsidP="003D29F1">
      <w:pPr>
        <w:pStyle w:val="Bullet"/>
      </w:pPr>
      <w:r w:rsidRPr="003D29F1">
        <w:t xml:space="preserve">There are </w:t>
      </w:r>
      <w:proofErr w:type="spellStart"/>
      <w:r w:rsidRPr="003D29F1">
        <w:t>kaupapa</w:t>
      </w:r>
      <w:proofErr w:type="spellEnd"/>
      <w:r w:rsidRPr="003D29F1">
        <w:t xml:space="preserve"> Māori, Pacific, Asian and youth-centric services and supports available to those who want them.</w:t>
      </w:r>
    </w:p>
    <w:p w14:paraId="216A74FF" w14:textId="77777777" w:rsidR="003D29F1" w:rsidRPr="003D29F1" w:rsidRDefault="003D29F1" w:rsidP="003D29F1">
      <w:pPr>
        <w:pStyle w:val="Bullet"/>
      </w:pPr>
      <w:r w:rsidRPr="003D29F1">
        <w:t xml:space="preserve">Quality, </w:t>
      </w:r>
      <w:proofErr w:type="gramStart"/>
      <w:r w:rsidRPr="003D29F1">
        <w:t>accessible</w:t>
      </w:r>
      <w:proofErr w:type="gramEnd"/>
      <w:r w:rsidRPr="003D29F1">
        <w:t xml:space="preserve"> and effective services are designed and delivered.</w:t>
      </w:r>
    </w:p>
    <w:p w14:paraId="0C17110A" w14:textId="77777777" w:rsidR="003D29F1" w:rsidRPr="003D29F1" w:rsidRDefault="003D29F1" w:rsidP="003D29F1">
      <w:pPr>
        <w:pStyle w:val="Bullet"/>
      </w:pPr>
      <w:r w:rsidRPr="003D29F1">
        <w:t>Gambling operators are supported to prevent and minimise harm.</w:t>
      </w:r>
    </w:p>
    <w:p w14:paraId="6BF55B29" w14:textId="77777777" w:rsidR="003D29F1" w:rsidRDefault="003D29F1" w:rsidP="003D29F1">
      <w:pPr>
        <w:pStyle w:val="Heading3"/>
      </w:pPr>
      <w:bookmarkStart w:id="37" w:name="_Toc175089343"/>
      <w:r>
        <w:t xml:space="preserve">Action to grow the gambling harm </w:t>
      </w:r>
      <w:proofErr w:type="gramStart"/>
      <w:r>
        <w:t>workforce</w:t>
      </w:r>
      <w:bookmarkEnd w:id="37"/>
      <w:proofErr w:type="gramEnd"/>
    </w:p>
    <w:p w14:paraId="3EB72C61" w14:textId="77777777" w:rsidR="003D29F1" w:rsidRDefault="003D29F1" w:rsidP="003D29F1">
      <w:pPr>
        <w:pStyle w:val="Bullet"/>
      </w:pPr>
      <w:r w:rsidRPr="00DF131E">
        <w:t>There is a skilled gambling harm prevention and minimisation workforce that includes lived experience and clinical expertise</w:t>
      </w:r>
      <w:r>
        <w:t>.</w:t>
      </w:r>
    </w:p>
    <w:p w14:paraId="142E6214" w14:textId="77777777" w:rsidR="003D29F1" w:rsidRDefault="003D29F1" w:rsidP="003D29F1">
      <w:pPr>
        <w:pStyle w:val="Heading3"/>
      </w:pPr>
      <w:bookmarkStart w:id="38" w:name="_Toc175089344"/>
      <w:r>
        <w:t xml:space="preserve">Actions to strengthen the focus on the prevention and early intervention of gambling </w:t>
      </w:r>
      <w:proofErr w:type="gramStart"/>
      <w:r>
        <w:t>harm</w:t>
      </w:r>
      <w:bookmarkEnd w:id="38"/>
      <w:proofErr w:type="gramEnd"/>
    </w:p>
    <w:p w14:paraId="52754EC3" w14:textId="77777777" w:rsidR="003D29F1" w:rsidRPr="0042698F" w:rsidRDefault="003D29F1" w:rsidP="003D29F1">
      <w:pPr>
        <w:pStyle w:val="Bullet"/>
      </w:pPr>
      <w:r w:rsidRPr="0042698F">
        <w:t>People have the information and support to make healthy choices about gambling</w:t>
      </w:r>
      <w:r>
        <w:t>.</w:t>
      </w:r>
    </w:p>
    <w:p w14:paraId="795B8333" w14:textId="77777777" w:rsidR="003D29F1" w:rsidRPr="0042698F" w:rsidRDefault="003D29F1" w:rsidP="003D29F1">
      <w:pPr>
        <w:pStyle w:val="Bullet"/>
      </w:pPr>
      <w:r w:rsidRPr="0042698F">
        <w:t>Stigma about gambling harm is addressed</w:t>
      </w:r>
      <w:r>
        <w:t>.</w:t>
      </w:r>
    </w:p>
    <w:p w14:paraId="46C53F1A" w14:textId="77777777" w:rsidR="003D29F1" w:rsidRDefault="003D29F1" w:rsidP="003D29F1">
      <w:pPr>
        <w:pStyle w:val="Bullet"/>
      </w:pPr>
      <w:r w:rsidRPr="0042698F">
        <w:t xml:space="preserve">There are policies at national, </w:t>
      </w:r>
      <w:proofErr w:type="gramStart"/>
      <w:r w:rsidRPr="0042698F">
        <w:t>regional</w:t>
      </w:r>
      <w:proofErr w:type="gramEnd"/>
      <w:r w:rsidRPr="0042698F">
        <w:t xml:space="preserve"> and local levels that prevent and minimise gambling harm</w:t>
      </w:r>
      <w:r>
        <w:t>.</w:t>
      </w:r>
    </w:p>
    <w:p w14:paraId="1812A0CA" w14:textId="77777777" w:rsidR="003D29F1" w:rsidRDefault="003D29F1" w:rsidP="003D29F1">
      <w:pPr>
        <w:pStyle w:val="Heading3"/>
      </w:pPr>
      <w:bookmarkStart w:id="39" w:name="_Toc175089345"/>
      <w:r>
        <w:lastRenderedPageBreak/>
        <w:t xml:space="preserve">Actions to improve the effectiveness of gambling harm </w:t>
      </w:r>
      <w:proofErr w:type="gramStart"/>
      <w:r>
        <w:t>support</w:t>
      </w:r>
      <w:bookmarkEnd w:id="39"/>
      <w:proofErr w:type="gramEnd"/>
    </w:p>
    <w:p w14:paraId="1DAF1EC8" w14:textId="77777777" w:rsidR="003D29F1" w:rsidRPr="00BD133B" w:rsidRDefault="003D29F1" w:rsidP="003D29F1">
      <w:pPr>
        <w:pStyle w:val="Bullet"/>
      </w:pPr>
      <w:r w:rsidRPr="00BD133B">
        <w:rPr>
          <w:color w:val="000000"/>
        </w:rPr>
        <w:t>People are supported to participate in decisions about gambling in their communities</w:t>
      </w:r>
      <w:r>
        <w:rPr>
          <w:color w:val="000000"/>
        </w:rPr>
        <w:t>.</w:t>
      </w:r>
    </w:p>
    <w:p w14:paraId="623C9760" w14:textId="77777777" w:rsidR="003D29F1" w:rsidRPr="00BD133B" w:rsidRDefault="003D29F1" w:rsidP="003D29F1">
      <w:pPr>
        <w:pStyle w:val="Bullet"/>
      </w:pPr>
      <w:r w:rsidRPr="00BD133B">
        <w:t>The legislative and regulatory framework for preventing and minimising harm from gambling is strong and effective</w:t>
      </w:r>
      <w:r>
        <w:t>.</w:t>
      </w:r>
    </w:p>
    <w:p w14:paraId="49882AF8" w14:textId="77777777" w:rsidR="003D29F1" w:rsidRPr="00BD133B" w:rsidRDefault="003D29F1" w:rsidP="003D29F1">
      <w:pPr>
        <w:pStyle w:val="Bullet"/>
      </w:pPr>
      <w:r w:rsidRPr="00BD133B">
        <w:rPr>
          <w:color w:val="000000" w:themeColor="text1"/>
        </w:rPr>
        <w:t xml:space="preserve">Technology, </w:t>
      </w:r>
      <w:proofErr w:type="gramStart"/>
      <w:r w:rsidRPr="00BD133B">
        <w:rPr>
          <w:color w:val="000000" w:themeColor="text1"/>
        </w:rPr>
        <w:t>research</w:t>
      </w:r>
      <w:proofErr w:type="gramEnd"/>
      <w:r w:rsidRPr="00BD133B">
        <w:rPr>
          <w:color w:val="000000" w:themeColor="text1"/>
        </w:rPr>
        <w:t xml:space="preserve"> and evidence inform policy and service design and delivery</w:t>
      </w:r>
      <w:r>
        <w:rPr>
          <w:color w:val="000000" w:themeColor="text1"/>
        </w:rPr>
        <w:t>.</w:t>
      </w:r>
    </w:p>
    <w:p w14:paraId="3B8EA5DF" w14:textId="77777777" w:rsidR="003D29F1" w:rsidRDefault="003D29F1" w:rsidP="003D29F1">
      <w:pPr>
        <w:pStyle w:val="Heading1"/>
        <w:sectPr w:rsidR="003D29F1" w:rsidSect="00835945">
          <w:pgSz w:w="11907" w:h="16840" w:code="9"/>
          <w:pgMar w:top="1418" w:right="1701" w:bottom="1134" w:left="1843" w:header="284" w:footer="425" w:gutter="284"/>
          <w:cols w:space="720"/>
        </w:sectPr>
      </w:pPr>
      <w:bookmarkStart w:id="40" w:name="_Toc71102155"/>
      <w:bookmarkStart w:id="41" w:name="_Toc76550162"/>
      <w:bookmarkStart w:id="42" w:name="_Toc82618420"/>
      <w:bookmarkStart w:id="43" w:name="_Toc175089346"/>
      <w:bookmarkStart w:id="44" w:name="_Toc61962041"/>
      <w:bookmarkStart w:id="45" w:name="_Toc71549980"/>
      <w:bookmarkStart w:id="46" w:name="_Toc76550139"/>
    </w:p>
    <w:p w14:paraId="07E557EB" w14:textId="6D10E0D8" w:rsidR="003D29F1" w:rsidRPr="0003777A" w:rsidRDefault="003D29F1" w:rsidP="003D29F1">
      <w:pPr>
        <w:pStyle w:val="Heading1"/>
      </w:pPr>
      <w:bookmarkStart w:id="47" w:name="_Toc175225093"/>
      <w:r>
        <w:lastRenderedPageBreak/>
        <w:t>Have your say on the d</w:t>
      </w:r>
      <w:r w:rsidRPr="00D70A45">
        <w:t xml:space="preserve">raft </w:t>
      </w:r>
      <w:r>
        <w:t>s</w:t>
      </w:r>
      <w:r w:rsidRPr="00D70A45">
        <w:t xml:space="preserve">ervice </w:t>
      </w:r>
      <w:r>
        <w:t>p</w:t>
      </w:r>
      <w:r w:rsidRPr="00D70A45">
        <w:t>lan</w:t>
      </w:r>
      <w:bookmarkEnd w:id="40"/>
      <w:bookmarkEnd w:id="41"/>
      <w:r>
        <w:t xml:space="preserve"> for </w:t>
      </w:r>
      <w:r w:rsidRPr="00D70A45">
        <w:t>202</w:t>
      </w:r>
      <w:r>
        <w:t>5</w:t>
      </w:r>
      <w:r w:rsidRPr="00D70A45">
        <w:t>/2</w:t>
      </w:r>
      <w:r>
        <w:t>6</w:t>
      </w:r>
      <w:r w:rsidRPr="00D70A45">
        <w:t xml:space="preserve"> to </w:t>
      </w:r>
      <w:proofErr w:type="gramStart"/>
      <w:r w:rsidRPr="00D70A45">
        <w:t>202</w:t>
      </w:r>
      <w:r>
        <w:t>7</w:t>
      </w:r>
      <w:r w:rsidRPr="00D70A45">
        <w:t>/2</w:t>
      </w:r>
      <w:bookmarkEnd w:id="42"/>
      <w:r>
        <w:t>8</w:t>
      </w:r>
      <w:bookmarkEnd w:id="43"/>
      <w:bookmarkEnd w:id="47"/>
      <w:proofErr w:type="gramEnd"/>
    </w:p>
    <w:p w14:paraId="046A9476" w14:textId="77777777" w:rsidR="003D29F1" w:rsidRDefault="003D29F1" w:rsidP="003D29F1">
      <w:bookmarkStart w:id="48" w:name="_Toc71102156"/>
      <w:bookmarkStart w:id="49" w:name="_Toc76550163"/>
      <w:r>
        <w:t>When reading through this section, we would like you to think about the following questions.</w:t>
      </w:r>
    </w:p>
    <w:p w14:paraId="07CE2E4A" w14:textId="77777777" w:rsidR="003D29F1" w:rsidRDefault="003D29F1" w:rsidP="003D29F1">
      <w:pPr>
        <w:pStyle w:val="Heading2"/>
      </w:pPr>
      <w:bookmarkStart w:id="50" w:name="_Toc82618421"/>
      <w:bookmarkStart w:id="51" w:name="_Toc175089347"/>
      <w:bookmarkStart w:id="52" w:name="_Toc175225094"/>
      <w:r>
        <w:t>Questions for you</w:t>
      </w:r>
      <w:bookmarkEnd w:id="50"/>
      <w:bookmarkEnd w:id="51"/>
      <w:bookmarkEnd w:id="52"/>
    </w:p>
    <w:p w14:paraId="0BD281F0" w14:textId="77777777" w:rsidR="003D29F1" w:rsidRDefault="003D29F1" w:rsidP="003D29F1">
      <w:pPr>
        <w:pStyle w:val="Bullet"/>
      </w:pPr>
      <w:r>
        <w:t>Does the draft service plan adequately cover what it needs to cover, for example, does it include the right types of services and activities?</w:t>
      </w:r>
    </w:p>
    <w:p w14:paraId="25CF7861" w14:textId="77777777" w:rsidR="003D29F1" w:rsidRDefault="003D29F1" w:rsidP="003D29F1">
      <w:pPr>
        <w:pStyle w:val="Bullet"/>
      </w:pPr>
      <w:r>
        <w:t>Do you think the proposed funding levels, mix of services and service supports are appropriate?</w:t>
      </w:r>
    </w:p>
    <w:p w14:paraId="2349F0D0" w14:textId="77777777" w:rsidR="003D29F1" w:rsidRDefault="003D29F1" w:rsidP="003D29F1">
      <w:pPr>
        <w:pStyle w:val="Bullet"/>
      </w:pPr>
      <w:r>
        <w:t>Do you agree with the proposed new services and investments?</w:t>
      </w:r>
    </w:p>
    <w:p w14:paraId="66A831A7" w14:textId="77777777" w:rsidR="003D29F1" w:rsidRDefault="003D29F1" w:rsidP="003D29F1">
      <w:pPr>
        <w:pStyle w:val="Bullet"/>
      </w:pPr>
      <w:r>
        <w:t>Do you agree with the priorities for research and evaluation that have been outlined in the draft service plan?</w:t>
      </w:r>
    </w:p>
    <w:p w14:paraId="5D85C88E" w14:textId="77777777" w:rsidR="003D29F1" w:rsidRPr="003D29F1" w:rsidRDefault="003D29F1" w:rsidP="003D29F1">
      <w:pPr>
        <w:pStyle w:val="Heading2"/>
      </w:pPr>
      <w:bookmarkStart w:id="53" w:name="_Toc82618422"/>
      <w:bookmarkStart w:id="54" w:name="_Toc175089348"/>
      <w:bookmarkStart w:id="55" w:name="_Toc175225095"/>
      <w:r w:rsidRPr="003D29F1">
        <w:t>Purpose of the service plan</w:t>
      </w:r>
      <w:bookmarkEnd w:id="48"/>
      <w:bookmarkEnd w:id="49"/>
      <w:bookmarkEnd w:id="53"/>
      <w:bookmarkEnd w:id="54"/>
      <w:bookmarkEnd w:id="55"/>
    </w:p>
    <w:p w14:paraId="706BD736" w14:textId="77777777" w:rsidR="003D29F1" w:rsidRDefault="003D29F1" w:rsidP="003D29F1">
      <w:pPr>
        <w:rPr>
          <w:kern w:val="22"/>
        </w:rPr>
      </w:pPr>
      <w:bookmarkStart w:id="56" w:name="_Toc71102157"/>
      <w:r>
        <w:t xml:space="preserve">The draft service plan details </w:t>
      </w:r>
      <w:r w:rsidRPr="00262521">
        <w:t>pr</w:t>
      </w:r>
      <w:r>
        <w:t xml:space="preserve">oposals </w:t>
      </w:r>
      <w:r w:rsidRPr="00262521">
        <w:t xml:space="preserve">and budgets </w:t>
      </w:r>
      <w:r>
        <w:t>for our work towards the strategy’s outcomes for the next three years.</w:t>
      </w:r>
      <w:r w:rsidRPr="001E1908">
        <w:rPr>
          <w:kern w:val="22"/>
        </w:rPr>
        <w:t xml:space="preserve"> </w:t>
      </w:r>
    </w:p>
    <w:p w14:paraId="742C1478" w14:textId="77777777" w:rsidR="003D29F1" w:rsidRDefault="003D29F1" w:rsidP="003D29F1">
      <w:pPr>
        <w:rPr>
          <w:kern w:val="22"/>
        </w:rPr>
      </w:pPr>
    </w:p>
    <w:p w14:paraId="5A1A487D" w14:textId="77777777" w:rsidR="003D29F1" w:rsidRDefault="003D29F1" w:rsidP="003D29F1">
      <w:r>
        <w:rPr>
          <w:kern w:val="22"/>
        </w:rPr>
        <w:t xml:space="preserve">This overview includes a summary of the activities to be funded and associated costings. More information is </w:t>
      </w:r>
      <w:r w:rsidRPr="00A93824">
        <w:rPr>
          <w:kern w:val="22"/>
        </w:rPr>
        <w:t xml:space="preserve">available </w:t>
      </w:r>
      <w:r>
        <w:rPr>
          <w:kern w:val="22"/>
        </w:rPr>
        <w:t>in the full consultation document and appendices on</w:t>
      </w:r>
      <w:r w:rsidRPr="00A93824">
        <w:rPr>
          <w:kern w:val="22"/>
        </w:rPr>
        <w:t xml:space="preserve"> </w:t>
      </w:r>
      <w:r>
        <w:rPr>
          <w:kern w:val="22"/>
        </w:rPr>
        <w:t xml:space="preserve">the </w:t>
      </w:r>
      <w:hyperlink r:id="rId29" w:history="1">
        <w:r w:rsidRPr="007B04F2">
          <w:rPr>
            <w:rStyle w:val="Hyperlink"/>
            <w:bCs/>
          </w:rPr>
          <w:t xml:space="preserve">Strategy to Prevent and Minimise Gambling Harm Consultation </w:t>
        </w:r>
        <w:r>
          <w:rPr>
            <w:rStyle w:val="Hyperlink"/>
            <w:bCs/>
          </w:rPr>
          <w:t>web</w:t>
        </w:r>
        <w:r w:rsidRPr="007B04F2">
          <w:rPr>
            <w:rStyle w:val="Hyperlink"/>
            <w:bCs/>
          </w:rPr>
          <w:t>page</w:t>
        </w:r>
      </w:hyperlink>
      <w:r w:rsidRPr="007B04F2">
        <w:t>.</w:t>
      </w:r>
    </w:p>
    <w:p w14:paraId="02A91B3D" w14:textId="77777777" w:rsidR="003D29F1" w:rsidRPr="003D29F1" w:rsidRDefault="003D29F1" w:rsidP="003D29F1">
      <w:pPr>
        <w:pStyle w:val="Heading2"/>
      </w:pPr>
      <w:bookmarkStart w:id="57" w:name="_Toc175089349"/>
      <w:bookmarkStart w:id="58" w:name="_Toc175225096"/>
      <w:r w:rsidRPr="003D29F1">
        <w:t>Draft service plan</w:t>
      </w:r>
      <w:bookmarkEnd w:id="57"/>
      <w:bookmarkEnd w:id="58"/>
      <w:r w:rsidRPr="003D29F1">
        <w:t xml:space="preserve"> </w:t>
      </w:r>
    </w:p>
    <w:p w14:paraId="2C869BFF" w14:textId="2BDC3428" w:rsidR="003D29F1" w:rsidRDefault="003D29F1" w:rsidP="003D29F1">
      <w:r w:rsidRPr="00292FD7">
        <w:t xml:space="preserve">A new three-year service plan aims to expand provision of clinical and public health approaches to gambling harm minimisation and prevention, as well as develop a prioritised research programme. </w:t>
      </w:r>
      <w:bookmarkStart w:id="59" w:name="_Hlk171428510"/>
    </w:p>
    <w:p w14:paraId="39C9B5A1" w14:textId="77777777" w:rsidR="003D29F1" w:rsidRPr="00292FD7" w:rsidRDefault="003D29F1" w:rsidP="003D29F1"/>
    <w:p w14:paraId="431B5F41" w14:textId="77777777" w:rsidR="003D29F1" w:rsidRPr="00292FD7" w:rsidRDefault="003D29F1" w:rsidP="003D29F1">
      <w:r w:rsidRPr="00292FD7">
        <w:t>The plan includes proposals to:</w:t>
      </w:r>
    </w:p>
    <w:p w14:paraId="0C221463" w14:textId="77777777" w:rsidR="003D29F1" w:rsidRPr="003D29F1" w:rsidRDefault="003D29F1" w:rsidP="003D29F1">
      <w:pPr>
        <w:pStyle w:val="Bullet"/>
      </w:pPr>
      <w:r w:rsidRPr="003D29F1">
        <w:rPr>
          <w:b/>
          <w:bCs/>
        </w:rPr>
        <w:t>increase access</w:t>
      </w:r>
      <w:r w:rsidRPr="003D29F1">
        <w:t xml:space="preserve"> by expanding clinical service provision, both in terms of the type of service/population served (for example, more high-intensity support) and location (filling some areas that do not currently have face-to-face services)</w:t>
      </w:r>
    </w:p>
    <w:p w14:paraId="1274D04A" w14:textId="77777777" w:rsidR="003D29F1" w:rsidRPr="003D29F1" w:rsidRDefault="003D29F1" w:rsidP="003D29F1">
      <w:pPr>
        <w:pStyle w:val="Bullet"/>
      </w:pPr>
      <w:r w:rsidRPr="003D29F1">
        <w:rPr>
          <w:b/>
          <w:bCs/>
        </w:rPr>
        <w:t>grow the workforce</w:t>
      </w:r>
      <w:r w:rsidRPr="003D29F1">
        <w:t xml:space="preserve"> by supporting new entrants to the workforce and retaining existing workers (for both the peer and clinical workforces)</w:t>
      </w:r>
    </w:p>
    <w:p w14:paraId="266774CF" w14:textId="77777777" w:rsidR="003D29F1" w:rsidRPr="003D29F1" w:rsidRDefault="003D29F1" w:rsidP="003D29F1">
      <w:pPr>
        <w:pStyle w:val="Bullet"/>
      </w:pPr>
      <w:r w:rsidRPr="003D29F1">
        <w:rPr>
          <w:b/>
          <w:bCs/>
        </w:rPr>
        <w:lastRenderedPageBreak/>
        <w:t>prevent harm and intervene early</w:t>
      </w:r>
      <w:r w:rsidRPr="003D29F1">
        <w:t xml:space="preserve"> by delivering a range of community-focused health promotion activities to prevent gambling </w:t>
      </w:r>
      <w:proofErr w:type="gramStart"/>
      <w:r w:rsidRPr="003D29F1">
        <w:t>harm</w:t>
      </w:r>
      <w:proofErr w:type="gramEnd"/>
    </w:p>
    <w:p w14:paraId="69F8FF70" w14:textId="77777777" w:rsidR="003D29F1" w:rsidRPr="003D29F1" w:rsidRDefault="003D29F1" w:rsidP="003D29F1">
      <w:pPr>
        <w:pStyle w:val="Bullet"/>
      </w:pPr>
      <w:r w:rsidRPr="003D29F1">
        <w:rPr>
          <w:b/>
          <w:bCs/>
        </w:rPr>
        <w:t>improve effectiveness</w:t>
      </w:r>
      <w:r w:rsidRPr="003D29F1">
        <w:t xml:space="preserve"> by commissioning a suite of research and evaluation projects, including evaluation of all clinical services and an impact evaluation of the strategy itself.</w:t>
      </w:r>
    </w:p>
    <w:p w14:paraId="106C6E84" w14:textId="77777777" w:rsidR="003D29F1" w:rsidRPr="007F4B4C" w:rsidRDefault="003D29F1" w:rsidP="003D29F1">
      <w:pPr>
        <w:pStyle w:val="Heading2"/>
      </w:pPr>
      <w:bookmarkStart w:id="60" w:name="_Toc175089350"/>
      <w:bookmarkStart w:id="61" w:name="_Toc175225097"/>
      <w:bookmarkEnd w:id="59"/>
      <w:r w:rsidRPr="00483631">
        <w:t>I</w:t>
      </w:r>
      <w:r>
        <w:t>n</w:t>
      </w:r>
      <w:r w:rsidRPr="00483631">
        <w:t>dicative budget for 202</w:t>
      </w:r>
      <w:r>
        <w:t>5</w:t>
      </w:r>
      <w:r w:rsidRPr="00483631">
        <w:t>/2</w:t>
      </w:r>
      <w:r>
        <w:t>6</w:t>
      </w:r>
      <w:r w:rsidRPr="00483631">
        <w:t xml:space="preserve"> to 202</w:t>
      </w:r>
      <w:r>
        <w:t>7</w:t>
      </w:r>
      <w:r w:rsidRPr="00483631">
        <w:t>/2</w:t>
      </w:r>
      <w:r>
        <w:t>8</w:t>
      </w:r>
      <w:bookmarkEnd w:id="60"/>
      <w:bookmarkEnd w:id="61"/>
    </w:p>
    <w:p w14:paraId="2AD876FA" w14:textId="77777777" w:rsidR="003D29F1" w:rsidRDefault="003D29F1" w:rsidP="003D29F1">
      <w:r w:rsidRPr="00292FD7">
        <w:t>The package of investment has been costed at $8</w:t>
      </w:r>
      <w:r>
        <w:t>7</w:t>
      </w:r>
      <w:r w:rsidRPr="00292FD7">
        <w:t>.</w:t>
      </w:r>
      <w:r>
        <w:t>7</w:t>
      </w:r>
      <w:r w:rsidRPr="00292FD7">
        <w:t>18 million over the three years, an increase of $11.</w:t>
      </w:r>
      <w:r>
        <w:t>5</w:t>
      </w:r>
      <w:r w:rsidRPr="00292FD7">
        <w:t>95</w:t>
      </w:r>
      <w:r>
        <w:t> </w:t>
      </w:r>
      <w:r w:rsidRPr="00292FD7">
        <w:t xml:space="preserve">million on </w:t>
      </w:r>
      <w:r>
        <w:t xml:space="preserve">the last </w:t>
      </w:r>
      <w:r w:rsidRPr="00292FD7">
        <w:t xml:space="preserve">budget. </w:t>
      </w:r>
    </w:p>
    <w:p w14:paraId="4D591110" w14:textId="77777777" w:rsidR="003D29F1" w:rsidRDefault="003D29F1" w:rsidP="003D29F1"/>
    <w:p w14:paraId="6CF06E26" w14:textId="77777777" w:rsidR="003D29F1" w:rsidRDefault="003D29F1" w:rsidP="003D29F1">
      <w:r w:rsidRPr="00292FD7">
        <w:t>The increase includes a proposed transfer of $3.412 million</w:t>
      </w:r>
      <w:r>
        <w:t xml:space="preserve"> that was not spent in the last strategy</w:t>
      </w:r>
      <w:r w:rsidRPr="00292FD7">
        <w:t xml:space="preserve">, </w:t>
      </w:r>
      <w:r>
        <w:t xml:space="preserve">so only </w:t>
      </w:r>
      <w:r w:rsidRPr="00292FD7">
        <w:t>$8.</w:t>
      </w:r>
      <w:r>
        <w:t>1</w:t>
      </w:r>
      <w:r w:rsidRPr="00292FD7">
        <w:t>83 million</w:t>
      </w:r>
      <w:r>
        <w:t xml:space="preserve"> is new funding</w:t>
      </w:r>
      <w:r w:rsidRPr="00292FD7">
        <w:t>.</w:t>
      </w:r>
    </w:p>
    <w:p w14:paraId="5EBE91C0" w14:textId="77777777" w:rsidR="003D29F1" w:rsidRPr="00292FD7" w:rsidRDefault="003D29F1" w:rsidP="003D29F1"/>
    <w:p w14:paraId="4FEA6CF5" w14:textId="77777777" w:rsidR="003D29F1" w:rsidRPr="006F3BB2" w:rsidRDefault="003D29F1" w:rsidP="003D29F1">
      <w:pPr>
        <w:rPr>
          <w:rFonts w:eastAsiaTheme="majorEastAsia"/>
          <w:i/>
          <w:iCs/>
          <w:color w:val="365F91" w:themeColor="accent1" w:themeShade="BF"/>
        </w:rPr>
      </w:pPr>
      <w:r>
        <w:t>About h</w:t>
      </w:r>
      <w:r w:rsidRPr="00292FD7">
        <w:t xml:space="preserve">alf </w:t>
      </w:r>
      <w:r>
        <w:t xml:space="preserve">of this </w:t>
      </w:r>
      <w:r w:rsidRPr="00292FD7">
        <w:t>is for new services and interventions (such as service promotion, workforce development and an online gambling exclusion system)</w:t>
      </w:r>
      <w:r>
        <w:t>,</w:t>
      </w:r>
      <w:r w:rsidRPr="00292FD7">
        <w:t xml:space="preserve"> and half will be used to </w:t>
      </w:r>
      <w:r>
        <w:t>cover the increase in service costs and the number of people needing help</w:t>
      </w:r>
      <w:r w:rsidRPr="00292FD7">
        <w:t>.</w:t>
      </w:r>
      <w:bookmarkEnd w:id="44"/>
      <w:bookmarkEnd w:id="45"/>
      <w:bookmarkEnd w:id="46"/>
      <w:bookmarkEnd w:id="56"/>
    </w:p>
    <w:p w14:paraId="4339FA4C" w14:textId="77777777" w:rsidR="008D5AF1" w:rsidRDefault="008D5AF1" w:rsidP="00835945">
      <w:pPr>
        <w:sectPr w:rsidR="008D5AF1" w:rsidSect="00835945">
          <w:pgSz w:w="11907" w:h="16840" w:code="9"/>
          <w:pgMar w:top="1418" w:right="1701" w:bottom="1134" w:left="1843" w:header="284" w:footer="425" w:gutter="284"/>
          <w:cols w:space="720"/>
        </w:sectPr>
      </w:pPr>
    </w:p>
    <w:p w14:paraId="24A8BA36" w14:textId="5EEBBADE" w:rsidR="003D29F1" w:rsidRDefault="003D29F1" w:rsidP="003D29F1">
      <w:pPr>
        <w:pStyle w:val="Heading2"/>
        <w:spacing w:before="0"/>
      </w:pPr>
      <w:bookmarkStart w:id="62" w:name="_Toc175225098"/>
      <w:r w:rsidRPr="003D29F1">
        <w:lastRenderedPageBreak/>
        <w:t>Summary of service plan and budget</w:t>
      </w:r>
      <w:bookmarkEnd w:id="62"/>
    </w:p>
    <w:tbl>
      <w:tblPr>
        <w:tblStyle w:val="TableGrid"/>
        <w:tblW w:w="14322" w:type="dxa"/>
        <w:tblInd w:w="-5"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1843"/>
        <w:gridCol w:w="851"/>
        <w:gridCol w:w="850"/>
        <w:gridCol w:w="851"/>
        <w:gridCol w:w="1139"/>
        <w:gridCol w:w="8788"/>
      </w:tblGrid>
      <w:tr w:rsidR="003D29F1" w:rsidRPr="00852A9E" w14:paraId="1E04CF1B" w14:textId="77777777" w:rsidTr="00B56138">
        <w:trPr>
          <w:trHeight w:val="300"/>
          <w:tblHeader/>
        </w:trPr>
        <w:tc>
          <w:tcPr>
            <w:tcW w:w="1843" w:type="dxa"/>
            <w:tcBorders>
              <w:top w:val="nil"/>
              <w:bottom w:val="nil"/>
            </w:tcBorders>
            <w:shd w:val="clear" w:color="auto" w:fill="D9D9D9" w:themeFill="background1" w:themeFillShade="D9"/>
          </w:tcPr>
          <w:p w14:paraId="1F3F1C34" w14:textId="77777777" w:rsidR="003D29F1" w:rsidRPr="00852A9E" w:rsidRDefault="003D29F1" w:rsidP="00802307">
            <w:pPr>
              <w:pStyle w:val="TableText"/>
              <w:rPr>
                <w:b/>
                <w:bCs/>
                <w:sz w:val="17"/>
                <w:szCs w:val="17"/>
              </w:rPr>
            </w:pPr>
            <w:r w:rsidRPr="00852A9E">
              <w:rPr>
                <w:b/>
                <w:bCs/>
                <w:sz w:val="17"/>
                <w:szCs w:val="17"/>
              </w:rPr>
              <w:t>Priority</w:t>
            </w:r>
          </w:p>
        </w:tc>
        <w:tc>
          <w:tcPr>
            <w:tcW w:w="851" w:type="dxa"/>
            <w:tcBorders>
              <w:top w:val="nil"/>
              <w:bottom w:val="nil"/>
            </w:tcBorders>
            <w:shd w:val="clear" w:color="auto" w:fill="D9D9D9" w:themeFill="background1" w:themeFillShade="D9"/>
          </w:tcPr>
          <w:p w14:paraId="5329B00F" w14:textId="075C7875" w:rsidR="003D29F1" w:rsidRPr="00852A9E" w:rsidRDefault="003D29F1" w:rsidP="00802307">
            <w:pPr>
              <w:pStyle w:val="TableText"/>
              <w:rPr>
                <w:b/>
                <w:bCs/>
                <w:sz w:val="17"/>
                <w:szCs w:val="17"/>
              </w:rPr>
            </w:pPr>
            <w:r w:rsidRPr="00852A9E">
              <w:rPr>
                <w:rFonts w:eastAsia="Calibri"/>
                <w:b/>
                <w:bCs/>
                <w:sz w:val="17"/>
                <w:szCs w:val="17"/>
              </w:rPr>
              <w:t>2025/</w:t>
            </w:r>
            <w:r w:rsidRPr="00852A9E">
              <w:rPr>
                <w:rFonts w:eastAsia="Calibri"/>
                <w:b/>
                <w:bCs/>
                <w:sz w:val="17"/>
                <w:szCs w:val="17"/>
              </w:rPr>
              <w:br/>
              <w:t>26</w:t>
            </w:r>
          </w:p>
        </w:tc>
        <w:tc>
          <w:tcPr>
            <w:tcW w:w="850" w:type="dxa"/>
            <w:tcBorders>
              <w:top w:val="nil"/>
              <w:bottom w:val="nil"/>
            </w:tcBorders>
            <w:shd w:val="clear" w:color="auto" w:fill="D9D9D9" w:themeFill="background1" w:themeFillShade="D9"/>
          </w:tcPr>
          <w:p w14:paraId="01541FFF" w14:textId="0185DA34" w:rsidR="003D29F1" w:rsidRPr="00852A9E" w:rsidRDefault="003D29F1" w:rsidP="00802307">
            <w:pPr>
              <w:pStyle w:val="TableText"/>
              <w:rPr>
                <w:b/>
                <w:bCs/>
                <w:sz w:val="17"/>
                <w:szCs w:val="17"/>
              </w:rPr>
            </w:pPr>
            <w:r w:rsidRPr="00852A9E">
              <w:rPr>
                <w:rFonts w:eastAsia="Calibri"/>
                <w:b/>
                <w:bCs/>
                <w:sz w:val="17"/>
                <w:szCs w:val="17"/>
              </w:rPr>
              <w:t>2026/</w:t>
            </w:r>
            <w:r w:rsidRPr="00852A9E">
              <w:rPr>
                <w:rFonts w:eastAsia="Calibri"/>
                <w:b/>
                <w:bCs/>
                <w:sz w:val="17"/>
                <w:szCs w:val="17"/>
              </w:rPr>
              <w:br/>
              <w:t>27</w:t>
            </w:r>
          </w:p>
        </w:tc>
        <w:tc>
          <w:tcPr>
            <w:tcW w:w="851" w:type="dxa"/>
            <w:tcBorders>
              <w:top w:val="nil"/>
              <w:bottom w:val="nil"/>
            </w:tcBorders>
            <w:shd w:val="clear" w:color="auto" w:fill="D9D9D9" w:themeFill="background1" w:themeFillShade="D9"/>
          </w:tcPr>
          <w:p w14:paraId="135C265F" w14:textId="0710AB20" w:rsidR="003D29F1" w:rsidRPr="00852A9E" w:rsidRDefault="003D29F1" w:rsidP="00802307">
            <w:pPr>
              <w:pStyle w:val="TableText"/>
              <w:rPr>
                <w:b/>
                <w:bCs/>
                <w:sz w:val="17"/>
                <w:szCs w:val="17"/>
              </w:rPr>
            </w:pPr>
            <w:r w:rsidRPr="00852A9E">
              <w:rPr>
                <w:rFonts w:eastAsia="Calibri"/>
                <w:b/>
                <w:bCs/>
                <w:sz w:val="17"/>
                <w:szCs w:val="17"/>
              </w:rPr>
              <w:t>2027/</w:t>
            </w:r>
            <w:r w:rsidRPr="00852A9E">
              <w:rPr>
                <w:rFonts w:eastAsia="Calibri"/>
                <w:b/>
                <w:bCs/>
                <w:sz w:val="17"/>
                <w:szCs w:val="17"/>
              </w:rPr>
              <w:br/>
              <w:t>28</w:t>
            </w:r>
          </w:p>
        </w:tc>
        <w:tc>
          <w:tcPr>
            <w:tcW w:w="1139" w:type="dxa"/>
            <w:tcBorders>
              <w:top w:val="nil"/>
              <w:bottom w:val="nil"/>
            </w:tcBorders>
            <w:shd w:val="clear" w:color="auto" w:fill="D9D9D9" w:themeFill="background1" w:themeFillShade="D9"/>
          </w:tcPr>
          <w:p w14:paraId="5138CED9" w14:textId="77777777" w:rsidR="003D29F1" w:rsidRPr="00852A9E" w:rsidRDefault="003D29F1" w:rsidP="00802307">
            <w:pPr>
              <w:pStyle w:val="TableText"/>
              <w:rPr>
                <w:b/>
                <w:bCs/>
                <w:sz w:val="17"/>
                <w:szCs w:val="17"/>
              </w:rPr>
            </w:pPr>
            <w:r w:rsidRPr="00852A9E">
              <w:rPr>
                <w:rFonts w:eastAsia="Calibri"/>
                <w:b/>
                <w:bCs/>
                <w:sz w:val="17"/>
                <w:szCs w:val="17"/>
              </w:rPr>
              <w:t>Total ($ million)</w:t>
            </w:r>
          </w:p>
        </w:tc>
        <w:tc>
          <w:tcPr>
            <w:tcW w:w="8788" w:type="dxa"/>
            <w:tcBorders>
              <w:top w:val="nil"/>
              <w:bottom w:val="nil"/>
            </w:tcBorders>
            <w:shd w:val="clear" w:color="auto" w:fill="D9D9D9" w:themeFill="background1" w:themeFillShade="D9"/>
          </w:tcPr>
          <w:p w14:paraId="0B6432FD" w14:textId="77777777" w:rsidR="003D29F1" w:rsidRPr="00852A9E" w:rsidRDefault="003D29F1" w:rsidP="00802307">
            <w:pPr>
              <w:pStyle w:val="TableText"/>
              <w:rPr>
                <w:rFonts w:eastAsia="Calibri"/>
                <w:b/>
                <w:bCs/>
                <w:sz w:val="17"/>
                <w:szCs w:val="17"/>
              </w:rPr>
            </w:pPr>
            <w:r w:rsidRPr="00852A9E">
              <w:rPr>
                <w:rFonts w:eastAsia="Calibri"/>
                <w:b/>
                <w:bCs/>
                <w:sz w:val="17"/>
                <w:szCs w:val="17"/>
              </w:rPr>
              <w:t>Summary of service plan commitments</w:t>
            </w:r>
          </w:p>
        </w:tc>
      </w:tr>
      <w:tr w:rsidR="00B56138" w:rsidRPr="00852A9E" w14:paraId="7B3D62D9" w14:textId="77777777" w:rsidTr="00B56138">
        <w:trPr>
          <w:trHeight w:val="300"/>
        </w:trPr>
        <w:tc>
          <w:tcPr>
            <w:tcW w:w="1843" w:type="dxa"/>
            <w:tcBorders>
              <w:top w:val="nil"/>
            </w:tcBorders>
            <w:vAlign w:val="center"/>
          </w:tcPr>
          <w:p w14:paraId="398A0551" w14:textId="77777777" w:rsidR="003D29F1" w:rsidRPr="00852A9E" w:rsidRDefault="003D29F1" w:rsidP="00802307">
            <w:pPr>
              <w:pStyle w:val="TableText"/>
              <w:rPr>
                <w:b/>
                <w:bCs/>
                <w:sz w:val="17"/>
                <w:szCs w:val="17"/>
              </w:rPr>
            </w:pPr>
            <w:r w:rsidRPr="00852A9E">
              <w:rPr>
                <w:rFonts w:eastAsia="Calibri"/>
                <w:b/>
                <w:bCs/>
                <w:sz w:val="17"/>
                <w:szCs w:val="17"/>
              </w:rPr>
              <w:t xml:space="preserve">Increase access to gambling harm support </w:t>
            </w:r>
          </w:p>
        </w:tc>
        <w:tc>
          <w:tcPr>
            <w:tcW w:w="851" w:type="dxa"/>
            <w:tcBorders>
              <w:top w:val="nil"/>
            </w:tcBorders>
            <w:vAlign w:val="center"/>
          </w:tcPr>
          <w:p w14:paraId="7EFACB57" w14:textId="77777777" w:rsidR="003D29F1" w:rsidRPr="00852A9E" w:rsidRDefault="003D29F1" w:rsidP="00802307">
            <w:pPr>
              <w:pStyle w:val="TableText"/>
              <w:jc w:val="right"/>
              <w:rPr>
                <w:sz w:val="17"/>
                <w:szCs w:val="17"/>
              </w:rPr>
            </w:pPr>
            <w:r w:rsidRPr="00852A9E">
              <w:rPr>
                <w:rFonts w:eastAsia="Arial"/>
                <w:sz w:val="17"/>
                <w:szCs w:val="17"/>
              </w:rPr>
              <w:t>11.258</w:t>
            </w:r>
          </w:p>
        </w:tc>
        <w:tc>
          <w:tcPr>
            <w:tcW w:w="850" w:type="dxa"/>
            <w:tcBorders>
              <w:top w:val="nil"/>
            </w:tcBorders>
            <w:vAlign w:val="center"/>
          </w:tcPr>
          <w:p w14:paraId="7657BD6A" w14:textId="77777777" w:rsidR="003D29F1" w:rsidRPr="00852A9E" w:rsidRDefault="003D29F1" w:rsidP="00802307">
            <w:pPr>
              <w:pStyle w:val="TableText"/>
              <w:jc w:val="right"/>
              <w:rPr>
                <w:sz w:val="17"/>
                <w:szCs w:val="17"/>
              </w:rPr>
            </w:pPr>
            <w:r w:rsidRPr="00852A9E">
              <w:rPr>
                <w:rFonts w:eastAsia="Arial"/>
                <w:sz w:val="17"/>
                <w:szCs w:val="17"/>
              </w:rPr>
              <w:t>12.023</w:t>
            </w:r>
          </w:p>
        </w:tc>
        <w:tc>
          <w:tcPr>
            <w:tcW w:w="851" w:type="dxa"/>
            <w:tcBorders>
              <w:top w:val="nil"/>
            </w:tcBorders>
            <w:vAlign w:val="center"/>
          </w:tcPr>
          <w:p w14:paraId="1F0A929B" w14:textId="77777777" w:rsidR="003D29F1" w:rsidRPr="00852A9E" w:rsidRDefault="003D29F1" w:rsidP="00802307">
            <w:pPr>
              <w:pStyle w:val="TableText"/>
              <w:jc w:val="right"/>
              <w:rPr>
                <w:sz w:val="17"/>
                <w:szCs w:val="17"/>
              </w:rPr>
            </w:pPr>
            <w:r w:rsidRPr="00852A9E">
              <w:rPr>
                <w:rFonts w:eastAsia="Arial"/>
                <w:sz w:val="17"/>
                <w:szCs w:val="17"/>
              </w:rPr>
              <w:t>12.588</w:t>
            </w:r>
          </w:p>
        </w:tc>
        <w:tc>
          <w:tcPr>
            <w:tcW w:w="1139" w:type="dxa"/>
            <w:tcBorders>
              <w:top w:val="nil"/>
            </w:tcBorders>
            <w:vAlign w:val="center"/>
          </w:tcPr>
          <w:p w14:paraId="73A70AF7" w14:textId="77777777" w:rsidR="003D29F1" w:rsidRPr="00852A9E" w:rsidRDefault="003D29F1" w:rsidP="00802307">
            <w:pPr>
              <w:pStyle w:val="TableText"/>
              <w:jc w:val="right"/>
              <w:rPr>
                <w:sz w:val="17"/>
                <w:szCs w:val="17"/>
              </w:rPr>
            </w:pPr>
            <w:r w:rsidRPr="00852A9E">
              <w:rPr>
                <w:rFonts w:eastAsia="Arial"/>
                <w:sz w:val="17"/>
                <w:szCs w:val="17"/>
              </w:rPr>
              <w:t>35.868</w:t>
            </w:r>
          </w:p>
        </w:tc>
        <w:tc>
          <w:tcPr>
            <w:tcW w:w="8788" w:type="dxa"/>
            <w:tcBorders>
              <w:top w:val="nil"/>
            </w:tcBorders>
          </w:tcPr>
          <w:p w14:paraId="6A5C8A95" w14:textId="77777777" w:rsidR="003D29F1" w:rsidRPr="00852A9E" w:rsidRDefault="003D29F1" w:rsidP="00802307">
            <w:pPr>
              <w:pStyle w:val="Tablebullets"/>
              <w:spacing w:before="40" w:after="40"/>
              <w:rPr>
                <w:sz w:val="17"/>
                <w:szCs w:val="17"/>
              </w:rPr>
            </w:pPr>
            <w:r w:rsidRPr="00852A9E">
              <w:rPr>
                <w:sz w:val="17"/>
                <w:szCs w:val="17"/>
              </w:rPr>
              <w:t xml:space="preserve">Invest in ongoing delivery and improvement of clinical intervention services, including filling regional gaps. Services offerings include dedicated </w:t>
            </w:r>
            <w:proofErr w:type="spellStart"/>
            <w:r w:rsidRPr="00852A9E">
              <w:rPr>
                <w:sz w:val="17"/>
                <w:szCs w:val="17"/>
              </w:rPr>
              <w:t>hauora</w:t>
            </w:r>
            <w:proofErr w:type="spellEnd"/>
            <w:r w:rsidRPr="00852A9E">
              <w:rPr>
                <w:sz w:val="17"/>
                <w:szCs w:val="17"/>
              </w:rPr>
              <w:t xml:space="preserve"> Māori intervention services, as well as services based on Pacific and Asian world views and expertise and expansion of the intensive support coordination service.</w:t>
            </w:r>
          </w:p>
        </w:tc>
      </w:tr>
      <w:tr w:rsidR="00B56138" w:rsidRPr="00852A9E" w14:paraId="34C1AFB0" w14:textId="77777777" w:rsidTr="00B56138">
        <w:trPr>
          <w:trHeight w:val="300"/>
        </w:trPr>
        <w:tc>
          <w:tcPr>
            <w:tcW w:w="1843" w:type="dxa"/>
            <w:vAlign w:val="center"/>
          </w:tcPr>
          <w:p w14:paraId="7D060E2C" w14:textId="77777777" w:rsidR="003D29F1" w:rsidRPr="00852A9E" w:rsidRDefault="003D29F1" w:rsidP="00802307">
            <w:pPr>
              <w:pStyle w:val="TableText"/>
              <w:rPr>
                <w:b/>
                <w:bCs/>
                <w:sz w:val="17"/>
                <w:szCs w:val="17"/>
              </w:rPr>
            </w:pPr>
            <w:r w:rsidRPr="00852A9E">
              <w:rPr>
                <w:rFonts w:eastAsia="Arial"/>
                <w:b/>
                <w:bCs/>
                <w:sz w:val="17"/>
                <w:szCs w:val="17"/>
              </w:rPr>
              <w:t>Grow</w:t>
            </w:r>
            <w:r w:rsidRPr="00852A9E">
              <w:rPr>
                <w:rFonts w:eastAsia="Calibri"/>
                <w:b/>
                <w:bCs/>
                <w:sz w:val="17"/>
                <w:szCs w:val="17"/>
              </w:rPr>
              <w:t xml:space="preserve"> the gambling harm workforce</w:t>
            </w:r>
          </w:p>
        </w:tc>
        <w:tc>
          <w:tcPr>
            <w:tcW w:w="851" w:type="dxa"/>
            <w:vAlign w:val="center"/>
          </w:tcPr>
          <w:p w14:paraId="6C5AAB30" w14:textId="77777777" w:rsidR="003D29F1" w:rsidRPr="00852A9E" w:rsidRDefault="003D29F1" w:rsidP="00802307">
            <w:pPr>
              <w:pStyle w:val="TableText"/>
              <w:jc w:val="right"/>
              <w:rPr>
                <w:sz w:val="17"/>
                <w:szCs w:val="17"/>
              </w:rPr>
            </w:pPr>
            <w:r w:rsidRPr="00852A9E">
              <w:rPr>
                <w:rFonts w:eastAsia="Arial"/>
                <w:sz w:val="17"/>
                <w:szCs w:val="17"/>
              </w:rPr>
              <w:t>1.154</w:t>
            </w:r>
          </w:p>
        </w:tc>
        <w:tc>
          <w:tcPr>
            <w:tcW w:w="850" w:type="dxa"/>
            <w:vAlign w:val="center"/>
          </w:tcPr>
          <w:p w14:paraId="6D663E5B" w14:textId="77777777" w:rsidR="003D29F1" w:rsidRPr="00852A9E" w:rsidRDefault="003D29F1" w:rsidP="00802307">
            <w:pPr>
              <w:pStyle w:val="TableText"/>
              <w:jc w:val="right"/>
              <w:rPr>
                <w:sz w:val="17"/>
                <w:szCs w:val="17"/>
              </w:rPr>
            </w:pPr>
            <w:r w:rsidRPr="00852A9E">
              <w:rPr>
                <w:rFonts w:eastAsia="Arial"/>
                <w:sz w:val="17"/>
                <w:szCs w:val="17"/>
              </w:rPr>
              <w:t>1.504</w:t>
            </w:r>
          </w:p>
        </w:tc>
        <w:tc>
          <w:tcPr>
            <w:tcW w:w="851" w:type="dxa"/>
            <w:vAlign w:val="center"/>
          </w:tcPr>
          <w:p w14:paraId="067314E2" w14:textId="77777777" w:rsidR="003D29F1" w:rsidRPr="00852A9E" w:rsidRDefault="003D29F1" w:rsidP="00802307">
            <w:pPr>
              <w:pStyle w:val="TableText"/>
              <w:jc w:val="right"/>
              <w:rPr>
                <w:sz w:val="17"/>
                <w:szCs w:val="17"/>
              </w:rPr>
            </w:pPr>
            <w:r w:rsidRPr="00852A9E">
              <w:rPr>
                <w:rFonts w:eastAsia="Arial"/>
                <w:sz w:val="17"/>
                <w:szCs w:val="17"/>
              </w:rPr>
              <w:t>1.499</w:t>
            </w:r>
          </w:p>
        </w:tc>
        <w:tc>
          <w:tcPr>
            <w:tcW w:w="1139" w:type="dxa"/>
            <w:vAlign w:val="center"/>
          </w:tcPr>
          <w:p w14:paraId="07F4E444" w14:textId="77777777" w:rsidR="003D29F1" w:rsidRPr="00852A9E" w:rsidRDefault="003D29F1" w:rsidP="00802307">
            <w:pPr>
              <w:pStyle w:val="TableText"/>
              <w:jc w:val="right"/>
              <w:rPr>
                <w:sz w:val="17"/>
                <w:szCs w:val="17"/>
              </w:rPr>
            </w:pPr>
            <w:r w:rsidRPr="00852A9E">
              <w:rPr>
                <w:rFonts w:eastAsia="Arial"/>
                <w:sz w:val="17"/>
                <w:szCs w:val="17"/>
              </w:rPr>
              <w:t>4.156</w:t>
            </w:r>
          </w:p>
        </w:tc>
        <w:tc>
          <w:tcPr>
            <w:tcW w:w="8788" w:type="dxa"/>
          </w:tcPr>
          <w:p w14:paraId="58E5C717" w14:textId="77777777" w:rsidR="003D29F1" w:rsidRPr="00852A9E" w:rsidRDefault="003D29F1" w:rsidP="00802307">
            <w:pPr>
              <w:pStyle w:val="Tablebullets"/>
              <w:spacing w:before="40" w:after="40"/>
              <w:rPr>
                <w:sz w:val="17"/>
                <w:szCs w:val="17"/>
              </w:rPr>
            </w:pPr>
            <w:r w:rsidRPr="00852A9E">
              <w:rPr>
                <w:sz w:val="17"/>
                <w:szCs w:val="17"/>
              </w:rPr>
              <w:t xml:space="preserve">Expand the peer workforce to improve access to a broad spectrum of effective services. This investment will further embed lived experience into gambling harm service provision and planning. </w:t>
            </w:r>
          </w:p>
          <w:p w14:paraId="021394A7" w14:textId="77777777" w:rsidR="003D29F1" w:rsidRPr="00852A9E" w:rsidRDefault="003D29F1" w:rsidP="00802307">
            <w:pPr>
              <w:pStyle w:val="Tablebullets"/>
              <w:spacing w:before="40" w:after="40"/>
              <w:rPr>
                <w:sz w:val="17"/>
                <w:szCs w:val="17"/>
              </w:rPr>
            </w:pPr>
            <w:r w:rsidRPr="00852A9E">
              <w:rPr>
                <w:sz w:val="17"/>
                <w:szCs w:val="17"/>
              </w:rPr>
              <w:t>Develop gambling-harm content for a New Zealand Qualifications Authority level 7 qualification.</w:t>
            </w:r>
          </w:p>
          <w:p w14:paraId="443A6F3C" w14:textId="77777777" w:rsidR="003D29F1" w:rsidRPr="00852A9E" w:rsidRDefault="003D29F1" w:rsidP="00802307">
            <w:pPr>
              <w:pStyle w:val="Tablebullets"/>
              <w:spacing w:before="40" w:after="40"/>
              <w:rPr>
                <w:sz w:val="17"/>
                <w:szCs w:val="17"/>
              </w:rPr>
            </w:pPr>
            <w:r w:rsidRPr="00852A9E">
              <w:rPr>
                <w:sz w:val="17"/>
                <w:szCs w:val="17"/>
              </w:rPr>
              <w:t xml:space="preserve">Invest in clinical internships to help </w:t>
            </w:r>
            <w:proofErr w:type="gramStart"/>
            <w:r w:rsidRPr="00852A9E">
              <w:rPr>
                <w:sz w:val="17"/>
                <w:szCs w:val="17"/>
              </w:rPr>
              <w:t>students</w:t>
            </w:r>
            <w:proofErr w:type="gramEnd"/>
            <w:r w:rsidRPr="00852A9E">
              <w:rPr>
                <w:sz w:val="17"/>
                <w:szCs w:val="17"/>
              </w:rPr>
              <w:t xml:space="preserve"> complete practicum requirements to become fully registered addiction practitioners. </w:t>
            </w:r>
          </w:p>
          <w:p w14:paraId="10CA1CDB" w14:textId="77777777" w:rsidR="003D29F1" w:rsidRPr="00852A9E" w:rsidRDefault="003D29F1" w:rsidP="00802307">
            <w:pPr>
              <w:pStyle w:val="Tablebullets"/>
              <w:spacing w:before="40" w:after="40"/>
              <w:rPr>
                <w:sz w:val="17"/>
                <w:szCs w:val="17"/>
              </w:rPr>
            </w:pPr>
            <w:r w:rsidRPr="00852A9E">
              <w:rPr>
                <w:sz w:val="17"/>
                <w:szCs w:val="17"/>
              </w:rPr>
              <w:t>Provide ongoing professional development for the existing workforce.</w:t>
            </w:r>
          </w:p>
        </w:tc>
      </w:tr>
      <w:tr w:rsidR="00B56138" w:rsidRPr="00852A9E" w14:paraId="11DE042F" w14:textId="77777777" w:rsidTr="00B56138">
        <w:trPr>
          <w:trHeight w:val="300"/>
        </w:trPr>
        <w:tc>
          <w:tcPr>
            <w:tcW w:w="1843" w:type="dxa"/>
            <w:vAlign w:val="center"/>
          </w:tcPr>
          <w:p w14:paraId="057DBA46" w14:textId="77777777" w:rsidR="003D29F1" w:rsidRPr="00852A9E" w:rsidRDefault="003D29F1" w:rsidP="00802307">
            <w:pPr>
              <w:pStyle w:val="TableText"/>
              <w:rPr>
                <w:b/>
                <w:bCs/>
                <w:sz w:val="17"/>
                <w:szCs w:val="17"/>
              </w:rPr>
            </w:pPr>
            <w:r w:rsidRPr="00852A9E">
              <w:rPr>
                <w:rFonts w:eastAsia="Arial"/>
                <w:b/>
                <w:bCs/>
                <w:sz w:val="17"/>
                <w:szCs w:val="17"/>
              </w:rPr>
              <w:t xml:space="preserve">Strengthen </w:t>
            </w:r>
            <w:r w:rsidRPr="00852A9E">
              <w:rPr>
                <w:rFonts w:eastAsia="Calibri"/>
                <w:b/>
                <w:bCs/>
                <w:sz w:val="17"/>
                <w:szCs w:val="17"/>
              </w:rPr>
              <w:t>the focus on the prevention of and early intervention in gambling harm</w:t>
            </w:r>
          </w:p>
        </w:tc>
        <w:tc>
          <w:tcPr>
            <w:tcW w:w="851" w:type="dxa"/>
            <w:vAlign w:val="center"/>
          </w:tcPr>
          <w:p w14:paraId="435FBFE9" w14:textId="77777777" w:rsidR="003D29F1" w:rsidRPr="00852A9E" w:rsidRDefault="003D29F1" w:rsidP="00802307">
            <w:pPr>
              <w:pStyle w:val="TableText"/>
              <w:jc w:val="right"/>
              <w:rPr>
                <w:sz w:val="17"/>
                <w:szCs w:val="17"/>
              </w:rPr>
            </w:pPr>
            <w:r w:rsidRPr="00852A9E">
              <w:rPr>
                <w:rFonts w:eastAsia="Arial"/>
                <w:sz w:val="17"/>
                <w:szCs w:val="17"/>
              </w:rPr>
              <w:t>10.082</w:t>
            </w:r>
          </w:p>
        </w:tc>
        <w:tc>
          <w:tcPr>
            <w:tcW w:w="850" w:type="dxa"/>
            <w:shd w:val="clear" w:color="auto" w:fill="auto"/>
            <w:vAlign w:val="center"/>
          </w:tcPr>
          <w:p w14:paraId="4B521520" w14:textId="77777777" w:rsidR="003D29F1" w:rsidRPr="00852A9E" w:rsidRDefault="003D29F1" w:rsidP="00802307">
            <w:pPr>
              <w:pStyle w:val="TableText"/>
              <w:jc w:val="right"/>
              <w:rPr>
                <w:rFonts w:eastAsia="Arial"/>
                <w:sz w:val="17"/>
                <w:szCs w:val="17"/>
              </w:rPr>
            </w:pPr>
            <w:r w:rsidRPr="00852A9E">
              <w:rPr>
                <w:rFonts w:eastAsia="Arial"/>
                <w:sz w:val="17"/>
                <w:szCs w:val="17"/>
              </w:rPr>
              <w:t>10.049</w:t>
            </w:r>
          </w:p>
        </w:tc>
        <w:tc>
          <w:tcPr>
            <w:tcW w:w="851" w:type="dxa"/>
            <w:shd w:val="clear" w:color="auto" w:fill="auto"/>
            <w:vAlign w:val="center"/>
          </w:tcPr>
          <w:p w14:paraId="27015168" w14:textId="77777777" w:rsidR="003D29F1" w:rsidRPr="00852A9E" w:rsidRDefault="003D29F1" w:rsidP="00802307">
            <w:pPr>
              <w:pStyle w:val="TableText"/>
              <w:jc w:val="right"/>
              <w:rPr>
                <w:rFonts w:eastAsia="Arial"/>
                <w:sz w:val="17"/>
                <w:szCs w:val="17"/>
              </w:rPr>
            </w:pPr>
            <w:r w:rsidRPr="00852A9E">
              <w:rPr>
                <w:rFonts w:eastAsia="Arial"/>
                <w:sz w:val="17"/>
                <w:szCs w:val="17"/>
              </w:rPr>
              <w:t>10.556</w:t>
            </w:r>
          </w:p>
        </w:tc>
        <w:tc>
          <w:tcPr>
            <w:tcW w:w="1139" w:type="dxa"/>
            <w:shd w:val="clear" w:color="auto" w:fill="auto"/>
            <w:vAlign w:val="center"/>
          </w:tcPr>
          <w:p w14:paraId="789CC205" w14:textId="77777777" w:rsidR="003D29F1" w:rsidRPr="00852A9E" w:rsidRDefault="003D29F1" w:rsidP="00802307">
            <w:pPr>
              <w:pStyle w:val="TableText"/>
              <w:jc w:val="right"/>
              <w:rPr>
                <w:rFonts w:eastAsia="Arial"/>
                <w:sz w:val="17"/>
                <w:szCs w:val="17"/>
              </w:rPr>
            </w:pPr>
            <w:r w:rsidRPr="00852A9E">
              <w:rPr>
                <w:rFonts w:eastAsia="Arial"/>
                <w:sz w:val="17"/>
                <w:szCs w:val="17"/>
              </w:rPr>
              <w:t>30.687</w:t>
            </w:r>
          </w:p>
        </w:tc>
        <w:tc>
          <w:tcPr>
            <w:tcW w:w="8788" w:type="dxa"/>
          </w:tcPr>
          <w:p w14:paraId="30CC1F58" w14:textId="77777777" w:rsidR="003D29F1" w:rsidRPr="00852A9E" w:rsidRDefault="003D29F1" w:rsidP="00802307">
            <w:pPr>
              <w:pStyle w:val="Tablebullets"/>
              <w:spacing w:before="40" w:after="40"/>
              <w:rPr>
                <w:sz w:val="17"/>
                <w:szCs w:val="17"/>
              </w:rPr>
            </w:pPr>
            <w:r w:rsidRPr="00852A9E">
              <w:rPr>
                <w:sz w:val="17"/>
                <w:szCs w:val="17"/>
              </w:rPr>
              <w:t>Invest in refreshed national public health promotion and destigmatisation initiatives, alongside new local/regional public health services to empower communities, build awareness and resilience and address stigma and barriers to help seeking. This work will be informed by lived experience.</w:t>
            </w:r>
          </w:p>
          <w:p w14:paraId="21DB519B" w14:textId="77777777" w:rsidR="003D29F1" w:rsidRPr="00852A9E" w:rsidRDefault="003D29F1" w:rsidP="00802307">
            <w:pPr>
              <w:pStyle w:val="Tablebullets"/>
              <w:spacing w:before="40" w:after="40"/>
              <w:rPr>
                <w:sz w:val="17"/>
                <w:szCs w:val="17"/>
              </w:rPr>
            </w:pPr>
            <w:r w:rsidRPr="00852A9E">
              <w:rPr>
                <w:sz w:val="17"/>
                <w:szCs w:val="17"/>
              </w:rPr>
              <w:t>Subject to the new online gambling regulations, scope and develop a national system to allow individuals to block themselves from accessing regulated online/mobile gambling outlets.</w:t>
            </w:r>
          </w:p>
          <w:p w14:paraId="75D66A97" w14:textId="77777777" w:rsidR="003D29F1" w:rsidRPr="00852A9E" w:rsidRDefault="003D29F1" w:rsidP="00802307">
            <w:pPr>
              <w:pStyle w:val="Tablebullets"/>
              <w:spacing w:before="40" w:after="40"/>
              <w:rPr>
                <w:sz w:val="17"/>
                <w:szCs w:val="17"/>
              </w:rPr>
            </w:pPr>
            <w:r w:rsidRPr="00852A9E">
              <w:rPr>
                <w:sz w:val="17"/>
                <w:szCs w:val="17"/>
              </w:rPr>
              <w:t xml:space="preserve">Continue to develop a public health approach in schools to address and prevent gambling harm amongst young people / </w:t>
            </w:r>
            <w:proofErr w:type="spellStart"/>
            <w:r w:rsidRPr="00852A9E">
              <w:rPr>
                <w:sz w:val="17"/>
                <w:szCs w:val="17"/>
              </w:rPr>
              <w:t>rangatahi</w:t>
            </w:r>
            <w:proofErr w:type="spellEnd"/>
            <w:r w:rsidRPr="00852A9E">
              <w:rPr>
                <w:sz w:val="17"/>
                <w:szCs w:val="17"/>
              </w:rPr>
              <w:t xml:space="preserve">. </w:t>
            </w:r>
          </w:p>
          <w:p w14:paraId="3DC42767" w14:textId="77777777" w:rsidR="003D29F1" w:rsidRPr="00852A9E" w:rsidRDefault="003D29F1" w:rsidP="00802307">
            <w:pPr>
              <w:pStyle w:val="Tablebullets"/>
              <w:spacing w:before="40" w:after="40"/>
              <w:rPr>
                <w:sz w:val="17"/>
                <w:szCs w:val="17"/>
              </w:rPr>
            </w:pPr>
            <w:r w:rsidRPr="00852A9E">
              <w:rPr>
                <w:sz w:val="17"/>
                <w:szCs w:val="17"/>
              </w:rPr>
              <w:t>Invest in service promotion and support in primary health care services.</w:t>
            </w:r>
          </w:p>
          <w:p w14:paraId="292880B2" w14:textId="77777777" w:rsidR="003D29F1" w:rsidRPr="00852A9E" w:rsidRDefault="003D29F1" w:rsidP="00802307">
            <w:pPr>
              <w:pStyle w:val="Tablebullets"/>
              <w:spacing w:before="40" w:after="40"/>
              <w:rPr>
                <w:sz w:val="17"/>
                <w:szCs w:val="17"/>
              </w:rPr>
            </w:pPr>
            <w:r w:rsidRPr="00852A9E">
              <w:rPr>
                <w:sz w:val="17"/>
                <w:szCs w:val="17"/>
              </w:rPr>
              <w:t>Enhance efforts to support self-exclusion.</w:t>
            </w:r>
          </w:p>
        </w:tc>
      </w:tr>
      <w:tr w:rsidR="00B56138" w:rsidRPr="00852A9E" w14:paraId="451156ED" w14:textId="77777777" w:rsidTr="00B56138">
        <w:trPr>
          <w:trHeight w:val="300"/>
        </w:trPr>
        <w:tc>
          <w:tcPr>
            <w:tcW w:w="1843" w:type="dxa"/>
            <w:vAlign w:val="center"/>
          </w:tcPr>
          <w:p w14:paraId="0D53388C" w14:textId="77777777" w:rsidR="003D29F1" w:rsidRPr="00852A9E" w:rsidRDefault="003D29F1" w:rsidP="003D29F1">
            <w:pPr>
              <w:pStyle w:val="TableText"/>
              <w:rPr>
                <w:b/>
                <w:bCs/>
                <w:sz w:val="17"/>
                <w:szCs w:val="17"/>
              </w:rPr>
            </w:pPr>
            <w:r w:rsidRPr="00852A9E">
              <w:rPr>
                <w:rFonts w:eastAsia="Arial"/>
                <w:b/>
                <w:bCs/>
                <w:sz w:val="17"/>
                <w:szCs w:val="17"/>
              </w:rPr>
              <w:t xml:space="preserve">Improve </w:t>
            </w:r>
            <w:r w:rsidRPr="00852A9E">
              <w:rPr>
                <w:rFonts w:eastAsia="Calibri"/>
                <w:b/>
                <w:bCs/>
                <w:sz w:val="17"/>
                <w:szCs w:val="17"/>
              </w:rPr>
              <w:t>the effectiveness of gambling harm support</w:t>
            </w:r>
          </w:p>
        </w:tc>
        <w:tc>
          <w:tcPr>
            <w:tcW w:w="851" w:type="dxa"/>
            <w:vAlign w:val="center"/>
          </w:tcPr>
          <w:p w14:paraId="4CAD128C" w14:textId="77777777" w:rsidR="003D29F1" w:rsidRPr="00852A9E" w:rsidRDefault="003D29F1" w:rsidP="003D29F1">
            <w:pPr>
              <w:pStyle w:val="TableText"/>
              <w:jc w:val="right"/>
              <w:rPr>
                <w:sz w:val="17"/>
                <w:szCs w:val="17"/>
              </w:rPr>
            </w:pPr>
            <w:r w:rsidRPr="00852A9E">
              <w:rPr>
                <w:rFonts w:eastAsia="Arial"/>
                <w:sz w:val="17"/>
                <w:szCs w:val="17"/>
              </w:rPr>
              <w:t>3.789</w:t>
            </w:r>
          </w:p>
        </w:tc>
        <w:tc>
          <w:tcPr>
            <w:tcW w:w="850" w:type="dxa"/>
            <w:vAlign w:val="center"/>
          </w:tcPr>
          <w:p w14:paraId="26AD6DD6" w14:textId="77777777" w:rsidR="003D29F1" w:rsidRPr="00852A9E" w:rsidRDefault="003D29F1" w:rsidP="003D29F1">
            <w:pPr>
              <w:pStyle w:val="TableText"/>
              <w:jc w:val="right"/>
              <w:rPr>
                <w:sz w:val="17"/>
                <w:szCs w:val="17"/>
              </w:rPr>
            </w:pPr>
            <w:r w:rsidRPr="00852A9E">
              <w:rPr>
                <w:rFonts w:eastAsia="Arial"/>
                <w:sz w:val="17"/>
                <w:szCs w:val="17"/>
              </w:rPr>
              <w:t>3.654</w:t>
            </w:r>
          </w:p>
        </w:tc>
        <w:tc>
          <w:tcPr>
            <w:tcW w:w="851" w:type="dxa"/>
            <w:vAlign w:val="center"/>
          </w:tcPr>
          <w:p w14:paraId="665B7093" w14:textId="77777777" w:rsidR="003D29F1" w:rsidRPr="00852A9E" w:rsidRDefault="003D29F1" w:rsidP="003D29F1">
            <w:pPr>
              <w:pStyle w:val="TableText"/>
              <w:jc w:val="right"/>
              <w:rPr>
                <w:sz w:val="17"/>
                <w:szCs w:val="17"/>
              </w:rPr>
            </w:pPr>
            <w:r w:rsidRPr="00852A9E">
              <w:rPr>
                <w:rFonts w:eastAsia="Arial"/>
                <w:sz w:val="17"/>
                <w:szCs w:val="17"/>
              </w:rPr>
              <w:t>2.604</w:t>
            </w:r>
          </w:p>
        </w:tc>
        <w:tc>
          <w:tcPr>
            <w:tcW w:w="1139" w:type="dxa"/>
            <w:vAlign w:val="center"/>
          </w:tcPr>
          <w:p w14:paraId="5CFA9C54" w14:textId="77777777" w:rsidR="003D29F1" w:rsidRPr="00852A9E" w:rsidRDefault="003D29F1" w:rsidP="003D29F1">
            <w:pPr>
              <w:pStyle w:val="TableText"/>
              <w:jc w:val="right"/>
              <w:rPr>
                <w:sz w:val="17"/>
                <w:szCs w:val="17"/>
              </w:rPr>
            </w:pPr>
            <w:r w:rsidRPr="00852A9E">
              <w:rPr>
                <w:rFonts w:eastAsia="Arial"/>
                <w:sz w:val="17"/>
                <w:szCs w:val="17"/>
              </w:rPr>
              <w:t>10.047</w:t>
            </w:r>
          </w:p>
        </w:tc>
        <w:tc>
          <w:tcPr>
            <w:tcW w:w="8788" w:type="dxa"/>
          </w:tcPr>
          <w:p w14:paraId="154C360F" w14:textId="77777777" w:rsidR="003D29F1" w:rsidRPr="00852A9E" w:rsidRDefault="003D29F1" w:rsidP="003D29F1">
            <w:pPr>
              <w:pStyle w:val="Tablebullets"/>
              <w:spacing w:before="40" w:after="40"/>
              <w:rPr>
                <w:sz w:val="17"/>
                <w:szCs w:val="17"/>
              </w:rPr>
            </w:pPr>
            <w:r w:rsidRPr="00852A9E">
              <w:rPr>
                <w:sz w:val="17"/>
                <w:szCs w:val="17"/>
              </w:rPr>
              <w:t>Continue investing in a lived-experience advisory group.</w:t>
            </w:r>
          </w:p>
          <w:p w14:paraId="27C29460" w14:textId="77777777" w:rsidR="003D29F1" w:rsidRPr="00852A9E" w:rsidRDefault="003D29F1" w:rsidP="003D29F1">
            <w:pPr>
              <w:pStyle w:val="Tablebullets"/>
              <w:spacing w:before="40" w:after="40"/>
              <w:rPr>
                <w:sz w:val="17"/>
                <w:szCs w:val="17"/>
              </w:rPr>
            </w:pPr>
            <w:r w:rsidRPr="00852A9E">
              <w:rPr>
                <w:sz w:val="17"/>
                <w:szCs w:val="17"/>
              </w:rPr>
              <w:t>Develop and roll out a modern client data management system. This will help services with day-to-day client information management activities, continuous quality improvement and reporting. It will also enable and enhance contract monitoring. This will reduce the amount of effort and resources required for data processing, thus allowing more resources to be put towards front-line service delivery.</w:t>
            </w:r>
          </w:p>
          <w:p w14:paraId="6EC2DFD1" w14:textId="77777777" w:rsidR="003D29F1" w:rsidRPr="00852A9E" w:rsidRDefault="003D29F1" w:rsidP="003D29F1">
            <w:pPr>
              <w:pStyle w:val="Tablebullets"/>
              <w:spacing w:before="40" w:after="40"/>
              <w:rPr>
                <w:sz w:val="17"/>
                <w:szCs w:val="17"/>
              </w:rPr>
            </w:pPr>
            <w:r w:rsidRPr="00852A9E">
              <w:rPr>
                <w:sz w:val="17"/>
                <w:szCs w:val="17"/>
              </w:rPr>
              <w:t>Invest in research and evaluation to inform policies and service improvement. Ensure research and evaluation is informed by affected communities, service providers and those with lived experience. This will include an impact assessment of the Strategy itself, as well as of all services commissioned under it.</w:t>
            </w:r>
          </w:p>
        </w:tc>
      </w:tr>
      <w:tr w:rsidR="00B56138" w:rsidRPr="00852A9E" w14:paraId="3BB12E4B" w14:textId="77777777" w:rsidTr="00B56138">
        <w:trPr>
          <w:trHeight w:val="300"/>
        </w:trPr>
        <w:tc>
          <w:tcPr>
            <w:tcW w:w="1843" w:type="dxa"/>
            <w:vAlign w:val="center"/>
          </w:tcPr>
          <w:p w14:paraId="4540A1A2" w14:textId="77777777" w:rsidR="003D29F1" w:rsidRPr="00852A9E" w:rsidRDefault="003D29F1" w:rsidP="00802307">
            <w:pPr>
              <w:pStyle w:val="TableText"/>
              <w:rPr>
                <w:b/>
                <w:bCs/>
                <w:sz w:val="17"/>
                <w:szCs w:val="17"/>
              </w:rPr>
            </w:pPr>
            <w:r w:rsidRPr="00852A9E">
              <w:rPr>
                <w:rFonts w:eastAsia="Arial"/>
                <w:b/>
                <w:bCs/>
                <w:sz w:val="17"/>
                <w:szCs w:val="17"/>
              </w:rPr>
              <w:t>Agency costs</w:t>
            </w:r>
          </w:p>
        </w:tc>
        <w:tc>
          <w:tcPr>
            <w:tcW w:w="851" w:type="dxa"/>
            <w:vAlign w:val="center"/>
          </w:tcPr>
          <w:p w14:paraId="5B858E07" w14:textId="77777777" w:rsidR="003D29F1" w:rsidRPr="00852A9E" w:rsidRDefault="003D29F1" w:rsidP="00802307">
            <w:pPr>
              <w:pStyle w:val="TableText"/>
              <w:jc w:val="right"/>
              <w:rPr>
                <w:sz w:val="17"/>
                <w:szCs w:val="17"/>
              </w:rPr>
            </w:pPr>
            <w:r w:rsidRPr="00852A9E">
              <w:rPr>
                <w:rFonts w:eastAsia="Arial"/>
                <w:sz w:val="17"/>
                <w:szCs w:val="17"/>
              </w:rPr>
              <w:t>2.181</w:t>
            </w:r>
          </w:p>
        </w:tc>
        <w:tc>
          <w:tcPr>
            <w:tcW w:w="850" w:type="dxa"/>
            <w:vAlign w:val="center"/>
          </w:tcPr>
          <w:p w14:paraId="2DA69C01" w14:textId="77777777" w:rsidR="003D29F1" w:rsidRPr="00852A9E" w:rsidRDefault="003D29F1" w:rsidP="00802307">
            <w:pPr>
              <w:pStyle w:val="TableText"/>
              <w:jc w:val="right"/>
              <w:rPr>
                <w:sz w:val="17"/>
                <w:szCs w:val="17"/>
              </w:rPr>
            </w:pPr>
            <w:r w:rsidRPr="00852A9E">
              <w:rPr>
                <w:rFonts w:eastAsia="Arial"/>
                <w:sz w:val="17"/>
                <w:szCs w:val="17"/>
              </w:rPr>
              <w:t>2.475</w:t>
            </w:r>
          </w:p>
        </w:tc>
        <w:tc>
          <w:tcPr>
            <w:tcW w:w="851" w:type="dxa"/>
            <w:vAlign w:val="center"/>
          </w:tcPr>
          <w:p w14:paraId="6BBB96B2" w14:textId="77777777" w:rsidR="003D29F1" w:rsidRPr="00852A9E" w:rsidRDefault="003D29F1" w:rsidP="00802307">
            <w:pPr>
              <w:pStyle w:val="TableText"/>
              <w:jc w:val="right"/>
              <w:rPr>
                <w:sz w:val="17"/>
                <w:szCs w:val="17"/>
              </w:rPr>
            </w:pPr>
            <w:r w:rsidRPr="00852A9E">
              <w:rPr>
                <w:rFonts w:eastAsia="Arial"/>
                <w:sz w:val="17"/>
                <w:szCs w:val="17"/>
              </w:rPr>
              <w:t>2.302</w:t>
            </w:r>
          </w:p>
        </w:tc>
        <w:tc>
          <w:tcPr>
            <w:tcW w:w="1139" w:type="dxa"/>
            <w:vAlign w:val="center"/>
          </w:tcPr>
          <w:p w14:paraId="16911DAF" w14:textId="77777777" w:rsidR="003D29F1" w:rsidRPr="00852A9E" w:rsidRDefault="003D29F1" w:rsidP="00802307">
            <w:pPr>
              <w:pStyle w:val="TableText"/>
              <w:jc w:val="right"/>
              <w:rPr>
                <w:sz w:val="17"/>
                <w:szCs w:val="17"/>
              </w:rPr>
            </w:pPr>
            <w:r w:rsidRPr="00852A9E">
              <w:rPr>
                <w:rFonts w:eastAsia="Arial"/>
                <w:sz w:val="17"/>
                <w:szCs w:val="17"/>
              </w:rPr>
              <w:t>6.958</w:t>
            </w:r>
          </w:p>
        </w:tc>
        <w:tc>
          <w:tcPr>
            <w:tcW w:w="8788" w:type="dxa"/>
          </w:tcPr>
          <w:p w14:paraId="582C6F28" w14:textId="77777777" w:rsidR="003D29F1" w:rsidRPr="00852A9E" w:rsidRDefault="003D29F1" w:rsidP="00802307">
            <w:pPr>
              <w:pStyle w:val="TableText"/>
              <w:jc w:val="right"/>
              <w:rPr>
                <w:rFonts w:eastAsia="Arial"/>
                <w:sz w:val="17"/>
                <w:szCs w:val="17"/>
              </w:rPr>
            </w:pPr>
          </w:p>
        </w:tc>
      </w:tr>
      <w:tr w:rsidR="00B56138" w:rsidRPr="00852A9E" w14:paraId="41BE6533" w14:textId="77777777" w:rsidTr="00B56138">
        <w:trPr>
          <w:trHeight w:val="285"/>
        </w:trPr>
        <w:tc>
          <w:tcPr>
            <w:tcW w:w="1843" w:type="dxa"/>
            <w:vAlign w:val="center"/>
          </w:tcPr>
          <w:p w14:paraId="1749C825" w14:textId="77777777" w:rsidR="003D29F1" w:rsidRPr="00852A9E" w:rsidRDefault="003D29F1" w:rsidP="00802307">
            <w:pPr>
              <w:pStyle w:val="TableText"/>
              <w:rPr>
                <w:b/>
                <w:bCs/>
                <w:sz w:val="17"/>
                <w:szCs w:val="17"/>
              </w:rPr>
            </w:pPr>
            <w:r w:rsidRPr="00852A9E">
              <w:rPr>
                <w:rFonts w:eastAsia="Calibri"/>
                <w:b/>
                <w:bCs/>
                <w:sz w:val="17"/>
                <w:szCs w:val="17"/>
              </w:rPr>
              <w:t xml:space="preserve">Total </w:t>
            </w:r>
          </w:p>
        </w:tc>
        <w:tc>
          <w:tcPr>
            <w:tcW w:w="851" w:type="dxa"/>
            <w:vAlign w:val="center"/>
          </w:tcPr>
          <w:p w14:paraId="048FDF34" w14:textId="77777777" w:rsidR="003D29F1" w:rsidRPr="00852A9E" w:rsidRDefault="003D29F1" w:rsidP="00802307">
            <w:pPr>
              <w:pStyle w:val="TableText"/>
              <w:jc w:val="right"/>
              <w:rPr>
                <w:b/>
                <w:bCs/>
                <w:sz w:val="17"/>
                <w:szCs w:val="17"/>
              </w:rPr>
            </w:pPr>
            <w:r w:rsidRPr="00852A9E">
              <w:rPr>
                <w:rFonts w:eastAsia="Arial"/>
                <w:b/>
                <w:bCs/>
                <w:sz w:val="17"/>
                <w:szCs w:val="17"/>
              </w:rPr>
              <w:t>28.464</w:t>
            </w:r>
          </w:p>
        </w:tc>
        <w:tc>
          <w:tcPr>
            <w:tcW w:w="850" w:type="dxa"/>
            <w:shd w:val="clear" w:color="auto" w:fill="auto"/>
            <w:vAlign w:val="bottom"/>
          </w:tcPr>
          <w:p w14:paraId="1E72845E" w14:textId="77777777" w:rsidR="003D29F1" w:rsidRPr="00852A9E" w:rsidRDefault="003D29F1" w:rsidP="00802307">
            <w:pPr>
              <w:pStyle w:val="TableText"/>
              <w:jc w:val="right"/>
              <w:rPr>
                <w:b/>
                <w:bCs/>
                <w:sz w:val="17"/>
                <w:szCs w:val="17"/>
              </w:rPr>
            </w:pPr>
            <w:r w:rsidRPr="00852A9E">
              <w:rPr>
                <w:rFonts w:ascii="Arial" w:hAnsi="Arial" w:cs="Arial"/>
                <w:b/>
                <w:bCs/>
                <w:color w:val="000000"/>
                <w:sz w:val="17"/>
                <w:szCs w:val="17"/>
              </w:rPr>
              <w:t>29.705</w:t>
            </w:r>
          </w:p>
        </w:tc>
        <w:tc>
          <w:tcPr>
            <w:tcW w:w="851" w:type="dxa"/>
            <w:shd w:val="clear" w:color="auto" w:fill="auto"/>
            <w:vAlign w:val="bottom"/>
          </w:tcPr>
          <w:p w14:paraId="2A4CBFA6" w14:textId="77777777" w:rsidR="003D29F1" w:rsidRPr="00852A9E" w:rsidRDefault="003D29F1" w:rsidP="00802307">
            <w:pPr>
              <w:pStyle w:val="TableText"/>
              <w:jc w:val="right"/>
              <w:rPr>
                <w:b/>
                <w:bCs/>
                <w:sz w:val="17"/>
                <w:szCs w:val="17"/>
              </w:rPr>
            </w:pPr>
            <w:r w:rsidRPr="00852A9E">
              <w:rPr>
                <w:rFonts w:ascii="Arial" w:hAnsi="Arial" w:cs="Arial"/>
                <w:b/>
                <w:bCs/>
                <w:color w:val="000000"/>
                <w:sz w:val="17"/>
                <w:szCs w:val="17"/>
              </w:rPr>
              <w:t>29.549</w:t>
            </w:r>
          </w:p>
        </w:tc>
        <w:tc>
          <w:tcPr>
            <w:tcW w:w="1139" w:type="dxa"/>
            <w:shd w:val="clear" w:color="auto" w:fill="auto"/>
            <w:vAlign w:val="bottom"/>
          </w:tcPr>
          <w:p w14:paraId="5D61114E" w14:textId="77777777" w:rsidR="003D29F1" w:rsidRPr="00852A9E" w:rsidRDefault="003D29F1" w:rsidP="00802307">
            <w:pPr>
              <w:pStyle w:val="TableText"/>
              <w:jc w:val="right"/>
              <w:rPr>
                <w:b/>
                <w:bCs/>
                <w:sz w:val="17"/>
                <w:szCs w:val="17"/>
              </w:rPr>
            </w:pPr>
            <w:r w:rsidRPr="00852A9E">
              <w:rPr>
                <w:rFonts w:ascii="Arial" w:hAnsi="Arial" w:cs="Arial"/>
                <w:b/>
                <w:bCs/>
                <w:color w:val="000000"/>
                <w:sz w:val="17"/>
                <w:szCs w:val="17"/>
              </w:rPr>
              <w:t>87.718</w:t>
            </w:r>
          </w:p>
        </w:tc>
        <w:tc>
          <w:tcPr>
            <w:tcW w:w="8788" w:type="dxa"/>
          </w:tcPr>
          <w:p w14:paraId="6FE1BA8B" w14:textId="77777777" w:rsidR="003D29F1" w:rsidRPr="00852A9E" w:rsidRDefault="003D29F1" w:rsidP="00802307">
            <w:pPr>
              <w:pStyle w:val="TableText"/>
              <w:jc w:val="right"/>
              <w:rPr>
                <w:rFonts w:eastAsia="Arial"/>
                <w:b/>
                <w:bCs/>
                <w:sz w:val="17"/>
                <w:szCs w:val="17"/>
              </w:rPr>
            </w:pPr>
          </w:p>
        </w:tc>
      </w:tr>
    </w:tbl>
    <w:p w14:paraId="19092B9A" w14:textId="0B305AB8" w:rsidR="00136141" w:rsidRDefault="00136141" w:rsidP="00136141">
      <w:pPr>
        <w:pStyle w:val="Note"/>
      </w:pPr>
      <w:r w:rsidRPr="48B818E6">
        <w:rPr>
          <w:rFonts w:eastAsia="Calibri"/>
        </w:rPr>
        <w:t>Note: Budget sums may not total due to rounding.</w:t>
      </w:r>
    </w:p>
    <w:p w14:paraId="6F9A19ED" w14:textId="215F2168" w:rsidR="00136141" w:rsidRPr="00136141" w:rsidRDefault="00136141" w:rsidP="00136141">
      <w:pPr>
        <w:sectPr w:rsidR="00136141" w:rsidRPr="00136141" w:rsidSect="00B56138">
          <w:headerReference w:type="even" r:id="rId30"/>
          <w:headerReference w:type="default" r:id="rId31"/>
          <w:footerReference w:type="even" r:id="rId32"/>
          <w:footerReference w:type="default" r:id="rId33"/>
          <w:pgSz w:w="16840" w:h="11907" w:orient="landscape" w:code="9"/>
          <w:pgMar w:top="993" w:right="1418" w:bottom="1134" w:left="1134" w:header="284" w:footer="425" w:gutter="284"/>
          <w:cols w:space="720"/>
          <w:docGrid w:linePitch="286"/>
        </w:sectPr>
      </w:pPr>
    </w:p>
    <w:p w14:paraId="05E19EC6" w14:textId="77777777" w:rsidR="003D29F1" w:rsidRPr="00965F84" w:rsidRDefault="003D29F1" w:rsidP="003D29F1">
      <w:pPr>
        <w:pStyle w:val="Heading1"/>
      </w:pPr>
      <w:bookmarkStart w:id="63" w:name="_Toc82618426"/>
      <w:bookmarkStart w:id="64" w:name="_Toc175089352"/>
      <w:bookmarkStart w:id="65" w:name="_Toc175225099"/>
      <w:bookmarkStart w:id="66" w:name="_Toc76550140"/>
      <w:r>
        <w:lastRenderedPageBreak/>
        <w:t>Have your say on t</w:t>
      </w:r>
      <w:r w:rsidRPr="00965F84">
        <w:t xml:space="preserve">he problem gambling </w:t>
      </w:r>
      <w:proofErr w:type="gramStart"/>
      <w:r w:rsidRPr="00965F84">
        <w:t>levy</w:t>
      </w:r>
      <w:bookmarkEnd w:id="63"/>
      <w:bookmarkEnd w:id="64"/>
      <w:bookmarkEnd w:id="65"/>
      <w:proofErr w:type="gramEnd"/>
    </w:p>
    <w:p w14:paraId="3B94C734" w14:textId="77777777" w:rsidR="003D29F1" w:rsidRDefault="003D29F1" w:rsidP="00B56138">
      <w:r>
        <w:t>When reading through this section, we would like you to think about the following questions.</w:t>
      </w:r>
    </w:p>
    <w:p w14:paraId="55AAF559" w14:textId="77777777" w:rsidR="003D29F1" w:rsidRPr="00B56138" w:rsidRDefault="003D29F1" w:rsidP="00B56138">
      <w:pPr>
        <w:pStyle w:val="Heading2"/>
      </w:pPr>
      <w:bookmarkStart w:id="67" w:name="_Toc82618427"/>
      <w:bookmarkStart w:id="68" w:name="_Toc175089353"/>
      <w:bookmarkStart w:id="69" w:name="_Toc175225100"/>
      <w:r w:rsidRPr="00B56138">
        <w:t>Questions for you</w:t>
      </w:r>
      <w:bookmarkEnd w:id="67"/>
      <w:bookmarkEnd w:id="68"/>
      <w:bookmarkEnd w:id="69"/>
    </w:p>
    <w:p w14:paraId="1A9340E9" w14:textId="77777777" w:rsidR="003D29F1" w:rsidRPr="00417AD7" w:rsidRDefault="003D29F1" w:rsidP="00B56138">
      <w:pPr>
        <w:pStyle w:val="Bullet"/>
      </w:pPr>
      <w:r w:rsidRPr="00417AD7">
        <w:t>Are the player expenditure forecasts for each gambling sector realistic?</w:t>
      </w:r>
    </w:p>
    <w:p w14:paraId="1E2DDB80" w14:textId="77777777" w:rsidR="003D29F1" w:rsidRPr="00417AD7" w:rsidRDefault="003D29F1" w:rsidP="00B56138">
      <w:pPr>
        <w:pStyle w:val="Bullet"/>
      </w:pPr>
      <w:r w:rsidRPr="00417AD7">
        <w:t>Are there realistic pairs of expenditure/presentation weightings other than those d</w:t>
      </w:r>
      <w:r>
        <w:t>iscussed</w:t>
      </w:r>
      <w:r w:rsidRPr="00417AD7">
        <w:t xml:space="preserve"> in this consultation document?</w:t>
      </w:r>
    </w:p>
    <w:p w14:paraId="604A8175" w14:textId="77777777" w:rsidR="003D29F1" w:rsidRPr="00417AD7" w:rsidRDefault="003D29F1" w:rsidP="00B56138">
      <w:pPr>
        <w:pStyle w:val="Bullet"/>
      </w:pPr>
      <w:r w:rsidRPr="00417AD7">
        <w:t xml:space="preserve">Which pair of weighting options do you prefer, if any, and why? </w:t>
      </w:r>
      <w:r>
        <w:br/>
        <w:t>(</w:t>
      </w:r>
      <w:r w:rsidRPr="00417AD7">
        <w:t>Please keep in mind that the levy weighting options only affect the proportion of levy to be paid by each gambling sector and do not affect the total amount of the levy.</w:t>
      </w:r>
      <w:r>
        <w:t>)</w:t>
      </w:r>
    </w:p>
    <w:p w14:paraId="25555C0B" w14:textId="77777777" w:rsidR="003D29F1" w:rsidRDefault="003D29F1" w:rsidP="00B56138">
      <w:pPr>
        <w:pStyle w:val="Bullet"/>
      </w:pPr>
      <w:r w:rsidRPr="00417AD7">
        <w:t>Do you have any comment on the estimated levy rates for each sector, keeping in mind that the levy formula itself is set out in legislation and is not under consideration in this consultation?</w:t>
      </w:r>
    </w:p>
    <w:p w14:paraId="56B8D31C" w14:textId="77777777" w:rsidR="003D29F1" w:rsidRPr="00B56138" w:rsidRDefault="003D29F1" w:rsidP="00B56138">
      <w:pPr>
        <w:pStyle w:val="Heading2"/>
      </w:pPr>
      <w:bookmarkStart w:id="70" w:name="_Toc82618428"/>
      <w:bookmarkStart w:id="71" w:name="_Toc175089354"/>
      <w:bookmarkStart w:id="72" w:name="_Toc175225101"/>
      <w:r w:rsidRPr="00B56138">
        <w:t>The problem gambling levy</w:t>
      </w:r>
      <w:bookmarkEnd w:id="66"/>
      <w:bookmarkEnd w:id="70"/>
      <w:bookmarkEnd w:id="71"/>
      <w:bookmarkEnd w:id="72"/>
    </w:p>
    <w:p w14:paraId="0B87AD18" w14:textId="77777777" w:rsidR="003D29F1" w:rsidRDefault="003D29F1" w:rsidP="003D29F1">
      <w:bookmarkStart w:id="73" w:name="_Toc61962043"/>
      <w:bookmarkStart w:id="74" w:name="_Toc71549982"/>
      <w:r>
        <w:t xml:space="preserve">The funding for all activities to prevent and minimise gambling harm comes from the problem gambling levy – a payment made by the </w:t>
      </w:r>
      <w:r w:rsidRPr="0069343B">
        <w:t>four main gambling sectors (non-casino gaming machines, casinos, TAB N</w:t>
      </w:r>
      <w:r>
        <w:t xml:space="preserve">ew </w:t>
      </w:r>
      <w:r w:rsidRPr="0069343B">
        <w:t>Z</w:t>
      </w:r>
      <w:r>
        <w:t>ealand</w:t>
      </w:r>
      <w:r w:rsidRPr="0069343B">
        <w:t xml:space="preserve"> and Lotto N</w:t>
      </w:r>
      <w:r>
        <w:t xml:space="preserve">ew </w:t>
      </w:r>
      <w:r w:rsidRPr="0069343B">
        <w:t>Z</w:t>
      </w:r>
      <w:r>
        <w:t>ealand</w:t>
      </w:r>
      <w:r w:rsidRPr="0069343B">
        <w:t>)</w:t>
      </w:r>
      <w:r>
        <w:t>.</w:t>
      </w:r>
    </w:p>
    <w:p w14:paraId="6F0835FA" w14:textId="77777777" w:rsidR="003D29F1" w:rsidRDefault="003D29F1" w:rsidP="003D29F1"/>
    <w:p w14:paraId="290BA3DE" w14:textId="77777777" w:rsidR="003D29F1" w:rsidRDefault="003D29F1" w:rsidP="003D29F1">
      <w:r>
        <w:t xml:space="preserve">The rates for this levy are set by a formula (defined in section 320 of the Gambling Act 2003) that calculates how much each sector will need to pay. The formula </w:t>
      </w:r>
      <w:proofErr w:type="gramStart"/>
      <w:r>
        <w:t>takes into account</w:t>
      </w:r>
      <w:proofErr w:type="gramEnd"/>
      <w:r>
        <w:t xml:space="preserve"> how much players lost in each sector (expenditure) and how many people access services (presentations) and calculates a levy rate for each of the four sectors. </w:t>
      </w:r>
    </w:p>
    <w:p w14:paraId="3E9A52CA" w14:textId="77777777" w:rsidR="003D29F1" w:rsidRDefault="003D29F1" w:rsidP="003D29F1"/>
    <w:p w14:paraId="4166F2BD" w14:textId="77777777" w:rsidR="003D29F1" w:rsidRDefault="003D29F1" w:rsidP="003D29F1">
      <w:r>
        <w:t xml:space="preserve">The levy is reviewed every three years, when we develop the new strategy. The next </w:t>
      </w:r>
      <w:r w:rsidRPr="0069343B">
        <w:t>levy period is from 1</w:t>
      </w:r>
      <w:r>
        <w:t> </w:t>
      </w:r>
      <w:r w:rsidRPr="0069343B">
        <w:t>July</w:t>
      </w:r>
      <w:r>
        <w:t> </w:t>
      </w:r>
      <w:r w:rsidRPr="0069343B">
        <w:t>202</w:t>
      </w:r>
      <w:r>
        <w:t>5</w:t>
      </w:r>
      <w:r w:rsidRPr="0069343B">
        <w:t xml:space="preserve"> to 30 June 202</w:t>
      </w:r>
      <w:r>
        <w:t>8. F</w:t>
      </w:r>
      <w:r w:rsidRPr="006347F9">
        <w:t>our levy weightings</w:t>
      </w:r>
      <w:r>
        <w:t xml:space="preserve"> (how much each of the four sectors should pay) have been considered (</w:t>
      </w:r>
      <w:r w:rsidRPr="006347F9">
        <w:t>5/95, 10/90, 20/80 and 30/70</w:t>
      </w:r>
      <w:r>
        <w:t xml:space="preserve">). </w:t>
      </w:r>
      <w:r w:rsidRPr="00B23FB5">
        <w:t>The proposed levy rates for each gambling sector, except TAB, would be higher under any weighting option for 2025/26 to 2027/28 than they are current</w:t>
      </w:r>
      <w:r>
        <w:t>ly</w:t>
      </w:r>
      <w:r w:rsidRPr="00B23FB5">
        <w:t>.</w:t>
      </w:r>
      <w:r>
        <w:t xml:space="preserve"> Non-casino gaming machines would pay the greatest share of the levy under any of the options. </w:t>
      </w:r>
    </w:p>
    <w:p w14:paraId="257B10F5" w14:textId="77777777" w:rsidR="003D29F1" w:rsidRDefault="003D29F1" w:rsidP="003D29F1"/>
    <w:p w14:paraId="7D4647BD" w14:textId="77777777" w:rsidR="003D29F1" w:rsidRDefault="003D29F1" w:rsidP="003D29F1">
      <w:r>
        <w:t xml:space="preserve">You can find more information about the formula, the levy calculations and options for different weightings </w:t>
      </w:r>
      <w:bookmarkEnd w:id="73"/>
      <w:bookmarkEnd w:id="74"/>
      <w:r>
        <w:rPr>
          <w:kern w:val="22"/>
        </w:rPr>
        <w:t>in the full consultation document on</w:t>
      </w:r>
      <w:r w:rsidRPr="00A93824">
        <w:rPr>
          <w:kern w:val="22"/>
        </w:rPr>
        <w:t xml:space="preserve"> the </w:t>
      </w:r>
      <w:hyperlink r:id="rId34" w:history="1">
        <w:r w:rsidRPr="007B04F2">
          <w:rPr>
            <w:rStyle w:val="Hyperlink"/>
            <w:bCs/>
          </w:rPr>
          <w:t>Strategy to Prevent and Minimise Gambling Harm Consultation page on the Ministry of Health website</w:t>
        </w:r>
      </w:hyperlink>
      <w:r w:rsidRPr="007B04F2">
        <w:t>.</w:t>
      </w:r>
    </w:p>
    <w:p w14:paraId="224045A1" w14:textId="248A7AEA" w:rsidR="00137BA1" w:rsidRDefault="00137BA1" w:rsidP="003D29F1"/>
    <w:sectPr w:rsidR="00137BA1" w:rsidSect="003D29F1">
      <w:footerReference w:type="default" r:id="rId35"/>
      <w:pgSz w:w="11907" w:h="16840"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0C345" w14:textId="77777777" w:rsidR="006944EC" w:rsidRDefault="006944EC">
      <w:r>
        <w:separator/>
      </w:r>
    </w:p>
    <w:p w14:paraId="620FFFF6" w14:textId="77777777" w:rsidR="006944EC" w:rsidRDefault="006944EC"/>
  </w:endnote>
  <w:endnote w:type="continuationSeparator" w:id="0">
    <w:p w14:paraId="6F31319E" w14:textId="77777777" w:rsidR="006944EC" w:rsidRDefault="006944EC">
      <w:r>
        <w:continuationSeparator/>
      </w:r>
    </w:p>
    <w:p w14:paraId="4D496DA3" w14:textId="77777777" w:rsidR="006944EC" w:rsidRDefault="006944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Mäori">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8357" w14:textId="74070408" w:rsidR="00B657AF" w:rsidRPr="00581136" w:rsidRDefault="00B657AF" w:rsidP="005A79E5">
    <w:pPr>
      <w:pStyle w:val="Footer"/>
      <w:pBdr>
        <w:bottom w:val="single" w:sz="4" w:space="1" w:color="auto"/>
      </w:pBdr>
      <w:tabs>
        <w:tab w:val="right" w:pos="9639"/>
      </w:tabs>
      <w:rPr>
        <w:b/>
      </w:rPr>
    </w:pPr>
    <w:r w:rsidRPr="00581136">
      <w:rPr>
        <w:b/>
      </w:rPr>
      <w:t>Released 20</w:t>
    </w:r>
    <w:r>
      <w:rPr>
        <w:b/>
      </w:rPr>
      <w:t>24</w:t>
    </w:r>
    <w:r w:rsidRPr="00581136">
      <w:rPr>
        <w:b/>
      </w:rPr>
      <w:tab/>
      <w:t>health.govt.nz</w:t>
    </w:r>
  </w:p>
  <w:p w14:paraId="524869F6" w14:textId="77777777" w:rsidR="00B657AF" w:rsidRPr="005A79E5" w:rsidRDefault="00B657AF">
    <w:pPr>
      <w:pStyle w:val="Footer"/>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892"/>
      <w:gridCol w:w="709"/>
    </w:tblGrid>
    <w:tr w:rsidR="00B657AF" w14:paraId="5DFB20FB" w14:textId="77777777" w:rsidTr="00B56138">
      <w:trPr>
        <w:cantSplit/>
      </w:trPr>
      <w:tc>
        <w:tcPr>
          <w:tcW w:w="13892" w:type="dxa"/>
          <w:vAlign w:val="center"/>
        </w:tcPr>
        <w:p w14:paraId="3EAC6DBB" w14:textId="7F8752D8" w:rsidR="00B657AF" w:rsidRDefault="00B56138" w:rsidP="00926083">
          <w:pPr>
            <w:pStyle w:val="RectoFooter"/>
          </w:pPr>
          <w:r>
            <w:t>strategy to prevent and minimise gambling harm 2025/26 to 2027/28:</w:t>
          </w:r>
          <w:r>
            <w:br/>
            <w:t>consultation document overview</w:t>
          </w:r>
        </w:p>
      </w:tc>
      <w:tc>
        <w:tcPr>
          <w:tcW w:w="709" w:type="dxa"/>
          <w:vAlign w:val="center"/>
        </w:tcPr>
        <w:p w14:paraId="77FA722D" w14:textId="77777777" w:rsidR="00B657AF" w:rsidRPr="00931466" w:rsidRDefault="00B657AF"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062D281C" w14:textId="77777777" w:rsidR="00B657AF" w:rsidRPr="00581EB8" w:rsidRDefault="00B657AF" w:rsidP="00581EB8">
    <w:pPr>
      <w:pStyle w:val="Footer"/>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B56138" w14:paraId="0E6788FB" w14:textId="77777777" w:rsidTr="00D662F8">
      <w:trPr>
        <w:cantSplit/>
      </w:trPr>
      <w:tc>
        <w:tcPr>
          <w:tcW w:w="8080" w:type="dxa"/>
          <w:vAlign w:val="center"/>
        </w:tcPr>
        <w:p w14:paraId="23AEB6F2" w14:textId="77777777" w:rsidR="00B56138" w:rsidRDefault="00B56138" w:rsidP="00926083">
          <w:pPr>
            <w:pStyle w:val="RectoFooter"/>
          </w:pPr>
          <w:r>
            <w:t>strategy to prevent and minimise gambling harm 2025/26 to 2027/28:</w:t>
          </w:r>
          <w:r>
            <w:br/>
            <w:t>consultation document overview</w:t>
          </w:r>
        </w:p>
      </w:tc>
      <w:tc>
        <w:tcPr>
          <w:tcW w:w="709" w:type="dxa"/>
          <w:vAlign w:val="center"/>
        </w:tcPr>
        <w:p w14:paraId="00AD2B6C" w14:textId="77777777" w:rsidR="00B56138" w:rsidRPr="00931466" w:rsidRDefault="00B56138"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34FEC83F" w14:textId="77777777" w:rsidR="00B56138" w:rsidRPr="00581EB8" w:rsidRDefault="00B56138" w:rsidP="00581EB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DA70" w14:textId="77777777" w:rsidR="00B657AF" w:rsidRDefault="00B657AF"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0E96" w14:textId="77777777" w:rsidR="00B657AF" w:rsidRDefault="00B657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B657AF" w14:paraId="4C3A3BF7" w14:textId="77777777" w:rsidTr="00D662F8">
      <w:trPr>
        <w:cantSplit/>
      </w:trPr>
      <w:tc>
        <w:tcPr>
          <w:tcW w:w="709" w:type="dxa"/>
          <w:vAlign w:val="center"/>
        </w:tcPr>
        <w:p w14:paraId="28F87ED7" w14:textId="77777777" w:rsidR="00B657AF" w:rsidRPr="00931466" w:rsidRDefault="00B657AF"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6026D159" w14:textId="694CF2F8" w:rsidR="00B657AF" w:rsidRDefault="003D29F1" w:rsidP="00926083">
          <w:pPr>
            <w:pStyle w:val="RectoFooter"/>
            <w:jc w:val="left"/>
          </w:pPr>
          <w:r>
            <w:t>strategy to prevent and minimise gambling harm 2025/26 to 2027/28:</w:t>
          </w:r>
          <w:r>
            <w:br/>
            <w:t>consultation document overview</w:t>
          </w:r>
        </w:p>
      </w:tc>
    </w:tr>
  </w:tbl>
  <w:p w14:paraId="711B5D80" w14:textId="77777777" w:rsidR="00B657AF" w:rsidRPr="00571223" w:rsidRDefault="00B657AF"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B657AF" w14:paraId="58AAB149" w14:textId="77777777" w:rsidTr="00D662F8">
      <w:trPr>
        <w:cantSplit/>
      </w:trPr>
      <w:tc>
        <w:tcPr>
          <w:tcW w:w="8080" w:type="dxa"/>
          <w:vAlign w:val="center"/>
        </w:tcPr>
        <w:p w14:paraId="20E2F0CC" w14:textId="2E9757AD" w:rsidR="00B657AF" w:rsidRDefault="003D29F1" w:rsidP="00926083">
          <w:pPr>
            <w:pStyle w:val="RectoFooter"/>
          </w:pPr>
          <w:r>
            <w:t>strategy to prevent and minimise gambling harm 2025/26 to 2027/28:</w:t>
          </w:r>
          <w:r>
            <w:br/>
            <w:t>consultation document overview</w:t>
          </w:r>
        </w:p>
      </w:tc>
      <w:tc>
        <w:tcPr>
          <w:tcW w:w="709" w:type="dxa"/>
          <w:vAlign w:val="center"/>
        </w:tcPr>
        <w:p w14:paraId="3D3C9847" w14:textId="77777777" w:rsidR="00B657AF" w:rsidRPr="00931466" w:rsidRDefault="00B657AF"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27602107" w14:textId="77777777" w:rsidR="00B657AF" w:rsidRPr="00581EB8" w:rsidRDefault="00B657AF"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68"/>
      <w:docPartObj>
        <w:docPartGallery w:val="Page Numbers (Bottom of Page)"/>
        <w:docPartUnique/>
      </w:docPartObj>
    </w:sdtPr>
    <w:sdtEndPr>
      <w:rPr>
        <w:noProof/>
      </w:rPr>
    </w:sdtEndPr>
    <w:sdtContent>
      <w:p w14:paraId="6F62D6A8" w14:textId="77777777" w:rsidR="003D29F1" w:rsidRDefault="003D29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D1DB33" w14:textId="77777777" w:rsidR="003D29F1" w:rsidRPr="00571223" w:rsidRDefault="003D29F1"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B657AF" w14:paraId="7DB74E0B" w14:textId="77777777" w:rsidTr="00D662F8">
      <w:trPr>
        <w:cantSplit/>
      </w:trPr>
      <w:tc>
        <w:tcPr>
          <w:tcW w:w="709" w:type="dxa"/>
          <w:vAlign w:val="center"/>
        </w:tcPr>
        <w:p w14:paraId="7FB9EB7B" w14:textId="77777777" w:rsidR="00B657AF" w:rsidRPr="00931466" w:rsidRDefault="00B657AF"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viii</w:t>
          </w:r>
          <w:r w:rsidRPr="00931466">
            <w:rPr>
              <w:rStyle w:val="PageNumber"/>
            </w:rPr>
            <w:fldChar w:fldCharType="end"/>
          </w:r>
        </w:p>
      </w:tc>
      <w:tc>
        <w:tcPr>
          <w:tcW w:w="8080" w:type="dxa"/>
          <w:vAlign w:val="center"/>
        </w:tcPr>
        <w:p w14:paraId="1A8BBBFB" w14:textId="071D9C29" w:rsidR="00B657AF" w:rsidRDefault="003D29F1" w:rsidP="00926083">
          <w:pPr>
            <w:pStyle w:val="RectoFooter"/>
            <w:jc w:val="left"/>
          </w:pPr>
          <w:r>
            <w:t>strategy to prevent and minimise gambling harm 2025/26 to 2027/28:</w:t>
          </w:r>
          <w:r>
            <w:br/>
            <w:t>consultation document overview</w:t>
          </w:r>
        </w:p>
      </w:tc>
    </w:tr>
  </w:tbl>
  <w:p w14:paraId="7C39EF3C" w14:textId="77777777" w:rsidR="00B657AF" w:rsidRPr="00571223" w:rsidRDefault="00B657AF" w:rsidP="00571223">
    <w:pPr>
      <w:pStyle w:val="Verso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B657AF" w14:paraId="14CDF67C" w14:textId="77777777" w:rsidTr="00B657AF">
      <w:trPr>
        <w:cantSplit/>
      </w:trPr>
      <w:tc>
        <w:tcPr>
          <w:tcW w:w="8080" w:type="dxa"/>
          <w:vAlign w:val="center"/>
        </w:tcPr>
        <w:p w14:paraId="096C7900" w14:textId="28BD3AA8" w:rsidR="00B657AF" w:rsidRDefault="003D29F1" w:rsidP="00B657AF">
          <w:pPr>
            <w:pStyle w:val="RectoFooter"/>
          </w:pPr>
          <w:r>
            <w:t>strategy to prevent and minimise gambling harm 2025/26 to 2027/28:</w:t>
          </w:r>
          <w:r>
            <w:br/>
            <w:t>consultation document overview</w:t>
          </w:r>
        </w:p>
      </w:tc>
      <w:tc>
        <w:tcPr>
          <w:tcW w:w="709" w:type="dxa"/>
          <w:vAlign w:val="center"/>
        </w:tcPr>
        <w:p w14:paraId="216AAF26" w14:textId="77777777" w:rsidR="00B657AF" w:rsidRPr="00931466" w:rsidRDefault="00B657AF" w:rsidP="00B657AF">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755CAC6B" w14:textId="77777777" w:rsidR="00B657AF" w:rsidRPr="00581EB8" w:rsidRDefault="00B657AF" w:rsidP="00581EB8">
    <w:pPr>
      <w:pStyle w:val="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B657AF" w14:paraId="2E433BE0" w14:textId="77777777" w:rsidTr="00D662F8">
      <w:trPr>
        <w:cantSplit/>
      </w:trPr>
      <w:tc>
        <w:tcPr>
          <w:tcW w:w="709" w:type="dxa"/>
          <w:vAlign w:val="center"/>
        </w:tcPr>
        <w:p w14:paraId="7097E3AF" w14:textId="77777777" w:rsidR="00B657AF" w:rsidRPr="00931466" w:rsidRDefault="00B657AF"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viii</w:t>
          </w:r>
          <w:r w:rsidRPr="00931466">
            <w:rPr>
              <w:rStyle w:val="PageNumber"/>
            </w:rPr>
            <w:fldChar w:fldCharType="end"/>
          </w:r>
        </w:p>
      </w:tc>
      <w:tc>
        <w:tcPr>
          <w:tcW w:w="8080" w:type="dxa"/>
          <w:vAlign w:val="center"/>
        </w:tcPr>
        <w:p w14:paraId="0E0699B4" w14:textId="135A3B80" w:rsidR="00B657AF" w:rsidRDefault="00B56138" w:rsidP="00926083">
          <w:pPr>
            <w:pStyle w:val="RectoFooter"/>
            <w:jc w:val="left"/>
          </w:pPr>
          <w:r>
            <w:t>strategy to prevent and minimise gambling harm 2025/26 to 2027/28:</w:t>
          </w:r>
          <w:r>
            <w:br/>
            <w:t>consultation document overview</w:t>
          </w:r>
        </w:p>
      </w:tc>
    </w:tr>
  </w:tbl>
  <w:p w14:paraId="645CBDAA" w14:textId="77777777" w:rsidR="00B657AF" w:rsidRPr="00571223" w:rsidRDefault="00B657AF" w:rsidP="00571223">
    <w:pPr>
      <w:pStyle w:val="Verso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F4E7A" w14:textId="77777777" w:rsidR="006944EC" w:rsidRPr="00A26E6B" w:rsidRDefault="006944EC" w:rsidP="00A26E6B"/>
  </w:footnote>
  <w:footnote w:type="continuationSeparator" w:id="0">
    <w:p w14:paraId="6CB41873" w14:textId="77777777" w:rsidR="006944EC" w:rsidRDefault="006944EC">
      <w:r>
        <w:continuationSeparator/>
      </w:r>
    </w:p>
    <w:p w14:paraId="541AE55E" w14:textId="77777777" w:rsidR="006944EC" w:rsidRDefault="006944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B657AF" w14:paraId="11530A0D" w14:textId="77777777" w:rsidTr="008F2B72">
      <w:trPr>
        <w:cantSplit/>
      </w:trPr>
      <w:tc>
        <w:tcPr>
          <w:tcW w:w="5210" w:type="dxa"/>
          <w:vAlign w:val="center"/>
        </w:tcPr>
        <w:p w14:paraId="2BDE3162" w14:textId="4E67EED4" w:rsidR="00B657AF" w:rsidRDefault="00B657AF" w:rsidP="00B26F0F">
          <w:pPr>
            <w:pStyle w:val="Header"/>
          </w:pPr>
          <w:bookmarkStart w:id="0" w:name="_Hlk110933925"/>
          <w:r>
            <w:rPr>
              <w:noProof/>
              <w:lang w:eastAsia="en-NZ"/>
            </w:rPr>
            <w:drawing>
              <wp:inline distT="0" distB="0" distL="0" distR="0" wp14:anchorId="04421456" wp14:editId="7612C822">
                <wp:extent cx="2294626"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cstate="print">
                          <a:extLst>
                            <a:ext uri="{28A0092B-C50C-407E-A947-70E740481C1C}">
                              <a14:useLocalDpi xmlns:a14="http://schemas.microsoft.com/office/drawing/2010/main" val="0"/>
                            </a:ext>
                          </a:extLst>
                        </a:blip>
                        <a:srcRect l="10400" t="16015" r="61171" b="13256"/>
                        <a:stretch/>
                      </pic:blipFill>
                      <pic:spPr bwMode="auto">
                        <a:xfrm>
                          <a:off x="0" y="0"/>
                          <a:ext cx="2294626" cy="542925"/>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06193D58" w14:textId="31929113" w:rsidR="00B657AF" w:rsidRDefault="00B657AF" w:rsidP="00172194">
          <w:pPr>
            <w:pStyle w:val="Header"/>
            <w:jc w:val="right"/>
          </w:pPr>
          <w:r>
            <w:rPr>
              <w:noProof/>
            </w:rPr>
            <w:drawing>
              <wp:anchor distT="0" distB="0" distL="114300" distR="114300" simplePos="0" relativeHeight="251658240" behindDoc="0" locked="0" layoutInCell="1" allowOverlap="1" wp14:anchorId="1D75C094" wp14:editId="3E6835A7">
                <wp:simplePos x="0" y="0"/>
                <wp:positionH relativeFrom="column">
                  <wp:posOffset>1362710</wp:posOffset>
                </wp:positionH>
                <wp:positionV relativeFrom="paragraph">
                  <wp:posOffset>-1905</wp:posOffset>
                </wp:positionV>
                <wp:extent cx="1519555" cy="718185"/>
                <wp:effectExtent l="0" t="0" r="444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9555"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tbl>
  <w:p w14:paraId="4AC8EC99" w14:textId="1B35D83E" w:rsidR="00B657AF" w:rsidRDefault="00B657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2E4F" w14:textId="77777777" w:rsidR="00B657AF" w:rsidRDefault="00B657AF"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17B0" w14:textId="77777777" w:rsidR="00B657AF" w:rsidRDefault="00B657AF"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E2E9" w14:textId="77777777" w:rsidR="00B657AF" w:rsidRDefault="00B657AF" w:rsidP="00533B9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DDE5" w14:textId="77777777" w:rsidR="00B657AF" w:rsidRDefault="00B657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7C7"/>
    <w:multiLevelType w:val="multilevel"/>
    <w:tmpl w:val="3076891C"/>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bullet"/>
      <w:lvlText w:val=""/>
      <w:lvlJc w:val="left"/>
      <w:pPr>
        <w:ind w:left="360" w:hanging="360"/>
      </w:pPr>
      <w:rPr>
        <w:rFonts w:ascii="Symbol" w:hAnsi="Symbol" w:hint="default"/>
      </w:rPr>
    </w:lvl>
    <w:lvl w:ilvl="4">
      <w:start w:val="1"/>
      <w:numFmt w:val="lowerLetter"/>
      <w:lvlText w:val="%5."/>
      <w:lvlJc w:val="left"/>
      <w:pPr>
        <w:ind w:left="1134" w:hanging="567"/>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3" w15:restartNumberingAfterBreak="0">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5" w15:restartNumberingAfterBreak="0">
    <w:nsid w:val="11023BAD"/>
    <w:multiLevelType w:val="hybridMultilevel"/>
    <w:tmpl w:val="4830DBB8"/>
    <w:lvl w:ilvl="0" w:tplc="AEE29EB8">
      <w:start w:val="1"/>
      <w:numFmt w:val="bullet"/>
      <w:lvlText w:val="•"/>
      <w:lvlJc w:val="left"/>
      <w:pPr>
        <w:ind w:left="246" w:hanging="134"/>
      </w:pPr>
      <w:rPr>
        <w:rFonts w:ascii="Arial Unicode MS" w:eastAsia="Arial Unicode MS" w:hAnsi="Arial Unicode MS" w:hint="default"/>
        <w:w w:val="107"/>
        <w:sz w:val="21"/>
        <w:szCs w:val="21"/>
      </w:rPr>
    </w:lvl>
    <w:lvl w:ilvl="1" w:tplc="A89C032A">
      <w:start w:val="1"/>
      <w:numFmt w:val="bullet"/>
      <w:lvlText w:val="•"/>
      <w:lvlJc w:val="left"/>
      <w:pPr>
        <w:ind w:left="464" w:hanging="134"/>
      </w:pPr>
      <w:rPr>
        <w:rFonts w:hint="default"/>
      </w:rPr>
    </w:lvl>
    <w:lvl w:ilvl="2" w:tplc="AFB65F98">
      <w:start w:val="1"/>
      <w:numFmt w:val="bullet"/>
      <w:lvlText w:val="•"/>
      <w:lvlJc w:val="left"/>
      <w:pPr>
        <w:ind w:left="682" w:hanging="134"/>
      </w:pPr>
      <w:rPr>
        <w:rFonts w:hint="default"/>
      </w:rPr>
    </w:lvl>
    <w:lvl w:ilvl="3" w:tplc="A148FA04">
      <w:start w:val="1"/>
      <w:numFmt w:val="bullet"/>
      <w:lvlText w:val="•"/>
      <w:lvlJc w:val="left"/>
      <w:pPr>
        <w:ind w:left="900" w:hanging="134"/>
      </w:pPr>
      <w:rPr>
        <w:rFonts w:hint="default"/>
      </w:rPr>
    </w:lvl>
    <w:lvl w:ilvl="4" w:tplc="F490CA92">
      <w:start w:val="1"/>
      <w:numFmt w:val="bullet"/>
      <w:lvlText w:val="•"/>
      <w:lvlJc w:val="left"/>
      <w:pPr>
        <w:ind w:left="1118" w:hanging="134"/>
      </w:pPr>
      <w:rPr>
        <w:rFonts w:hint="default"/>
      </w:rPr>
    </w:lvl>
    <w:lvl w:ilvl="5" w:tplc="B9903E90">
      <w:start w:val="1"/>
      <w:numFmt w:val="bullet"/>
      <w:lvlText w:val="•"/>
      <w:lvlJc w:val="left"/>
      <w:pPr>
        <w:ind w:left="1336" w:hanging="134"/>
      </w:pPr>
      <w:rPr>
        <w:rFonts w:hint="default"/>
      </w:rPr>
    </w:lvl>
    <w:lvl w:ilvl="6" w:tplc="811ED8BC">
      <w:start w:val="1"/>
      <w:numFmt w:val="bullet"/>
      <w:lvlText w:val="•"/>
      <w:lvlJc w:val="left"/>
      <w:pPr>
        <w:ind w:left="1554" w:hanging="134"/>
      </w:pPr>
      <w:rPr>
        <w:rFonts w:hint="default"/>
      </w:rPr>
    </w:lvl>
    <w:lvl w:ilvl="7" w:tplc="20BC151E">
      <w:start w:val="1"/>
      <w:numFmt w:val="bullet"/>
      <w:lvlText w:val="•"/>
      <w:lvlJc w:val="left"/>
      <w:pPr>
        <w:ind w:left="1771" w:hanging="134"/>
      </w:pPr>
      <w:rPr>
        <w:rFonts w:hint="default"/>
      </w:rPr>
    </w:lvl>
    <w:lvl w:ilvl="8" w:tplc="80AA897C">
      <w:start w:val="1"/>
      <w:numFmt w:val="bullet"/>
      <w:lvlText w:val="•"/>
      <w:lvlJc w:val="left"/>
      <w:pPr>
        <w:ind w:left="1989" w:hanging="134"/>
      </w:pPr>
      <w:rPr>
        <w:rFonts w:hint="default"/>
      </w:rPr>
    </w:lvl>
  </w:abstractNum>
  <w:abstractNum w:abstractNumId="6" w15:restartNumberingAfterBreak="0">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A6C6694"/>
    <w:multiLevelType w:val="hybridMultilevel"/>
    <w:tmpl w:val="27DA59F2"/>
    <w:lvl w:ilvl="0" w:tplc="F6EEA218">
      <w:start w:val="1"/>
      <w:numFmt w:val="bullet"/>
      <w:lvlText w:val="•"/>
      <w:lvlJc w:val="left"/>
      <w:pPr>
        <w:ind w:left="559" w:hanging="134"/>
      </w:pPr>
      <w:rPr>
        <w:rFonts w:ascii="Lucida Sans Unicode" w:eastAsia="Lucida Sans Unicode" w:hAnsi="Lucida Sans Unicode" w:hint="default"/>
        <w:w w:val="59"/>
        <w:sz w:val="21"/>
        <w:szCs w:val="21"/>
      </w:rPr>
    </w:lvl>
    <w:lvl w:ilvl="1" w:tplc="002E3EAE">
      <w:start w:val="1"/>
      <w:numFmt w:val="bullet"/>
      <w:lvlText w:val="•"/>
      <w:lvlJc w:val="left"/>
      <w:pPr>
        <w:ind w:left="808" w:hanging="134"/>
      </w:pPr>
      <w:rPr>
        <w:rFonts w:hint="default"/>
      </w:rPr>
    </w:lvl>
    <w:lvl w:ilvl="2" w:tplc="2D64B7B0">
      <w:start w:val="1"/>
      <w:numFmt w:val="bullet"/>
      <w:lvlText w:val="•"/>
      <w:lvlJc w:val="left"/>
      <w:pPr>
        <w:ind w:left="1057" w:hanging="134"/>
      </w:pPr>
      <w:rPr>
        <w:rFonts w:hint="default"/>
      </w:rPr>
    </w:lvl>
    <w:lvl w:ilvl="3" w:tplc="82F22056">
      <w:start w:val="1"/>
      <w:numFmt w:val="bullet"/>
      <w:lvlText w:val="•"/>
      <w:lvlJc w:val="left"/>
      <w:pPr>
        <w:ind w:left="1306" w:hanging="134"/>
      </w:pPr>
      <w:rPr>
        <w:rFonts w:hint="default"/>
      </w:rPr>
    </w:lvl>
    <w:lvl w:ilvl="4" w:tplc="D920647A">
      <w:start w:val="1"/>
      <w:numFmt w:val="bullet"/>
      <w:lvlText w:val="•"/>
      <w:lvlJc w:val="left"/>
      <w:pPr>
        <w:ind w:left="1556" w:hanging="134"/>
      </w:pPr>
      <w:rPr>
        <w:rFonts w:hint="default"/>
      </w:rPr>
    </w:lvl>
    <w:lvl w:ilvl="5" w:tplc="24E6088C">
      <w:start w:val="1"/>
      <w:numFmt w:val="bullet"/>
      <w:lvlText w:val="•"/>
      <w:lvlJc w:val="left"/>
      <w:pPr>
        <w:ind w:left="1805" w:hanging="134"/>
      </w:pPr>
      <w:rPr>
        <w:rFonts w:hint="default"/>
      </w:rPr>
    </w:lvl>
    <w:lvl w:ilvl="6" w:tplc="273217BC">
      <w:start w:val="1"/>
      <w:numFmt w:val="bullet"/>
      <w:lvlText w:val="•"/>
      <w:lvlJc w:val="left"/>
      <w:pPr>
        <w:ind w:left="2054" w:hanging="134"/>
      </w:pPr>
      <w:rPr>
        <w:rFonts w:hint="default"/>
      </w:rPr>
    </w:lvl>
    <w:lvl w:ilvl="7" w:tplc="FCFE4A4A">
      <w:start w:val="1"/>
      <w:numFmt w:val="bullet"/>
      <w:lvlText w:val="•"/>
      <w:lvlJc w:val="left"/>
      <w:pPr>
        <w:ind w:left="2303" w:hanging="134"/>
      </w:pPr>
      <w:rPr>
        <w:rFonts w:hint="default"/>
      </w:rPr>
    </w:lvl>
    <w:lvl w:ilvl="8" w:tplc="47085256">
      <w:start w:val="1"/>
      <w:numFmt w:val="bullet"/>
      <w:lvlText w:val="•"/>
      <w:lvlJc w:val="left"/>
      <w:pPr>
        <w:ind w:left="2552" w:hanging="134"/>
      </w:pPr>
      <w:rPr>
        <w:rFonts w:hint="default"/>
      </w:rPr>
    </w:lvl>
  </w:abstractNum>
  <w:abstractNum w:abstractNumId="8" w15:restartNumberingAfterBreak="0">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BB05C06"/>
    <w:multiLevelType w:val="hybridMultilevel"/>
    <w:tmpl w:val="366AE6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BEB2C86"/>
    <w:multiLevelType w:val="hybridMultilevel"/>
    <w:tmpl w:val="8370C3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1E2C3CC1"/>
    <w:multiLevelType w:val="hybridMultilevel"/>
    <w:tmpl w:val="EEF8345E"/>
    <w:lvl w:ilvl="0" w:tplc="5B960B98">
      <w:start w:val="1"/>
      <w:numFmt w:val="bullet"/>
      <w:lvlText w:val="•"/>
      <w:lvlJc w:val="left"/>
      <w:pPr>
        <w:ind w:left="1984" w:hanging="284"/>
      </w:pPr>
      <w:rPr>
        <w:rFonts w:ascii="Lucida Sans Unicode" w:eastAsia="Lucida Sans Unicode" w:hAnsi="Lucida Sans Unicode" w:hint="default"/>
        <w:w w:val="59"/>
        <w:sz w:val="21"/>
        <w:szCs w:val="21"/>
      </w:rPr>
    </w:lvl>
    <w:lvl w:ilvl="1" w:tplc="3A3EAE6C">
      <w:start w:val="1"/>
      <w:numFmt w:val="bullet"/>
      <w:lvlText w:val="•"/>
      <w:lvlJc w:val="left"/>
      <w:pPr>
        <w:ind w:left="2808" w:hanging="284"/>
      </w:pPr>
      <w:rPr>
        <w:rFonts w:hint="default"/>
      </w:rPr>
    </w:lvl>
    <w:lvl w:ilvl="2" w:tplc="0E4E143C">
      <w:start w:val="1"/>
      <w:numFmt w:val="bullet"/>
      <w:lvlText w:val="•"/>
      <w:lvlJc w:val="left"/>
      <w:pPr>
        <w:ind w:left="3632" w:hanging="284"/>
      </w:pPr>
      <w:rPr>
        <w:rFonts w:hint="default"/>
      </w:rPr>
    </w:lvl>
    <w:lvl w:ilvl="3" w:tplc="B79A0BDC">
      <w:start w:val="1"/>
      <w:numFmt w:val="bullet"/>
      <w:lvlText w:val="•"/>
      <w:lvlJc w:val="left"/>
      <w:pPr>
        <w:ind w:left="4456" w:hanging="284"/>
      </w:pPr>
      <w:rPr>
        <w:rFonts w:hint="default"/>
      </w:rPr>
    </w:lvl>
    <w:lvl w:ilvl="4" w:tplc="53B018D4">
      <w:start w:val="1"/>
      <w:numFmt w:val="bullet"/>
      <w:lvlText w:val="•"/>
      <w:lvlJc w:val="left"/>
      <w:pPr>
        <w:ind w:left="5280" w:hanging="284"/>
      </w:pPr>
      <w:rPr>
        <w:rFonts w:hint="default"/>
      </w:rPr>
    </w:lvl>
    <w:lvl w:ilvl="5" w:tplc="E0EC6604">
      <w:start w:val="1"/>
      <w:numFmt w:val="bullet"/>
      <w:lvlText w:val="•"/>
      <w:lvlJc w:val="left"/>
      <w:pPr>
        <w:ind w:left="6104" w:hanging="284"/>
      </w:pPr>
      <w:rPr>
        <w:rFonts w:hint="default"/>
      </w:rPr>
    </w:lvl>
    <w:lvl w:ilvl="6" w:tplc="400A10A6">
      <w:start w:val="1"/>
      <w:numFmt w:val="bullet"/>
      <w:lvlText w:val="•"/>
      <w:lvlJc w:val="left"/>
      <w:pPr>
        <w:ind w:left="6929" w:hanging="284"/>
      </w:pPr>
      <w:rPr>
        <w:rFonts w:hint="default"/>
      </w:rPr>
    </w:lvl>
    <w:lvl w:ilvl="7" w:tplc="153C0546">
      <w:start w:val="1"/>
      <w:numFmt w:val="bullet"/>
      <w:lvlText w:val="•"/>
      <w:lvlJc w:val="left"/>
      <w:pPr>
        <w:ind w:left="7753" w:hanging="284"/>
      </w:pPr>
      <w:rPr>
        <w:rFonts w:hint="default"/>
      </w:rPr>
    </w:lvl>
    <w:lvl w:ilvl="8" w:tplc="90B4C0C6">
      <w:start w:val="1"/>
      <w:numFmt w:val="bullet"/>
      <w:lvlText w:val="•"/>
      <w:lvlJc w:val="left"/>
      <w:pPr>
        <w:ind w:left="8577" w:hanging="284"/>
      </w:pPr>
      <w:rPr>
        <w:rFonts w:hint="default"/>
      </w:rPr>
    </w:lvl>
  </w:abstractNum>
  <w:abstractNum w:abstractNumId="13" w15:restartNumberingAfterBreak="0">
    <w:nsid w:val="20773E06"/>
    <w:multiLevelType w:val="hybridMultilevel"/>
    <w:tmpl w:val="5380D0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B82D6F"/>
    <w:multiLevelType w:val="hybridMultilevel"/>
    <w:tmpl w:val="6C186060"/>
    <w:lvl w:ilvl="0" w:tplc="C15451FC">
      <w:start w:val="1"/>
      <w:numFmt w:val="bullet"/>
      <w:lvlText w:val="•"/>
      <w:lvlJc w:val="left"/>
      <w:pPr>
        <w:ind w:left="2267" w:hanging="284"/>
      </w:pPr>
      <w:rPr>
        <w:rFonts w:ascii="Lucida Sans Unicode" w:eastAsia="Lucida Sans Unicode" w:hAnsi="Lucida Sans Unicode" w:hint="default"/>
        <w:w w:val="59"/>
        <w:sz w:val="21"/>
        <w:szCs w:val="21"/>
      </w:rPr>
    </w:lvl>
    <w:lvl w:ilvl="1" w:tplc="C2804FC4">
      <w:start w:val="1"/>
      <w:numFmt w:val="bullet"/>
      <w:lvlText w:val="•"/>
      <w:lvlJc w:val="left"/>
      <w:pPr>
        <w:ind w:left="3231" w:hanging="284"/>
      </w:pPr>
      <w:rPr>
        <w:rFonts w:hint="default"/>
      </w:rPr>
    </w:lvl>
    <w:lvl w:ilvl="2" w:tplc="7B56FBF2">
      <w:start w:val="1"/>
      <w:numFmt w:val="bullet"/>
      <w:lvlText w:val="•"/>
      <w:lvlJc w:val="left"/>
      <w:pPr>
        <w:ind w:left="4195" w:hanging="284"/>
      </w:pPr>
      <w:rPr>
        <w:rFonts w:hint="default"/>
      </w:rPr>
    </w:lvl>
    <w:lvl w:ilvl="3" w:tplc="FF5C1366">
      <w:start w:val="1"/>
      <w:numFmt w:val="bullet"/>
      <w:lvlText w:val="•"/>
      <w:lvlJc w:val="left"/>
      <w:pPr>
        <w:ind w:left="5159" w:hanging="284"/>
      </w:pPr>
      <w:rPr>
        <w:rFonts w:hint="default"/>
      </w:rPr>
    </w:lvl>
    <w:lvl w:ilvl="4" w:tplc="B2CA8238">
      <w:start w:val="1"/>
      <w:numFmt w:val="bullet"/>
      <w:lvlText w:val="•"/>
      <w:lvlJc w:val="left"/>
      <w:pPr>
        <w:ind w:left="6122" w:hanging="284"/>
      </w:pPr>
      <w:rPr>
        <w:rFonts w:hint="default"/>
      </w:rPr>
    </w:lvl>
    <w:lvl w:ilvl="5" w:tplc="3378E1CC">
      <w:start w:val="1"/>
      <w:numFmt w:val="bullet"/>
      <w:lvlText w:val="•"/>
      <w:lvlJc w:val="left"/>
      <w:pPr>
        <w:ind w:left="7086" w:hanging="284"/>
      </w:pPr>
      <w:rPr>
        <w:rFonts w:hint="default"/>
      </w:rPr>
    </w:lvl>
    <w:lvl w:ilvl="6" w:tplc="DDFA6B44">
      <w:start w:val="1"/>
      <w:numFmt w:val="bullet"/>
      <w:lvlText w:val="•"/>
      <w:lvlJc w:val="left"/>
      <w:pPr>
        <w:ind w:left="8050" w:hanging="284"/>
      </w:pPr>
      <w:rPr>
        <w:rFonts w:hint="default"/>
      </w:rPr>
    </w:lvl>
    <w:lvl w:ilvl="7" w:tplc="7CA08396">
      <w:start w:val="1"/>
      <w:numFmt w:val="bullet"/>
      <w:lvlText w:val="•"/>
      <w:lvlJc w:val="left"/>
      <w:pPr>
        <w:ind w:left="9014" w:hanging="284"/>
      </w:pPr>
      <w:rPr>
        <w:rFonts w:hint="default"/>
      </w:rPr>
    </w:lvl>
    <w:lvl w:ilvl="8" w:tplc="A386EF5E">
      <w:start w:val="1"/>
      <w:numFmt w:val="bullet"/>
      <w:lvlText w:val="•"/>
      <w:lvlJc w:val="left"/>
      <w:pPr>
        <w:ind w:left="9977" w:hanging="284"/>
      </w:pPr>
      <w:rPr>
        <w:rFonts w:hint="default"/>
      </w:rPr>
    </w:lvl>
  </w:abstractNum>
  <w:abstractNum w:abstractNumId="16" w15:restartNumberingAfterBreak="0">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7" w15:restartNumberingAfterBreak="0">
    <w:nsid w:val="295D0A01"/>
    <w:multiLevelType w:val="multilevel"/>
    <w:tmpl w:val="3076891C"/>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bullet"/>
      <w:lvlText w:val=""/>
      <w:lvlJc w:val="left"/>
      <w:pPr>
        <w:ind w:left="360" w:hanging="360"/>
      </w:pPr>
      <w:rPr>
        <w:rFonts w:ascii="Symbol" w:hAnsi="Symbol" w:hint="default"/>
      </w:rPr>
    </w:lvl>
    <w:lvl w:ilvl="4">
      <w:start w:val="1"/>
      <w:numFmt w:val="lowerLetter"/>
      <w:lvlText w:val="%5."/>
      <w:lvlJc w:val="left"/>
      <w:pPr>
        <w:ind w:left="1134" w:hanging="567"/>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CDF1F4D"/>
    <w:multiLevelType w:val="hybridMultilevel"/>
    <w:tmpl w:val="269ECB9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9" w15:restartNumberingAfterBreak="0">
    <w:nsid w:val="2D94347D"/>
    <w:multiLevelType w:val="hybridMultilevel"/>
    <w:tmpl w:val="CDC0E688"/>
    <w:lvl w:ilvl="0" w:tplc="AAE49842">
      <w:start w:val="1"/>
      <w:numFmt w:val="bullet"/>
      <w:lvlText w:val="•"/>
      <w:lvlJc w:val="left"/>
      <w:pPr>
        <w:ind w:left="1984" w:hanging="284"/>
      </w:pPr>
      <w:rPr>
        <w:rFonts w:ascii="Lucida Sans Unicode" w:eastAsia="Lucida Sans Unicode" w:hAnsi="Lucida Sans Unicode" w:hint="default"/>
        <w:w w:val="59"/>
        <w:sz w:val="21"/>
        <w:szCs w:val="21"/>
      </w:rPr>
    </w:lvl>
    <w:lvl w:ilvl="1" w:tplc="A3103622">
      <w:start w:val="1"/>
      <w:numFmt w:val="bullet"/>
      <w:lvlText w:val="•"/>
      <w:lvlJc w:val="left"/>
      <w:pPr>
        <w:ind w:left="2808" w:hanging="284"/>
      </w:pPr>
      <w:rPr>
        <w:rFonts w:hint="default"/>
      </w:rPr>
    </w:lvl>
    <w:lvl w:ilvl="2" w:tplc="2CC6F326">
      <w:start w:val="1"/>
      <w:numFmt w:val="bullet"/>
      <w:lvlText w:val="•"/>
      <w:lvlJc w:val="left"/>
      <w:pPr>
        <w:ind w:left="3632" w:hanging="284"/>
      </w:pPr>
      <w:rPr>
        <w:rFonts w:hint="default"/>
      </w:rPr>
    </w:lvl>
    <w:lvl w:ilvl="3" w:tplc="C026F318">
      <w:start w:val="1"/>
      <w:numFmt w:val="bullet"/>
      <w:lvlText w:val="•"/>
      <w:lvlJc w:val="left"/>
      <w:pPr>
        <w:ind w:left="4456" w:hanging="284"/>
      </w:pPr>
      <w:rPr>
        <w:rFonts w:hint="default"/>
      </w:rPr>
    </w:lvl>
    <w:lvl w:ilvl="4" w:tplc="8E1C6BD0">
      <w:start w:val="1"/>
      <w:numFmt w:val="bullet"/>
      <w:lvlText w:val="•"/>
      <w:lvlJc w:val="left"/>
      <w:pPr>
        <w:ind w:left="5280" w:hanging="284"/>
      </w:pPr>
      <w:rPr>
        <w:rFonts w:hint="default"/>
      </w:rPr>
    </w:lvl>
    <w:lvl w:ilvl="5" w:tplc="96EA3796">
      <w:start w:val="1"/>
      <w:numFmt w:val="bullet"/>
      <w:lvlText w:val="•"/>
      <w:lvlJc w:val="left"/>
      <w:pPr>
        <w:ind w:left="6104" w:hanging="284"/>
      </w:pPr>
      <w:rPr>
        <w:rFonts w:hint="default"/>
      </w:rPr>
    </w:lvl>
    <w:lvl w:ilvl="6" w:tplc="DF52DE2A">
      <w:start w:val="1"/>
      <w:numFmt w:val="bullet"/>
      <w:lvlText w:val="•"/>
      <w:lvlJc w:val="left"/>
      <w:pPr>
        <w:ind w:left="6929" w:hanging="284"/>
      </w:pPr>
      <w:rPr>
        <w:rFonts w:hint="default"/>
      </w:rPr>
    </w:lvl>
    <w:lvl w:ilvl="7" w:tplc="7D3E5354">
      <w:start w:val="1"/>
      <w:numFmt w:val="bullet"/>
      <w:lvlText w:val="•"/>
      <w:lvlJc w:val="left"/>
      <w:pPr>
        <w:ind w:left="7753" w:hanging="284"/>
      </w:pPr>
      <w:rPr>
        <w:rFonts w:hint="default"/>
      </w:rPr>
    </w:lvl>
    <w:lvl w:ilvl="8" w:tplc="0FE8A7AA">
      <w:start w:val="1"/>
      <w:numFmt w:val="bullet"/>
      <w:lvlText w:val="•"/>
      <w:lvlJc w:val="left"/>
      <w:pPr>
        <w:ind w:left="8577" w:hanging="284"/>
      </w:pPr>
      <w:rPr>
        <w:rFonts w:hint="default"/>
      </w:rPr>
    </w:lvl>
  </w:abstractNum>
  <w:abstractNum w:abstractNumId="20" w15:restartNumberingAfterBreak="0">
    <w:nsid w:val="31430E4A"/>
    <w:multiLevelType w:val="hybridMultilevel"/>
    <w:tmpl w:val="C4BE4BD4"/>
    <w:lvl w:ilvl="0" w:tplc="54ACCB78">
      <w:start w:val="1"/>
      <w:numFmt w:val="bullet"/>
      <w:lvlText w:val="•"/>
      <w:lvlJc w:val="left"/>
      <w:pPr>
        <w:ind w:left="623" w:hanging="284"/>
      </w:pPr>
      <w:rPr>
        <w:rFonts w:ascii="Arial Unicode MS" w:eastAsia="Arial Unicode MS" w:hAnsi="Arial Unicode MS" w:hint="default"/>
        <w:color w:val="FFFFFF"/>
        <w:w w:val="107"/>
        <w:sz w:val="21"/>
        <w:szCs w:val="21"/>
      </w:rPr>
    </w:lvl>
    <w:lvl w:ilvl="1" w:tplc="6EE81F12">
      <w:start w:val="1"/>
      <w:numFmt w:val="bullet"/>
      <w:lvlText w:val="•"/>
      <w:lvlJc w:val="left"/>
      <w:pPr>
        <w:ind w:left="926" w:hanging="284"/>
      </w:pPr>
      <w:rPr>
        <w:rFonts w:hint="default"/>
      </w:rPr>
    </w:lvl>
    <w:lvl w:ilvl="2" w:tplc="3D880680">
      <w:start w:val="1"/>
      <w:numFmt w:val="bullet"/>
      <w:lvlText w:val="•"/>
      <w:lvlJc w:val="left"/>
      <w:pPr>
        <w:ind w:left="1230" w:hanging="284"/>
      </w:pPr>
      <w:rPr>
        <w:rFonts w:hint="default"/>
      </w:rPr>
    </w:lvl>
    <w:lvl w:ilvl="3" w:tplc="B010C610">
      <w:start w:val="1"/>
      <w:numFmt w:val="bullet"/>
      <w:lvlText w:val="•"/>
      <w:lvlJc w:val="left"/>
      <w:pPr>
        <w:ind w:left="1533" w:hanging="284"/>
      </w:pPr>
      <w:rPr>
        <w:rFonts w:hint="default"/>
      </w:rPr>
    </w:lvl>
    <w:lvl w:ilvl="4" w:tplc="E6120074">
      <w:start w:val="1"/>
      <w:numFmt w:val="bullet"/>
      <w:lvlText w:val="•"/>
      <w:lvlJc w:val="left"/>
      <w:pPr>
        <w:ind w:left="1836" w:hanging="284"/>
      </w:pPr>
      <w:rPr>
        <w:rFonts w:hint="default"/>
      </w:rPr>
    </w:lvl>
    <w:lvl w:ilvl="5" w:tplc="CBC8627C">
      <w:start w:val="1"/>
      <w:numFmt w:val="bullet"/>
      <w:lvlText w:val="•"/>
      <w:lvlJc w:val="left"/>
      <w:pPr>
        <w:ind w:left="2140" w:hanging="284"/>
      </w:pPr>
      <w:rPr>
        <w:rFonts w:hint="default"/>
      </w:rPr>
    </w:lvl>
    <w:lvl w:ilvl="6" w:tplc="B9380D56">
      <w:start w:val="1"/>
      <w:numFmt w:val="bullet"/>
      <w:lvlText w:val="•"/>
      <w:lvlJc w:val="left"/>
      <w:pPr>
        <w:ind w:left="2443" w:hanging="284"/>
      </w:pPr>
      <w:rPr>
        <w:rFonts w:hint="default"/>
      </w:rPr>
    </w:lvl>
    <w:lvl w:ilvl="7" w:tplc="21BEC842">
      <w:start w:val="1"/>
      <w:numFmt w:val="bullet"/>
      <w:lvlText w:val="•"/>
      <w:lvlJc w:val="left"/>
      <w:pPr>
        <w:ind w:left="2746" w:hanging="284"/>
      </w:pPr>
      <w:rPr>
        <w:rFonts w:hint="default"/>
      </w:rPr>
    </w:lvl>
    <w:lvl w:ilvl="8" w:tplc="43B03AC2">
      <w:start w:val="1"/>
      <w:numFmt w:val="bullet"/>
      <w:lvlText w:val="•"/>
      <w:lvlJc w:val="left"/>
      <w:pPr>
        <w:ind w:left="3050" w:hanging="284"/>
      </w:pPr>
      <w:rPr>
        <w:rFonts w:hint="default"/>
      </w:rPr>
    </w:lvl>
  </w:abstractNum>
  <w:abstractNum w:abstractNumId="21" w15:restartNumberingAfterBreak="0">
    <w:nsid w:val="31AC5BCC"/>
    <w:multiLevelType w:val="multilevel"/>
    <w:tmpl w:val="E2B82BAE"/>
    <w:name w:val="CabNumeric2"/>
    <w:lvl w:ilvl="0">
      <w:start w:val="1"/>
      <w:numFmt w:val="decimal"/>
      <w:pStyle w:val="CabStandard"/>
      <w:lvlText w:val="%1"/>
      <w:lvlJc w:val="left"/>
      <w:pPr>
        <w:tabs>
          <w:tab w:val="num" w:pos="720"/>
        </w:tabs>
        <w:ind w:left="720" w:hanging="720"/>
      </w:pPr>
      <w:rPr>
        <w:rFonts w:ascii="Arial" w:hAnsi="Arial" w:cs="Arial" w:hint="default"/>
        <w:i w:val="0"/>
        <w:iCs/>
        <w:strike w:val="0"/>
        <w:color w:val="auto"/>
      </w:rPr>
    </w:lvl>
    <w:lvl w:ilvl="1">
      <w:start w:val="1"/>
      <w:numFmt w:val="decimal"/>
      <w:lvlText w:val="%1.%2"/>
      <w:lvlJc w:val="left"/>
      <w:pPr>
        <w:tabs>
          <w:tab w:val="num" w:pos="1440"/>
        </w:tabs>
        <w:ind w:left="1440" w:hanging="720"/>
      </w:pPr>
      <w:rPr>
        <w:rFonts w:hint="default"/>
        <w:i w:val="0"/>
        <w:iCs/>
        <w:strike w:val="0"/>
        <w:color w:val="auto"/>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674408"/>
    <w:multiLevelType w:val="hybridMultilevel"/>
    <w:tmpl w:val="DF5C8FFA"/>
    <w:lvl w:ilvl="0" w:tplc="88ACCDC0">
      <w:start w:val="1"/>
      <w:numFmt w:val="decimal"/>
      <w:lvlText w:val="%1."/>
      <w:lvlJc w:val="left"/>
      <w:pPr>
        <w:ind w:left="924" w:hanging="56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5FBD1A"/>
    <w:multiLevelType w:val="hybridMultilevel"/>
    <w:tmpl w:val="45820602"/>
    <w:lvl w:ilvl="0" w:tplc="F884A244">
      <w:start w:val="1"/>
      <w:numFmt w:val="bullet"/>
      <w:pStyle w:val="Tablebullets"/>
      <w:lvlText w:val="·"/>
      <w:lvlJc w:val="left"/>
      <w:pPr>
        <w:ind w:left="720" w:hanging="360"/>
      </w:pPr>
      <w:rPr>
        <w:rFonts w:ascii="Symbol" w:hAnsi="Symbol" w:hint="default"/>
      </w:rPr>
    </w:lvl>
    <w:lvl w:ilvl="1" w:tplc="C5D2B574">
      <w:start w:val="1"/>
      <w:numFmt w:val="bullet"/>
      <w:lvlText w:val="o"/>
      <w:lvlJc w:val="left"/>
      <w:pPr>
        <w:ind w:left="1440" w:hanging="360"/>
      </w:pPr>
      <w:rPr>
        <w:rFonts w:ascii="Courier New" w:hAnsi="Courier New" w:hint="default"/>
      </w:rPr>
    </w:lvl>
    <w:lvl w:ilvl="2" w:tplc="B794484E">
      <w:start w:val="1"/>
      <w:numFmt w:val="bullet"/>
      <w:lvlText w:val=""/>
      <w:lvlJc w:val="left"/>
      <w:pPr>
        <w:ind w:left="2160" w:hanging="360"/>
      </w:pPr>
      <w:rPr>
        <w:rFonts w:ascii="Wingdings" w:hAnsi="Wingdings" w:hint="default"/>
      </w:rPr>
    </w:lvl>
    <w:lvl w:ilvl="3" w:tplc="62A241FE">
      <w:start w:val="1"/>
      <w:numFmt w:val="bullet"/>
      <w:lvlText w:val=""/>
      <w:lvlJc w:val="left"/>
      <w:pPr>
        <w:ind w:left="2880" w:hanging="360"/>
      </w:pPr>
      <w:rPr>
        <w:rFonts w:ascii="Symbol" w:hAnsi="Symbol" w:hint="default"/>
      </w:rPr>
    </w:lvl>
    <w:lvl w:ilvl="4" w:tplc="10E0CDA4">
      <w:start w:val="1"/>
      <w:numFmt w:val="bullet"/>
      <w:lvlText w:val="o"/>
      <w:lvlJc w:val="left"/>
      <w:pPr>
        <w:ind w:left="3600" w:hanging="360"/>
      </w:pPr>
      <w:rPr>
        <w:rFonts w:ascii="Courier New" w:hAnsi="Courier New" w:hint="default"/>
      </w:rPr>
    </w:lvl>
    <w:lvl w:ilvl="5" w:tplc="8B6066C2">
      <w:start w:val="1"/>
      <w:numFmt w:val="bullet"/>
      <w:lvlText w:val=""/>
      <w:lvlJc w:val="left"/>
      <w:pPr>
        <w:ind w:left="4320" w:hanging="360"/>
      </w:pPr>
      <w:rPr>
        <w:rFonts w:ascii="Wingdings" w:hAnsi="Wingdings" w:hint="default"/>
      </w:rPr>
    </w:lvl>
    <w:lvl w:ilvl="6" w:tplc="9FC6FD98">
      <w:start w:val="1"/>
      <w:numFmt w:val="bullet"/>
      <w:lvlText w:val=""/>
      <w:lvlJc w:val="left"/>
      <w:pPr>
        <w:ind w:left="5040" w:hanging="360"/>
      </w:pPr>
      <w:rPr>
        <w:rFonts w:ascii="Symbol" w:hAnsi="Symbol" w:hint="default"/>
      </w:rPr>
    </w:lvl>
    <w:lvl w:ilvl="7" w:tplc="349A6ECA">
      <w:start w:val="1"/>
      <w:numFmt w:val="bullet"/>
      <w:lvlText w:val="o"/>
      <w:lvlJc w:val="left"/>
      <w:pPr>
        <w:ind w:left="5760" w:hanging="360"/>
      </w:pPr>
      <w:rPr>
        <w:rFonts w:ascii="Courier New" w:hAnsi="Courier New" w:hint="default"/>
      </w:rPr>
    </w:lvl>
    <w:lvl w:ilvl="8" w:tplc="A5EC005A">
      <w:start w:val="1"/>
      <w:numFmt w:val="bullet"/>
      <w:lvlText w:val=""/>
      <w:lvlJc w:val="left"/>
      <w:pPr>
        <w:ind w:left="6480" w:hanging="360"/>
      </w:pPr>
      <w:rPr>
        <w:rFonts w:ascii="Wingdings" w:hAnsi="Wingdings" w:hint="default"/>
      </w:rPr>
    </w:lvl>
  </w:abstractNum>
  <w:abstractNum w:abstractNumId="26" w15:restartNumberingAfterBreak="0">
    <w:nsid w:val="4AFB4939"/>
    <w:multiLevelType w:val="hybridMultilevel"/>
    <w:tmpl w:val="B560C9E0"/>
    <w:lvl w:ilvl="0" w:tplc="5358D1F4">
      <w:start w:val="1"/>
      <w:numFmt w:val="bullet"/>
      <w:lvlText w:val="–"/>
      <w:lvlJc w:val="left"/>
      <w:pPr>
        <w:ind w:left="701" w:hanging="284"/>
      </w:pPr>
      <w:rPr>
        <w:rFonts w:ascii="Arial Black" w:eastAsia="Arial Black" w:hAnsi="Arial Black" w:hint="default"/>
        <w:b/>
        <w:bCs/>
        <w:sz w:val="21"/>
        <w:szCs w:val="21"/>
      </w:rPr>
    </w:lvl>
    <w:lvl w:ilvl="1" w:tplc="2D0A247C">
      <w:start w:val="1"/>
      <w:numFmt w:val="bullet"/>
      <w:lvlText w:val="•"/>
      <w:lvlJc w:val="left"/>
      <w:pPr>
        <w:ind w:left="1149" w:hanging="284"/>
      </w:pPr>
      <w:rPr>
        <w:rFonts w:hint="default"/>
      </w:rPr>
    </w:lvl>
    <w:lvl w:ilvl="2" w:tplc="014E8A48">
      <w:start w:val="1"/>
      <w:numFmt w:val="bullet"/>
      <w:lvlText w:val="•"/>
      <w:lvlJc w:val="left"/>
      <w:pPr>
        <w:ind w:left="1596" w:hanging="284"/>
      </w:pPr>
      <w:rPr>
        <w:rFonts w:hint="default"/>
      </w:rPr>
    </w:lvl>
    <w:lvl w:ilvl="3" w:tplc="62E68792">
      <w:start w:val="1"/>
      <w:numFmt w:val="bullet"/>
      <w:lvlText w:val="•"/>
      <w:lvlJc w:val="left"/>
      <w:pPr>
        <w:ind w:left="2044" w:hanging="284"/>
      </w:pPr>
      <w:rPr>
        <w:rFonts w:hint="default"/>
      </w:rPr>
    </w:lvl>
    <w:lvl w:ilvl="4" w:tplc="6BC03800">
      <w:start w:val="1"/>
      <w:numFmt w:val="bullet"/>
      <w:lvlText w:val="•"/>
      <w:lvlJc w:val="left"/>
      <w:pPr>
        <w:ind w:left="2492" w:hanging="284"/>
      </w:pPr>
      <w:rPr>
        <w:rFonts w:hint="default"/>
      </w:rPr>
    </w:lvl>
    <w:lvl w:ilvl="5" w:tplc="D62CF1AE">
      <w:start w:val="1"/>
      <w:numFmt w:val="bullet"/>
      <w:lvlText w:val="•"/>
      <w:lvlJc w:val="left"/>
      <w:pPr>
        <w:ind w:left="2940" w:hanging="284"/>
      </w:pPr>
      <w:rPr>
        <w:rFonts w:hint="default"/>
      </w:rPr>
    </w:lvl>
    <w:lvl w:ilvl="6" w:tplc="4AF656FE">
      <w:start w:val="1"/>
      <w:numFmt w:val="bullet"/>
      <w:lvlText w:val="•"/>
      <w:lvlJc w:val="left"/>
      <w:pPr>
        <w:ind w:left="3388" w:hanging="284"/>
      </w:pPr>
      <w:rPr>
        <w:rFonts w:hint="default"/>
      </w:rPr>
    </w:lvl>
    <w:lvl w:ilvl="7" w:tplc="B11C28E0">
      <w:start w:val="1"/>
      <w:numFmt w:val="bullet"/>
      <w:lvlText w:val="•"/>
      <w:lvlJc w:val="left"/>
      <w:pPr>
        <w:ind w:left="3836" w:hanging="284"/>
      </w:pPr>
      <w:rPr>
        <w:rFonts w:hint="default"/>
      </w:rPr>
    </w:lvl>
    <w:lvl w:ilvl="8" w:tplc="A2F2C1E6">
      <w:start w:val="1"/>
      <w:numFmt w:val="bullet"/>
      <w:lvlText w:val="•"/>
      <w:lvlJc w:val="left"/>
      <w:pPr>
        <w:ind w:left="4284" w:hanging="284"/>
      </w:pPr>
      <w:rPr>
        <w:rFonts w:hint="default"/>
      </w:rPr>
    </w:lvl>
  </w:abstractNum>
  <w:abstractNum w:abstractNumId="27" w15:restartNumberingAfterBreak="0">
    <w:nsid w:val="4D6856C8"/>
    <w:multiLevelType w:val="hybridMultilevel"/>
    <w:tmpl w:val="0338F8C0"/>
    <w:lvl w:ilvl="0" w:tplc="73FE36DE">
      <w:start w:val="1"/>
      <w:numFmt w:val="bullet"/>
      <w:lvlText w:val="•"/>
      <w:lvlJc w:val="left"/>
      <w:pPr>
        <w:ind w:left="245" w:hanging="134"/>
      </w:pPr>
      <w:rPr>
        <w:rFonts w:ascii="Arial Unicode MS" w:eastAsia="Arial Unicode MS" w:hAnsi="Arial Unicode MS" w:hint="default"/>
        <w:w w:val="107"/>
        <w:sz w:val="21"/>
        <w:szCs w:val="21"/>
      </w:rPr>
    </w:lvl>
    <w:lvl w:ilvl="1" w:tplc="3F32CFCA">
      <w:start w:val="1"/>
      <w:numFmt w:val="bullet"/>
      <w:lvlText w:val="•"/>
      <w:lvlJc w:val="left"/>
      <w:pPr>
        <w:ind w:left="494" w:hanging="134"/>
      </w:pPr>
      <w:rPr>
        <w:rFonts w:hint="default"/>
      </w:rPr>
    </w:lvl>
    <w:lvl w:ilvl="2" w:tplc="025CEB60">
      <w:start w:val="1"/>
      <w:numFmt w:val="bullet"/>
      <w:lvlText w:val="•"/>
      <w:lvlJc w:val="left"/>
      <w:pPr>
        <w:ind w:left="743" w:hanging="134"/>
      </w:pPr>
      <w:rPr>
        <w:rFonts w:hint="default"/>
      </w:rPr>
    </w:lvl>
    <w:lvl w:ilvl="3" w:tplc="5E0EC12A">
      <w:start w:val="1"/>
      <w:numFmt w:val="bullet"/>
      <w:lvlText w:val="•"/>
      <w:lvlJc w:val="left"/>
      <w:pPr>
        <w:ind w:left="993" w:hanging="134"/>
      </w:pPr>
      <w:rPr>
        <w:rFonts w:hint="default"/>
      </w:rPr>
    </w:lvl>
    <w:lvl w:ilvl="4" w:tplc="E8B04864">
      <w:start w:val="1"/>
      <w:numFmt w:val="bullet"/>
      <w:lvlText w:val="•"/>
      <w:lvlJc w:val="left"/>
      <w:pPr>
        <w:ind w:left="1242" w:hanging="134"/>
      </w:pPr>
      <w:rPr>
        <w:rFonts w:hint="default"/>
      </w:rPr>
    </w:lvl>
    <w:lvl w:ilvl="5" w:tplc="7EF0585E">
      <w:start w:val="1"/>
      <w:numFmt w:val="bullet"/>
      <w:lvlText w:val="•"/>
      <w:lvlJc w:val="left"/>
      <w:pPr>
        <w:ind w:left="1491" w:hanging="134"/>
      </w:pPr>
      <w:rPr>
        <w:rFonts w:hint="default"/>
      </w:rPr>
    </w:lvl>
    <w:lvl w:ilvl="6" w:tplc="7EC6F446">
      <w:start w:val="1"/>
      <w:numFmt w:val="bullet"/>
      <w:lvlText w:val="•"/>
      <w:lvlJc w:val="left"/>
      <w:pPr>
        <w:ind w:left="1740" w:hanging="134"/>
      </w:pPr>
      <w:rPr>
        <w:rFonts w:hint="default"/>
      </w:rPr>
    </w:lvl>
    <w:lvl w:ilvl="7" w:tplc="B4E0707E">
      <w:start w:val="1"/>
      <w:numFmt w:val="bullet"/>
      <w:lvlText w:val="•"/>
      <w:lvlJc w:val="left"/>
      <w:pPr>
        <w:ind w:left="1989" w:hanging="134"/>
      </w:pPr>
      <w:rPr>
        <w:rFonts w:hint="default"/>
      </w:rPr>
    </w:lvl>
    <w:lvl w:ilvl="8" w:tplc="30DCDC0C">
      <w:start w:val="1"/>
      <w:numFmt w:val="bullet"/>
      <w:lvlText w:val="•"/>
      <w:lvlJc w:val="left"/>
      <w:pPr>
        <w:ind w:left="2239" w:hanging="134"/>
      </w:pPr>
      <w:rPr>
        <w:rFonts w:hint="default"/>
      </w:rPr>
    </w:lvl>
  </w:abstractNum>
  <w:abstractNum w:abstractNumId="28" w15:restartNumberingAfterBreak="0">
    <w:nsid w:val="4D9638CA"/>
    <w:multiLevelType w:val="hybridMultilevel"/>
    <w:tmpl w:val="FFFFFFFF"/>
    <w:lvl w:ilvl="0" w:tplc="1292BBB8">
      <w:start w:val="1"/>
      <w:numFmt w:val="bullet"/>
      <w:lvlText w:val="·"/>
      <w:lvlJc w:val="left"/>
      <w:pPr>
        <w:ind w:left="720" w:hanging="360"/>
      </w:pPr>
      <w:rPr>
        <w:rFonts w:ascii="Symbol" w:hAnsi="Symbol" w:hint="default"/>
      </w:rPr>
    </w:lvl>
    <w:lvl w:ilvl="1" w:tplc="299A6024">
      <w:start w:val="1"/>
      <w:numFmt w:val="bullet"/>
      <w:lvlText w:val="o"/>
      <w:lvlJc w:val="left"/>
      <w:pPr>
        <w:ind w:left="1440" w:hanging="360"/>
      </w:pPr>
      <w:rPr>
        <w:rFonts w:ascii="Courier New" w:hAnsi="Courier New" w:hint="default"/>
      </w:rPr>
    </w:lvl>
    <w:lvl w:ilvl="2" w:tplc="A4B2CEEE">
      <w:start w:val="1"/>
      <w:numFmt w:val="bullet"/>
      <w:lvlText w:val=""/>
      <w:lvlJc w:val="left"/>
      <w:pPr>
        <w:ind w:left="2160" w:hanging="360"/>
      </w:pPr>
      <w:rPr>
        <w:rFonts w:ascii="Wingdings" w:hAnsi="Wingdings" w:hint="default"/>
      </w:rPr>
    </w:lvl>
    <w:lvl w:ilvl="3" w:tplc="25103E64">
      <w:start w:val="1"/>
      <w:numFmt w:val="bullet"/>
      <w:lvlText w:val=""/>
      <w:lvlJc w:val="left"/>
      <w:pPr>
        <w:ind w:left="2880" w:hanging="360"/>
      </w:pPr>
      <w:rPr>
        <w:rFonts w:ascii="Symbol" w:hAnsi="Symbol" w:hint="default"/>
      </w:rPr>
    </w:lvl>
    <w:lvl w:ilvl="4" w:tplc="E07A3378">
      <w:start w:val="1"/>
      <w:numFmt w:val="bullet"/>
      <w:lvlText w:val="o"/>
      <w:lvlJc w:val="left"/>
      <w:pPr>
        <w:ind w:left="3600" w:hanging="360"/>
      </w:pPr>
      <w:rPr>
        <w:rFonts w:ascii="Courier New" w:hAnsi="Courier New" w:hint="default"/>
      </w:rPr>
    </w:lvl>
    <w:lvl w:ilvl="5" w:tplc="DEDE8F88">
      <w:start w:val="1"/>
      <w:numFmt w:val="bullet"/>
      <w:lvlText w:val=""/>
      <w:lvlJc w:val="left"/>
      <w:pPr>
        <w:ind w:left="4320" w:hanging="360"/>
      </w:pPr>
      <w:rPr>
        <w:rFonts w:ascii="Wingdings" w:hAnsi="Wingdings" w:hint="default"/>
      </w:rPr>
    </w:lvl>
    <w:lvl w:ilvl="6" w:tplc="D0222FAA">
      <w:start w:val="1"/>
      <w:numFmt w:val="bullet"/>
      <w:lvlText w:val=""/>
      <w:lvlJc w:val="left"/>
      <w:pPr>
        <w:ind w:left="5040" w:hanging="360"/>
      </w:pPr>
      <w:rPr>
        <w:rFonts w:ascii="Symbol" w:hAnsi="Symbol" w:hint="default"/>
      </w:rPr>
    </w:lvl>
    <w:lvl w:ilvl="7" w:tplc="D366A44E">
      <w:start w:val="1"/>
      <w:numFmt w:val="bullet"/>
      <w:lvlText w:val="o"/>
      <w:lvlJc w:val="left"/>
      <w:pPr>
        <w:ind w:left="5760" w:hanging="360"/>
      </w:pPr>
      <w:rPr>
        <w:rFonts w:ascii="Courier New" w:hAnsi="Courier New" w:hint="default"/>
      </w:rPr>
    </w:lvl>
    <w:lvl w:ilvl="8" w:tplc="CE481F8C">
      <w:start w:val="1"/>
      <w:numFmt w:val="bullet"/>
      <w:lvlText w:val=""/>
      <w:lvlJc w:val="left"/>
      <w:pPr>
        <w:ind w:left="6480" w:hanging="360"/>
      </w:pPr>
      <w:rPr>
        <w:rFonts w:ascii="Wingdings" w:hAnsi="Wingdings" w:hint="default"/>
      </w:rPr>
    </w:lvl>
  </w:abstractNum>
  <w:abstractNum w:abstractNumId="29" w15:restartNumberingAfterBreak="0">
    <w:nsid w:val="5293FB99"/>
    <w:multiLevelType w:val="hybridMultilevel"/>
    <w:tmpl w:val="FFFFFFFF"/>
    <w:lvl w:ilvl="0" w:tplc="78D8952C">
      <w:start w:val="1"/>
      <w:numFmt w:val="decimal"/>
      <w:lvlText w:val="%1."/>
      <w:lvlJc w:val="left"/>
      <w:pPr>
        <w:ind w:left="720" w:hanging="360"/>
      </w:pPr>
    </w:lvl>
    <w:lvl w:ilvl="1" w:tplc="3C36554A">
      <w:start w:val="1"/>
      <w:numFmt w:val="lowerLetter"/>
      <w:lvlText w:val="%2."/>
      <w:lvlJc w:val="left"/>
      <w:pPr>
        <w:ind w:left="1440" w:hanging="360"/>
      </w:pPr>
    </w:lvl>
    <w:lvl w:ilvl="2" w:tplc="840E8D02">
      <w:start w:val="1"/>
      <w:numFmt w:val="decimal"/>
      <w:lvlText w:val="%3."/>
      <w:lvlJc w:val="left"/>
      <w:pPr>
        <w:ind w:left="2160" w:hanging="180"/>
      </w:pPr>
    </w:lvl>
    <w:lvl w:ilvl="3" w:tplc="1E8C2740">
      <w:start w:val="1"/>
      <w:numFmt w:val="decimal"/>
      <w:lvlText w:val="%4."/>
      <w:lvlJc w:val="left"/>
      <w:pPr>
        <w:ind w:left="2880" w:hanging="360"/>
      </w:pPr>
    </w:lvl>
    <w:lvl w:ilvl="4" w:tplc="40D0DDB0">
      <w:start w:val="1"/>
      <w:numFmt w:val="lowerLetter"/>
      <w:lvlText w:val="%5."/>
      <w:lvlJc w:val="left"/>
      <w:pPr>
        <w:ind w:left="3600" w:hanging="360"/>
      </w:pPr>
    </w:lvl>
    <w:lvl w:ilvl="5" w:tplc="67AA6512">
      <w:start w:val="1"/>
      <w:numFmt w:val="lowerRoman"/>
      <w:lvlText w:val="%6."/>
      <w:lvlJc w:val="right"/>
      <w:pPr>
        <w:ind w:left="4320" w:hanging="180"/>
      </w:pPr>
    </w:lvl>
    <w:lvl w:ilvl="6" w:tplc="C89CA48C">
      <w:start w:val="1"/>
      <w:numFmt w:val="decimal"/>
      <w:lvlText w:val="%7."/>
      <w:lvlJc w:val="left"/>
      <w:pPr>
        <w:ind w:left="5040" w:hanging="360"/>
      </w:pPr>
    </w:lvl>
    <w:lvl w:ilvl="7" w:tplc="25F80244">
      <w:start w:val="1"/>
      <w:numFmt w:val="lowerLetter"/>
      <w:lvlText w:val="%8."/>
      <w:lvlJc w:val="left"/>
      <w:pPr>
        <w:ind w:left="5760" w:hanging="360"/>
      </w:pPr>
    </w:lvl>
    <w:lvl w:ilvl="8" w:tplc="3028E14C">
      <w:start w:val="1"/>
      <w:numFmt w:val="lowerRoman"/>
      <w:lvlText w:val="%9."/>
      <w:lvlJc w:val="right"/>
      <w:pPr>
        <w:ind w:left="6480" w:hanging="180"/>
      </w:pPr>
    </w:lvl>
  </w:abstractNum>
  <w:abstractNum w:abstractNumId="30" w15:restartNumberingAfterBreak="0">
    <w:nsid w:val="549B04E2"/>
    <w:multiLevelType w:val="hybridMultilevel"/>
    <w:tmpl w:val="221E658C"/>
    <w:lvl w:ilvl="0" w:tplc="68B08BF2">
      <w:start w:val="1"/>
      <w:numFmt w:val="bullet"/>
      <w:lvlText w:val=""/>
      <w:lvlJc w:val="left"/>
      <w:pPr>
        <w:ind w:left="360" w:hanging="360"/>
      </w:pPr>
      <w:rPr>
        <w:rFonts w:ascii="Symbol" w:hAnsi="Symbol" w:hint="default"/>
      </w:rPr>
    </w:lvl>
    <w:lvl w:ilvl="1" w:tplc="06901BF6">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56011CFE"/>
    <w:multiLevelType w:val="hybridMultilevel"/>
    <w:tmpl w:val="FB989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C724B65"/>
    <w:multiLevelType w:val="hybridMultilevel"/>
    <w:tmpl w:val="46E4FFEE"/>
    <w:lvl w:ilvl="0" w:tplc="EB0A854E">
      <w:start w:val="1"/>
      <w:numFmt w:val="bullet"/>
      <w:lvlText w:val="•"/>
      <w:lvlJc w:val="left"/>
      <w:pPr>
        <w:ind w:left="559" w:hanging="134"/>
      </w:pPr>
      <w:rPr>
        <w:rFonts w:ascii="Arial Unicode MS" w:eastAsia="Arial Unicode MS" w:hAnsi="Arial Unicode MS" w:hint="default"/>
        <w:w w:val="107"/>
        <w:sz w:val="21"/>
        <w:szCs w:val="21"/>
      </w:rPr>
    </w:lvl>
    <w:lvl w:ilvl="1" w:tplc="85E65D22">
      <w:start w:val="1"/>
      <w:numFmt w:val="bullet"/>
      <w:lvlText w:val="•"/>
      <w:lvlJc w:val="left"/>
      <w:pPr>
        <w:ind w:left="808" w:hanging="134"/>
      </w:pPr>
      <w:rPr>
        <w:rFonts w:hint="default"/>
      </w:rPr>
    </w:lvl>
    <w:lvl w:ilvl="2" w:tplc="69460D26">
      <w:start w:val="1"/>
      <w:numFmt w:val="bullet"/>
      <w:lvlText w:val="•"/>
      <w:lvlJc w:val="left"/>
      <w:pPr>
        <w:ind w:left="1058" w:hanging="134"/>
      </w:pPr>
      <w:rPr>
        <w:rFonts w:hint="default"/>
      </w:rPr>
    </w:lvl>
    <w:lvl w:ilvl="3" w:tplc="CD6AEA72">
      <w:start w:val="1"/>
      <w:numFmt w:val="bullet"/>
      <w:lvlText w:val="•"/>
      <w:lvlJc w:val="left"/>
      <w:pPr>
        <w:ind w:left="1307" w:hanging="134"/>
      </w:pPr>
      <w:rPr>
        <w:rFonts w:hint="default"/>
      </w:rPr>
    </w:lvl>
    <w:lvl w:ilvl="4" w:tplc="DCE6E408">
      <w:start w:val="1"/>
      <w:numFmt w:val="bullet"/>
      <w:lvlText w:val="•"/>
      <w:lvlJc w:val="left"/>
      <w:pPr>
        <w:ind w:left="1556" w:hanging="134"/>
      </w:pPr>
      <w:rPr>
        <w:rFonts w:hint="default"/>
      </w:rPr>
    </w:lvl>
    <w:lvl w:ilvl="5" w:tplc="C3182234">
      <w:start w:val="1"/>
      <w:numFmt w:val="bullet"/>
      <w:lvlText w:val="•"/>
      <w:lvlJc w:val="left"/>
      <w:pPr>
        <w:ind w:left="1805" w:hanging="134"/>
      </w:pPr>
      <w:rPr>
        <w:rFonts w:hint="default"/>
      </w:rPr>
    </w:lvl>
    <w:lvl w:ilvl="6" w:tplc="85C2C604">
      <w:start w:val="1"/>
      <w:numFmt w:val="bullet"/>
      <w:lvlText w:val="•"/>
      <w:lvlJc w:val="left"/>
      <w:pPr>
        <w:ind w:left="2054" w:hanging="134"/>
      </w:pPr>
      <w:rPr>
        <w:rFonts w:hint="default"/>
      </w:rPr>
    </w:lvl>
    <w:lvl w:ilvl="7" w:tplc="3B5A4DA6">
      <w:start w:val="1"/>
      <w:numFmt w:val="bullet"/>
      <w:lvlText w:val="•"/>
      <w:lvlJc w:val="left"/>
      <w:pPr>
        <w:ind w:left="2303" w:hanging="134"/>
      </w:pPr>
      <w:rPr>
        <w:rFonts w:hint="default"/>
      </w:rPr>
    </w:lvl>
    <w:lvl w:ilvl="8" w:tplc="37AAE036">
      <w:start w:val="1"/>
      <w:numFmt w:val="bullet"/>
      <w:lvlText w:val="•"/>
      <w:lvlJc w:val="left"/>
      <w:pPr>
        <w:ind w:left="2552" w:hanging="134"/>
      </w:pPr>
      <w:rPr>
        <w:rFonts w:hint="default"/>
      </w:rPr>
    </w:lvl>
  </w:abstractNum>
  <w:abstractNum w:abstractNumId="34" w15:restartNumberingAfterBreak="0">
    <w:nsid w:val="5D9A15C3"/>
    <w:multiLevelType w:val="hybridMultilevel"/>
    <w:tmpl w:val="1E9823CC"/>
    <w:lvl w:ilvl="0" w:tplc="AA18F162">
      <w:start w:val="1"/>
      <w:numFmt w:val="bullet"/>
      <w:lvlText w:val="•"/>
      <w:lvlJc w:val="left"/>
      <w:pPr>
        <w:ind w:left="245" w:hanging="134"/>
      </w:pPr>
      <w:rPr>
        <w:rFonts w:ascii="Arial Unicode MS" w:eastAsia="Arial Unicode MS" w:hAnsi="Arial Unicode MS" w:hint="default"/>
        <w:w w:val="107"/>
        <w:sz w:val="21"/>
        <w:szCs w:val="21"/>
      </w:rPr>
    </w:lvl>
    <w:lvl w:ilvl="1" w:tplc="D886110C">
      <w:start w:val="1"/>
      <w:numFmt w:val="bullet"/>
      <w:lvlText w:val="•"/>
      <w:lvlJc w:val="left"/>
      <w:pPr>
        <w:ind w:left="494" w:hanging="134"/>
      </w:pPr>
      <w:rPr>
        <w:rFonts w:hint="default"/>
      </w:rPr>
    </w:lvl>
    <w:lvl w:ilvl="2" w:tplc="5C048F26">
      <w:start w:val="1"/>
      <w:numFmt w:val="bullet"/>
      <w:lvlText w:val="•"/>
      <w:lvlJc w:val="left"/>
      <w:pPr>
        <w:ind w:left="744" w:hanging="134"/>
      </w:pPr>
      <w:rPr>
        <w:rFonts w:hint="default"/>
      </w:rPr>
    </w:lvl>
    <w:lvl w:ilvl="3" w:tplc="44DACB5A">
      <w:start w:val="1"/>
      <w:numFmt w:val="bullet"/>
      <w:lvlText w:val="•"/>
      <w:lvlJc w:val="left"/>
      <w:pPr>
        <w:ind w:left="993" w:hanging="134"/>
      </w:pPr>
      <w:rPr>
        <w:rFonts w:hint="default"/>
      </w:rPr>
    </w:lvl>
    <w:lvl w:ilvl="4" w:tplc="B8B465F0">
      <w:start w:val="1"/>
      <w:numFmt w:val="bullet"/>
      <w:lvlText w:val="•"/>
      <w:lvlJc w:val="left"/>
      <w:pPr>
        <w:ind w:left="1242" w:hanging="134"/>
      </w:pPr>
      <w:rPr>
        <w:rFonts w:hint="default"/>
      </w:rPr>
    </w:lvl>
    <w:lvl w:ilvl="5" w:tplc="1FDCA722">
      <w:start w:val="1"/>
      <w:numFmt w:val="bullet"/>
      <w:lvlText w:val="•"/>
      <w:lvlJc w:val="left"/>
      <w:pPr>
        <w:ind w:left="1491" w:hanging="134"/>
      </w:pPr>
      <w:rPr>
        <w:rFonts w:hint="default"/>
      </w:rPr>
    </w:lvl>
    <w:lvl w:ilvl="6" w:tplc="62501116">
      <w:start w:val="1"/>
      <w:numFmt w:val="bullet"/>
      <w:lvlText w:val="•"/>
      <w:lvlJc w:val="left"/>
      <w:pPr>
        <w:ind w:left="1740" w:hanging="134"/>
      </w:pPr>
      <w:rPr>
        <w:rFonts w:hint="default"/>
      </w:rPr>
    </w:lvl>
    <w:lvl w:ilvl="7" w:tplc="EA9AA01C">
      <w:start w:val="1"/>
      <w:numFmt w:val="bullet"/>
      <w:lvlText w:val="•"/>
      <w:lvlJc w:val="left"/>
      <w:pPr>
        <w:ind w:left="1989" w:hanging="134"/>
      </w:pPr>
      <w:rPr>
        <w:rFonts w:hint="default"/>
      </w:rPr>
    </w:lvl>
    <w:lvl w:ilvl="8" w:tplc="005E787C">
      <w:start w:val="1"/>
      <w:numFmt w:val="bullet"/>
      <w:lvlText w:val="•"/>
      <w:lvlJc w:val="left"/>
      <w:pPr>
        <w:ind w:left="2239" w:hanging="134"/>
      </w:pPr>
      <w:rPr>
        <w:rFonts w:hint="default"/>
      </w:rPr>
    </w:lvl>
  </w:abstractNum>
  <w:abstractNum w:abstractNumId="35" w15:restartNumberingAfterBreak="0">
    <w:nsid w:val="5E4378A3"/>
    <w:multiLevelType w:val="hybridMultilevel"/>
    <w:tmpl w:val="641CDE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37" w15:restartNumberingAfterBreak="0">
    <w:nsid w:val="6A493BA7"/>
    <w:multiLevelType w:val="hybridMultilevel"/>
    <w:tmpl w:val="54A49246"/>
    <w:lvl w:ilvl="0" w:tplc="32401D94">
      <w:start w:val="1"/>
      <w:numFmt w:val="bullet"/>
      <w:lvlText w:val="–"/>
      <w:lvlJc w:val="left"/>
      <w:pPr>
        <w:ind w:left="701" w:hanging="284"/>
      </w:pPr>
      <w:rPr>
        <w:rFonts w:ascii="Arial Black" w:eastAsia="Arial Black" w:hAnsi="Arial Black" w:hint="default"/>
        <w:b/>
        <w:bCs/>
        <w:sz w:val="21"/>
        <w:szCs w:val="21"/>
      </w:rPr>
    </w:lvl>
    <w:lvl w:ilvl="1" w:tplc="2702D4F0">
      <w:start w:val="1"/>
      <w:numFmt w:val="bullet"/>
      <w:lvlText w:val="•"/>
      <w:lvlJc w:val="left"/>
      <w:pPr>
        <w:ind w:left="1149" w:hanging="284"/>
      </w:pPr>
      <w:rPr>
        <w:rFonts w:hint="default"/>
      </w:rPr>
    </w:lvl>
    <w:lvl w:ilvl="2" w:tplc="7E12EC3E">
      <w:start w:val="1"/>
      <w:numFmt w:val="bullet"/>
      <w:lvlText w:val="•"/>
      <w:lvlJc w:val="left"/>
      <w:pPr>
        <w:ind w:left="1596" w:hanging="284"/>
      </w:pPr>
      <w:rPr>
        <w:rFonts w:hint="default"/>
      </w:rPr>
    </w:lvl>
    <w:lvl w:ilvl="3" w:tplc="8AE0534C">
      <w:start w:val="1"/>
      <w:numFmt w:val="bullet"/>
      <w:lvlText w:val="•"/>
      <w:lvlJc w:val="left"/>
      <w:pPr>
        <w:ind w:left="2044" w:hanging="284"/>
      </w:pPr>
      <w:rPr>
        <w:rFonts w:hint="default"/>
      </w:rPr>
    </w:lvl>
    <w:lvl w:ilvl="4" w:tplc="23967D3A">
      <w:start w:val="1"/>
      <w:numFmt w:val="bullet"/>
      <w:lvlText w:val="•"/>
      <w:lvlJc w:val="left"/>
      <w:pPr>
        <w:ind w:left="2492" w:hanging="284"/>
      </w:pPr>
      <w:rPr>
        <w:rFonts w:hint="default"/>
      </w:rPr>
    </w:lvl>
    <w:lvl w:ilvl="5" w:tplc="A1105360">
      <w:start w:val="1"/>
      <w:numFmt w:val="bullet"/>
      <w:lvlText w:val="•"/>
      <w:lvlJc w:val="left"/>
      <w:pPr>
        <w:ind w:left="2940" w:hanging="284"/>
      </w:pPr>
      <w:rPr>
        <w:rFonts w:hint="default"/>
      </w:rPr>
    </w:lvl>
    <w:lvl w:ilvl="6" w:tplc="1D5A8006">
      <w:start w:val="1"/>
      <w:numFmt w:val="bullet"/>
      <w:lvlText w:val="•"/>
      <w:lvlJc w:val="left"/>
      <w:pPr>
        <w:ind w:left="3388" w:hanging="284"/>
      </w:pPr>
      <w:rPr>
        <w:rFonts w:hint="default"/>
      </w:rPr>
    </w:lvl>
    <w:lvl w:ilvl="7" w:tplc="CAD8527E">
      <w:start w:val="1"/>
      <w:numFmt w:val="bullet"/>
      <w:lvlText w:val="•"/>
      <w:lvlJc w:val="left"/>
      <w:pPr>
        <w:ind w:left="3836" w:hanging="284"/>
      </w:pPr>
      <w:rPr>
        <w:rFonts w:hint="default"/>
      </w:rPr>
    </w:lvl>
    <w:lvl w:ilvl="8" w:tplc="2DAA237C">
      <w:start w:val="1"/>
      <w:numFmt w:val="bullet"/>
      <w:lvlText w:val="•"/>
      <w:lvlJc w:val="left"/>
      <w:pPr>
        <w:ind w:left="4284" w:hanging="284"/>
      </w:pPr>
      <w:rPr>
        <w:rFonts w:hint="default"/>
      </w:rPr>
    </w:lvl>
  </w:abstractNum>
  <w:abstractNum w:abstractNumId="38" w15:restartNumberingAfterBreak="0">
    <w:nsid w:val="6A871412"/>
    <w:multiLevelType w:val="hybridMultilevel"/>
    <w:tmpl w:val="679EAFA2"/>
    <w:lvl w:ilvl="0" w:tplc="59822F40">
      <w:start w:val="1"/>
      <w:numFmt w:val="bullet"/>
      <w:lvlText w:val="•"/>
      <w:lvlJc w:val="left"/>
      <w:pPr>
        <w:ind w:left="1984" w:hanging="284"/>
      </w:pPr>
      <w:rPr>
        <w:rFonts w:ascii="Lucida Sans Unicode" w:eastAsia="Lucida Sans Unicode" w:hAnsi="Lucida Sans Unicode" w:hint="default"/>
        <w:w w:val="59"/>
        <w:sz w:val="21"/>
        <w:szCs w:val="21"/>
      </w:rPr>
    </w:lvl>
    <w:lvl w:ilvl="1" w:tplc="0298ED54">
      <w:start w:val="1"/>
      <w:numFmt w:val="bullet"/>
      <w:lvlText w:val="•"/>
      <w:lvlJc w:val="left"/>
      <w:pPr>
        <w:ind w:left="2808" w:hanging="284"/>
      </w:pPr>
      <w:rPr>
        <w:rFonts w:hint="default"/>
      </w:rPr>
    </w:lvl>
    <w:lvl w:ilvl="2" w:tplc="3ACE3B56">
      <w:start w:val="1"/>
      <w:numFmt w:val="bullet"/>
      <w:lvlText w:val="•"/>
      <w:lvlJc w:val="left"/>
      <w:pPr>
        <w:ind w:left="3632" w:hanging="284"/>
      </w:pPr>
      <w:rPr>
        <w:rFonts w:hint="default"/>
      </w:rPr>
    </w:lvl>
    <w:lvl w:ilvl="3" w:tplc="AA96C0BE">
      <w:start w:val="1"/>
      <w:numFmt w:val="bullet"/>
      <w:lvlText w:val="•"/>
      <w:lvlJc w:val="left"/>
      <w:pPr>
        <w:ind w:left="4456" w:hanging="284"/>
      </w:pPr>
      <w:rPr>
        <w:rFonts w:hint="default"/>
      </w:rPr>
    </w:lvl>
    <w:lvl w:ilvl="4" w:tplc="CA98A634">
      <w:start w:val="1"/>
      <w:numFmt w:val="bullet"/>
      <w:lvlText w:val="•"/>
      <w:lvlJc w:val="left"/>
      <w:pPr>
        <w:ind w:left="5280" w:hanging="284"/>
      </w:pPr>
      <w:rPr>
        <w:rFonts w:hint="default"/>
      </w:rPr>
    </w:lvl>
    <w:lvl w:ilvl="5" w:tplc="AA4A5076">
      <w:start w:val="1"/>
      <w:numFmt w:val="bullet"/>
      <w:lvlText w:val="•"/>
      <w:lvlJc w:val="left"/>
      <w:pPr>
        <w:ind w:left="6104" w:hanging="284"/>
      </w:pPr>
      <w:rPr>
        <w:rFonts w:hint="default"/>
      </w:rPr>
    </w:lvl>
    <w:lvl w:ilvl="6" w:tplc="44422EEC">
      <w:start w:val="1"/>
      <w:numFmt w:val="bullet"/>
      <w:lvlText w:val="•"/>
      <w:lvlJc w:val="left"/>
      <w:pPr>
        <w:ind w:left="6929" w:hanging="284"/>
      </w:pPr>
      <w:rPr>
        <w:rFonts w:hint="default"/>
      </w:rPr>
    </w:lvl>
    <w:lvl w:ilvl="7" w:tplc="91644454">
      <w:start w:val="1"/>
      <w:numFmt w:val="bullet"/>
      <w:lvlText w:val="•"/>
      <w:lvlJc w:val="left"/>
      <w:pPr>
        <w:ind w:left="7753" w:hanging="284"/>
      </w:pPr>
      <w:rPr>
        <w:rFonts w:hint="default"/>
      </w:rPr>
    </w:lvl>
    <w:lvl w:ilvl="8" w:tplc="99B2DCF6">
      <w:start w:val="1"/>
      <w:numFmt w:val="bullet"/>
      <w:lvlText w:val="•"/>
      <w:lvlJc w:val="left"/>
      <w:pPr>
        <w:ind w:left="8577" w:hanging="284"/>
      </w:pPr>
      <w:rPr>
        <w:rFonts w:hint="default"/>
      </w:rPr>
    </w:lvl>
  </w:abstractNum>
  <w:abstractNum w:abstractNumId="39" w15:restartNumberingAfterBreak="0">
    <w:nsid w:val="6AB61074"/>
    <w:multiLevelType w:val="hybridMultilevel"/>
    <w:tmpl w:val="E9D8A206"/>
    <w:lvl w:ilvl="0" w:tplc="32DEC6B8">
      <w:start w:val="1"/>
      <w:numFmt w:val="bullet"/>
      <w:lvlText w:val="–"/>
      <w:lvlJc w:val="left"/>
      <w:pPr>
        <w:ind w:left="662" w:hanging="284"/>
      </w:pPr>
      <w:rPr>
        <w:rFonts w:ascii="Arial Black" w:eastAsia="Arial Black" w:hAnsi="Arial Black" w:hint="default"/>
        <w:b/>
        <w:bCs/>
        <w:sz w:val="21"/>
        <w:szCs w:val="21"/>
      </w:rPr>
    </w:lvl>
    <w:lvl w:ilvl="1" w:tplc="040C801C">
      <w:start w:val="1"/>
      <w:numFmt w:val="bullet"/>
      <w:lvlText w:val="•"/>
      <w:lvlJc w:val="left"/>
      <w:pPr>
        <w:ind w:left="1109" w:hanging="284"/>
      </w:pPr>
      <w:rPr>
        <w:rFonts w:hint="default"/>
      </w:rPr>
    </w:lvl>
    <w:lvl w:ilvl="2" w:tplc="1250F1EE">
      <w:start w:val="1"/>
      <w:numFmt w:val="bullet"/>
      <w:lvlText w:val="•"/>
      <w:lvlJc w:val="left"/>
      <w:pPr>
        <w:ind w:left="1557" w:hanging="284"/>
      </w:pPr>
      <w:rPr>
        <w:rFonts w:hint="default"/>
      </w:rPr>
    </w:lvl>
    <w:lvl w:ilvl="3" w:tplc="EED03DEA">
      <w:start w:val="1"/>
      <w:numFmt w:val="bullet"/>
      <w:lvlText w:val="•"/>
      <w:lvlJc w:val="left"/>
      <w:pPr>
        <w:ind w:left="2005" w:hanging="284"/>
      </w:pPr>
      <w:rPr>
        <w:rFonts w:hint="default"/>
      </w:rPr>
    </w:lvl>
    <w:lvl w:ilvl="4" w:tplc="C2526822">
      <w:start w:val="1"/>
      <w:numFmt w:val="bullet"/>
      <w:lvlText w:val="•"/>
      <w:lvlJc w:val="left"/>
      <w:pPr>
        <w:ind w:left="2453" w:hanging="284"/>
      </w:pPr>
      <w:rPr>
        <w:rFonts w:hint="default"/>
      </w:rPr>
    </w:lvl>
    <w:lvl w:ilvl="5" w:tplc="3B98B002">
      <w:start w:val="1"/>
      <w:numFmt w:val="bullet"/>
      <w:lvlText w:val="•"/>
      <w:lvlJc w:val="left"/>
      <w:pPr>
        <w:ind w:left="2901" w:hanging="284"/>
      </w:pPr>
      <w:rPr>
        <w:rFonts w:hint="default"/>
      </w:rPr>
    </w:lvl>
    <w:lvl w:ilvl="6" w:tplc="E2B4B88C">
      <w:start w:val="1"/>
      <w:numFmt w:val="bullet"/>
      <w:lvlText w:val="•"/>
      <w:lvlJc w:val="left"/>
      <w:pPr>
        <w:ind w:left="3349" w:hanging="284"/>
      </w:pPr>
      <w:rPr>
        <w:rFonts w:hint="default"/>
      </w:rPr>
    </w:lvl>
    <w:lvl w:ilvl="7" w:tplc="716A8E58">
      <w:start w:val="1"/>
      <w:numFmt w:val="bullet"/>
      <w:lvlText w:val="•"/>
      <w:lvlJc w:val="left"/>
      <w:pPr>
        <w:ind w:left="3797" w:hanging="284"/>
      </w:pPr>
      <w:rPr>
        <w:rFonts w:hint="default"/>
      </w:rPr>
    </w:lvl>
    <w:lvl w:ilvl="8" w:tplc="31BAFC90">
      <w:start w:val="1"/>
      <w:numFmt w:val="bullet"/>
      <w:lvlText w:val="•"/>
      <w:lvlJc w:val="left"/>
      <w:pPr>
        <w:ind w:left="4245" w:hanging="284"/>
      </w:pPr>
      <w:rPr>
        <w:rFonts w:hint="default"/>
      </w:rPr>
    </w:lvl>
  </w:abstractNum>
  <w:abstractNum w:abstractNumId="40" w15:restartNumberingAfterBreak="0">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90B609F"/>
    <w:multiLevelType w:val="hybridMultilevel"/>
    <w:tmpl w:val="DADE0218"/>
    <w:lvl w:ilvl="0" w:tplc="B80C461A">
      <w:start w:val="1"/>
      <w:numFmt w:val="bullet"/>
      <w:lvlText w:val="•"/>
      <w:lvlJc w:val="left"/>
      <w:pPr>
        <w:ind w:left="587" w:hanging="284"/>
      </w:pPr>
      <w:rPr>
        <w:rFonts w:ascii="Lucida Sans Unicode" w:eastAsia="Lucida Sans Unicode" w:hAnsi="Lucida Sans Unicode" w:hint="default"/>
        <w:w w:val="59"/>
        <w:sz w:val="21"/>
        <w:szCs w:val="21"/>
      </w:rPr>
    </w:lvl>
    <w:lvl w:ilvl="1" w:tplc="DA12774A">
      <w:start w:val="1"/>
      <w:numFmt w:val="bullet"/>
      <w:lvlText w:val="•"/>
      <w:lvlJc w:val="left"/>
      <w:pPr>
        <w:ind w:left="2267" w:hanging="284"/>
      </w:pPr>
      <w:rPr>
        <w:rFonts w:ascii="Lucida Sans Unicode" w:eastAsia="Lucida Sans Unicode" w:hAnsi="Lucida Sans Unicode" w:hint="default"/>
        <w:w w:val="59"/>
        <w:sz w:val="21"/>
        <w:szCs w:val="21"/>
      </w:rPr>
    </w:lvl>
    <w:lvl w:ilvl="2" w:tplc="C6E244EC">
      <w:start w:val="1"/>
      <w:numFmt w:val="bullet"/>
      <w:lvlText w:val="•"/>
      <w:lvlJc w:val="left"/>
      <w:pPr>
        <w:ind w:left="2689" w:hanging="284"/>
      </w:pPr>
      <w:rPr>
        <w:rFonts w:hint="default"/>
      </w:rPr>
    </w:lvl>
    <w:lvl w:ilvl="3" w:tplc="8ADA74DA">
      <w:start w:val="1"/>
      <w:numFmt w:val="bullet"/>
      <w:lvlText w:val="•"/>
      <w:lvlJc w:val="left"/>
      <w:pPr>
        <w:ind w:left="3111" w:hanging="284"/>
      </w:pPr>
      <w:rPr>
        <w:rFonts w:hint="default"/>
      </w:rPr>
    </w:lvl>
    <w:lvl w:ilvl="4" w:tplc="4FC0E628">
      <w:start w:val="1"/>
      <w:numFmt w:val="bullet"/>
      <w:lvlText w:val="•"/>
      <w:lvlJc w:val="left"/>
      <w:pPr>
        <w:ind w:left="3532" w:hanging="284"/>
      </w:pPr>
      <w:rPr>
        <w:rFonts w:hint="default"/>
      </w:rPr>
    </w:lvl>
    <w:lvl w:ilvl="5" w:tplc="531CD59C">
      <w:start w:val="1"/>
      <w:numFmt w:val="bullet"/>
      <w:lvlText w:val="•"/>
      <w:lvlJc w:val="left"/>
      <w:pPr>
        <w:ind w:left="3954" w:hanging="284"/>
      </w:pPr>
      <w:rPr>
        <w:rFonts w:hint="default"/>
      </w:rPr>
    </w:lvl>
    <w:lvl w:ilvl="6" w:tplc="53CAE810">
      <w:start w:val="1"/>
      <w:numFmt w:val="bullet"/>
      <w:lvlText w:val="•"/>
      <w:lvlJc w:val="left"/>
      <w:pPr>
        <w:ind w:left="4376" w:hanging="284"/>
      </w:pPr>
      <w:rPr>
        <w:rFonts w:hint="default"/>
      </w:rPr>
    </w:lvl>
    <w:lvl w:ilvl="7" w:tplc="4F583E0A">
      <w:start w:val="1"/>
      <w:numFmt w:val="bullet"/>
      <w:lvlText w:val="•"/>
      <w:lvlJc w:val="left"/>
      <w:pPr>
        <w:ind w:left="4798" w:hanging="284"/>
      </w:pPr>
      <w:rPr>
        <w:rFonts w:hint="default"/>
      </w:rPr>
    </w:lvl>
    <w:lvl w:ilvl="8" w:tplc="4E8A9C6C">
      <w:start w:val="1"/>
      <w:numFmt w:val="bullet"/>
      <w:lvlText w:val="•"/>
      <w:lvlJc w:val="left"/>
      <w:pPr>
        <w:ind w:left="5219" w:hanging="284"/>
      </w:pPr>
      <w:rPr>
        <w:rFonts w:hint="default"/>
      </w:rPr>
    </w:lvl>
  </w:abstractNum>
  <w:abstractNum w:abstractNumId="42" w15:restartNumberingAfterBreak="0">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3"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44" w15:restartNumberingAfterBreak="0">
    <w:nsid w:val="7C970E9C"/>
    <w:multiLevelType w:val="hybridMultilevel"/>
    <w:tmpl w:val="4384984A"/>
    <w:lvl w:ilvl="0" w:tplc="C93A288C">
      <w:start w:val="1"/>
      <w:numFmt w:val="bullet"/>
      <w:lvlText w:val="•"/>
      <w:lvlJc w:val="left"/>
      <w:pPr>
        <w:ind w:left="246" w:hanging="134"/>
      </w:pPr>
      <w:rPr>
        <w:rFonts w:ascii="Arial Unicode MS" w:eastAsia="Arial Unicode MS" w:hAnsi="Arial Unicode MS" w:hint="default"/>
        <w:w w:val="107"/>
        <w:sz w:val="21"/>
        <w:szCs w:val="21"/>
      </w:rPr>
    </w:lvl>
    <w:lvl w:ilvl="1" w:tplc="DA5E0414">
      <w:start w:val="1"/>
      <w:numFmt w:val="bullet"/>
      <w:lvlText w:val="•"/>
      <w:lvlJc w:val="left"/>
      <w:pPr>
        <w:ind w:left="464" w:hanging="134"/>
      </w:pPr>
      <w:rPr>
        <w:rFonts w:hint="default"/>
      </w:rPr>
    </w:lvl>
    <w:lvl w:ilvl="2" w:tplc="E29E55C8">
      <w:start w:val="1"/>
      <w:numFmt w:val="bullet"/>
      <w:lvlText w:val="•"/>
      <w:lvlJc w:val="left"/>
      <w:pPr>
        <w:ind w:left="682" w:hanging="134"/>
      </w:pPr>
      <w:rPr>
        <w:rFonts w:hint="default"/>
      </w:rPr>
    </w:lvl>
    <w:lvl w:ilvl="3" w:tplc="38AA3A8C">
      <w:start w:val="1"/>
      <w:numFmt w:val="bullet"/>
      <w:lvlText w:val="•"/>
      <w:lvlJc w:val="left"/>
      <w:pPr>
        <w:ind w:left="900" w:hanging="134"/>
      </w:pPr>
      <w:rPr>
        <w:rFonts w:hint="default"/>
      </w:rPr>
    </w:lvl>
    <w:lvl w:ilvl="4" w:tplc="6280268C">
      <w:start w:val="1"/>
      <w:numFmt w:val="bullet"/>
      <w:lvlText w:val="•"/>
      <w:lvlJc w:val="left"/>
      <w:pPr>
        <w:ind w:left="1118" w:hanging="134"/>
      </w:pPr>
      <w:rPr>
        <w:rFonts w:hint="default"/>
      </w:rPr>
    </w:lvl>
    <w:lvl w:ilvl="5" w:tplc="41CA4FC0">
      <w:start w:val="1"/>
      <w:numFmt w:val="bullet"/>
      <w:lvlText w:val="•"/>
      <w:lvlJc w:val="left"/>
      <w:pPr>
        <w:ind w:left="1336" w:hanging="134"/>
      </w:pPr>
      <w:rPr>
        <w:rFonts w:hint="default"/>
      </w:rPr>
    </w:lvl>
    <w:lvl w:ilvl="6" w:tplc="F828CB0C">
      <w:start w:val="1"/>
      <w:numFmt w:val="bullet"/>
      <w:lvlText w:val="•"/>
      <w:lvlJc w:val="left"/>
      <w:pPr>
        <w:ind w:left="1554" w:hanging="134"/>
      </w:pPr>
      <w:rPr>
        <w:rFonts w:hint="default"/>
      </w:rPr>
    </w:lvl>
    <w:lvl w:ilvl="7" w:tplc="21BEBEB6">
      <w:start w:val="1"/>
      <w:numFmt w:val="bullet"/>
      <w:lvlText w:val="•"/>
      <w:lvlJc w:val="left"/>
      <w:pPr>
        <w:ind w:left="1771" w:hanging="134"/>
      </w:pPr>
      <w:rPr>
        <w:rFonts w:hint="default"/>
      </w:rPr>
    </w:lvl>
    <w:lvl w:ilvl="8" w:tplc="D11CBA8E">
      <w:start w:val="1"/>
      <w:numFmt w:val="bullet"/>
      <w:lvlText w:val="•"/>
      <w:lvlJc w:val="left"/>
      <w:pPr>
        <w:ind w:left="1989" w:hanging="134"/>
      </w:pPr>
      <w:rPr>
        <w:rFonts w:hint="default"/>
      </w:rPr>
    </w:lvl>
  </w:abstractNum>
  <w:abstractNum w:abstractNumId="45" w15:restartNumberingAfterBreak="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441801164">
    <w:abstractNumId w:val="43"/>
  </w:num>
  <w:num w:numId="2" w16cid:durableId="1819154757">
    <w:abstractNumId w:val="36"/>
  </w:num>
  <w:num w:numId="3" w16cid:durableId="30766422">
    <w:abstractNumId w:val="22"/>
  </w:num>
  <w:num w:numId="4" w16cid:durableId="261843163">
    <w:abstractNumId w:val="24"/>
  </w:num>
  <w:num w:numId="5" w16cid:durableId="1172911524">
    <w:abstractNumId w:val="1"/>
  </w:num>
  <w:num w:numId="6" w16cid:durableId="2009020519">
    <w:abstractNumId w:val="45"/>
  </w:num>
  <w:num w:numId="7" w16cid:durableId="965164138">
    <w:abstractNumId w:val="16"/>
  </w:num>
  <w:num w:numId="8" w16cid:durableId="444157513">
    <w:abstractNumId w:val="3"/>
  </w:num>
  <w:num w:numId="9" w16cid:durableId="887692549">
    <w:abstractNumId w:val="42"/>
  </w:num>
  <w:num w:numId="10" w16cid:durableId="72358147">
    <w:abstractNumId w:val="2"/>
  </w:num>
  <w:num w:numId="11" w16cid:durableId="525751907">
    <w:abstractNumId w:val="40"/>
  </w:num>
  <w:num w:numId="12" w16cid:durableId="1279992648">
    <w:abstractNumId w:val="4"/>
  </w:num>
  <w:num w:numId="13" w16cid:durableId="1976984417">
    <w:abstractNumId w:val="8"/>
  </w:num>
  <w:num w:numId="14" w16cid:durableId="554584710">
    <w:abstractNumId w:val="6"/>
  </w:num>
  <w:num w:numId="15" w16cid:durableId="616301031">
    <w:abstractNumId w:val="11"/>
  </w:num>
  <w:num w:numId="16" w16cid:durableId="1142041643">
    <w:abstractNumId w:val="32"/>
  </w:num>
  <w:num w:numId="17" w16cid:durableId="450243901">
    <w:abstractNumId w:val="14"/>
  </w:num>
  <w:num w:numId="18" w16cid:durableId="291593600">
    <w:abstractNumId w:val="38"/>
  </w:num>
  <w:num w:numId="19" w16cid:durableId="589049426">
    <w:abstractNumId w:val="15"/>
  </w:num>
  <w:num w:numId="20" w16cid:durableId="30888677">
    <w:abstractNumId w:val="27"/>
  </w:num>
  <w:num w:numId="21" w16cid:durableId="895359174">
    <w:abstractNumId w:val="7"/>
  </w:num>
  <w:num w:numId="22" w16cid:durableId="305280525">
    <w:abstractNumId w:val="5"/>
  </w:num>
  <w:num w:numId="23" w16cid:durableId="132985580">
    <w:abstractNumId w:val="34"/>
  </w:num>
  <w:num w:numId="24" w16cid:durableId="1415737454">
    <w:abstractNumId w:val="33"/>
  </w:num>
  <w:num w:numId="25" w16cid:durableId="1825315398">
    <w:abstractNumId w:val="44"/>
  </w:num>
  <w:num w:numId="26" w16cid:durableId="1427339024">
    <w:abstractNumId w:val="19"/>
  </w:num>
  <w:num w:numId="27" w16cid:durableId="102501534">
    <w:abstractNumId w:val="39"/>
  </w:num>
  <w:num w:numId="28" w16cid:durableId="262685644">
    <w:abstractNumId w:val="37"/>
  </w:num>
  <w:num w:numId="29" w16cid:durableId="830406838">
    <w:abstractNumId w:val="26"/>
  </w:num>
  <w:num w:numId="30" w16cid:durableId="426393510">
    <w:abstractNumId w:val="12"/>
  </w:num>
  <w:num w:numId="31" w16cid:durableId="1768693885">
    <w:abstractNumId w:val="41"/>
  </w:num>
  <w:num w:numId="32" w16cid:durableId="1439788106">
    <w:abstractNumId w:val="20"/>
  </w:num>
  <w:num w:numId="33" w16cid:durableId="64452604">
    <w:abstractNumId w:val="21"/>
  </w:num>
  <w:num w:numId="34" w16cid:durableId="998196254">
    <w:abstractNumId w:val="30"/>
  </w:num>
  <w:num w:numId="35" w16cid:durableId="1209342610">
    <w:abstractNumId w:val="28"/>
  </w:num>
  <w:num w:numId="36" w16cid:durableId="2140611009">
    <w:abstractNumId w:val="25"/>
  </w:num>
  <w:num w:numId="37" w16cid:durableId="165482575">
    <w:abstractNumId w:val="35"/>
  </w:num>
  <w:num w:numId="38" w16cid:durableId="506871429">
    <w:abstractNumId w:val="10"/>
  </w:num>
  <w:num w:numId="39" w16cid:durableId="787895589">
    <w:abstractNumId w:val="31"/>
  </w:num>
  <w:num w:numId="40" w16cid:durableId="1555922313">
    <w:abstractNumId w:val="23"/>
  </w:num>
  <w:num w:numId="41" w16cid:durableId="188757432">
    <w:abstractNumId w:val="29"/>
  </w:num>
  <w:num w:numId="42" w16cid:durableId="304239577">
    <w:abstractNumId w:val="0"/>
  </w:num>
  <w:num w:numId="43" w16cid:durableId="1806006932">
    <w:abstractNumId w:val="9"/>
  </w:num>
  <w:num w:numId="44" w16cid:durableId="974487272">
    <w:abstractNumId w:val="13"/>
  </w:num>
  <w:num w:numId="45" w16cid:durableId="76438661">
    <w:abstractNumId w:val="18"/>
  </w:num>
  <w:num w:numId="46" w16cid:durableId="11692109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134CF"/>
    <w:rsid w:val="00025A6F"/>
    <w:rsid w:val="0002618D"/>
    <w:rsid w:val="00030B26"/>
    <w:rsid w:val="00030E84"/>
    <w:rsid w:val="00032C0A"/>
    <w:rsid w:val="00035257"/>
    <w:rsid w:val="00035D68"/>
    <w:rsid w:val="00054B44"/>
    <w:rsid w:val="0006228D"/>
    <w:rsid w:val="00072BD6"/>
    <w:rsid w:val="00075B78"/>
    <w:rsid w:val="000763E9"/>
    <w:rsid w:val="00082CD6"/>
    <w:rsid w:val="0008437D"/>
    <w:rsid w:val="00085AFE"/>
    <w:rsid w:val="00094800"/>
    <w:rsid w:val="000A41ED"/>
    <w:rsid w:val="000B0730"/>
    <w:rsid w:val="000D19F4"/>
    <w:rsid w:val="000D58DD"/>
    <w:rsid w:val="000F2AE2"/>
    <w:rsid w:val="000F2BFF"/>
    <w:rsid w:val="00102063"/>
    <w:rsid w:val="0010541C"/>
    <w:rsid w:val="00106F93"/>
    <w:rsid w:val="00111D50"/>
    <w:rsid w:val="00113B8E"/>
    <w:rsid w:val="0012053C"/>
    <w:rsid w:val="00122363"/>
    <w:rsid w:val="0012551A"/>
    <w:rsid w:val="001342C7"/>
    <w:rsid w:val="0013585C"/>
    <w:rsid w:val="00136141"/>
    <w:rsid w:val="00137BA1"/>
    <w:rsid w:val="00142261"/>
    <w:rsid w:val="00142954"/>
    <w:rsid w:val="001460E0"/>
    <w:rsid w:val="001472F0"/>
    <w:rsid w:val="00147F71"/>
    <w:rsid w:val="00150A6E"/>
    <w:rsid w:val="00162513"/>
    <w:rsid w:val="0016304B"/>
    <w:rsid w:val="0016468A"/>
    <w:rsid w:val="0016715F"/>
    <w:rsid w:val="00172194"/>
    <w:rsid w:val="0018662D"/>
    <w:rsid w:val="00197427"/>
    <w:rsid w:val="001A21B4"/>
    <w:rsid w:val="001A5CF5"/>
    <w:rsid w:val="001B39D2"/>
    <w:rsid w:val="001B4BF8"/>
    <w:rsid w:val="001C4326"/>
    <w:rsid w:val="001C665E"/>
    <w:rsid w:val="001D3541"/>
    <w:rsid w:val="001D3E4E"/>
    <w:rsid w:val="001E254A"/>
    <w:rsid w:val="001E7386"/>
    <w:rsid w:val="001F45A7"/>
    <w:rsid w:val="00201A01"/>
    <w:rsid w:val="0020754B"/>
    <w:rsid w:val="002104D3"/>
    <w:rsid w:val="00211BB7"/>
    <w:rsid w:val="00213A33"/>
    <w:rsid w:val="002140FF"/>
    <w:rsid w:val="0021763B"/>
    <w:rsid w:val="002422D8"/>
    <w:rsid w:val="00246DB1"/>
    <w:rsid w:val="002476B5"/>
    <w:rsid w:val="002520CC"/>
    <w:rsid w:val="0025379F"/>
    <w:rsid w:val="00253ECF"/>
    <w:rsid w:val="002546A1"/>
    <w:rsid w:val="002628F4"/>
    <w:rsid w:val="00275D08"/>
    <w:rsid w:val="002858E3"/>
    <w:rsid w:val="00286A2A"/>
    <w:rsid w:val="0029190A"/>
    <w:rsid w:val="00292C5A"/>
    <w:rsid w:val="00295241"/>
    <w:rsid w:val="002A4DFC"/>
    <w:rsid w:val="002B047D"/>
    <w:rsid w:val="002B32BD"/>
    <w:rsid w:val="002B68B9"/>
    <w:rsid w:val="002B732B"/>
    <w:rsid w:val="002B76A7"/>
    <w:rsid w:val="002C2219"/>
    <w:rsid w:val="002C2552"/>
    <w:rsid w:val="002C380A"/>
    <w:rsid w:val="002D0DF2"/>
    <w:rsid w:val="002D23BD"/>
    <w:rsid w:val="002E0B47"/>
    <w:rsid w:val="002F4685"/>
    <w:rsid w:val="002F7213"/>
    <w:rsid w:val="0030382F"/>
    <w:rsid w:val="0030408D"/>
    <w:rsid w:val="003060E4"/>
    <w:rsid w:val="003160E7"/>
    <w:rsid w:val="0031739E"/>
    <w:rsid w:val="003309CA"/>
    <w:rsid w:val="003325AB"/>
    <w:rsid w:val="003332D1"/>
    <w:rsid w:val="0033412B"/>
    <w:rsid w:val="00341161"/>
    <w:rsid w:val="00343365"/>
    <w:rsid w:val="003445F4"/>
    <w:rsid w:val="00353501"/>
    <w:rsid w:val="00353734"/>
    <w:rsid w:val="003606F8"/>
    <w:rsid w:val="003648EF"/>
    <w:rsid w:val="003673E6"/>
    <w:rsid w:val="00377264"/>
    <w:rsid w:val="003779D2"/>
    <w:rsid w:val="00385E38"/>
    <w:rsid w:val="003A26A5"/>
    <w:rsid w:val="003A3761"/>
    <w:rsid w:val="003A512D"/>
    <w:rsid w:val="003A5FEA"/>
    <w:rsid w:val="003B1D10"/>
    <w:rsid w:val="003C76D4"/>
    <w:rsid w:val="003D137D"/>
    <w:rsid w:val="003D29F1"/>
    <w:rsid w:val="003D2CC5"/>
    <w:rsid w:val="003D7512"/>
    <w:rsid w:val="003E04C1"/>
    <w:rsid w:val="003E0887"/>
    <w:rsid w:val="003E0F71"/>
    <w:rsid w:val="003E74C8"/>
    <w:rsid w:val="003E7C46"/>
    <w:rsid w:val="003F1F60"/>
    <w:rsid w:val="003F2106"/>
    <w:rsid w:val="003F52A7"/>
    <w:rsid w:val="003F7013"/>
    <w:rsid w:val="0040240C"/>
    <w:rsid w:val="00413021"/>
    <w:rsid w:val="00424A52"/>
    <w:rsid w:val="004301C6"/>
    <w:rsid w:val="0043478F"/>
    <w:rsid w:val="0043602B"/>
    <w:rsid w:val="00440BE0"/>
    <w:rsid w:val="00442C1C"/>
    <w:rsid w:val="0044584B"/>
    <w:rsid w:val="00447CB7"/>
    <w:rsid w:val="00455CC9"/>
    <w:rsid w:val="00457CAC"/>
    <w:rsid w:val="00460826"/>
    <w:rsid w:val="00460EA7"/>
    <w:rsid w:val="0046195B"/>
    <w:rsid w:val="0046362D"/>
    <w:rsid w:val="0046596D"/>
    <w:rsid w:val="00472D50"/>
    <w:rsid w:val="00487C04"/>
    <w:rsid w:val="004907E1"/>
    <w:rsid w:val="004A035B"/>
    <w:rsid w:val="004A2108"/>
    <w:rsid w:val="004A38D7"/>
    <w:rsid w:val="004A778C"/>
    <w:rsid w:val="004B48C7"/>
    <w:rsid w:val="004C2E6A"/>
    <w:rsid w:val="004C64B8"/>
    <w:rsid w:val="004D2A2D"/>
    <w:rsid w:val="004D479F"/>
    <w:rsid w:val="004D6689"/>
    <w:rsid w:val="004E1D1D"/>
    <w:rsid w:val="004E7AC8"/>
    <w:rsid w:val="004F0C94"/>
    <w:rsid w:val="005019AE"/>
    <w:rsid w:val="00503749"/>
    <w:rsid w:val="00504CF4"/>
    <w:rsid w:val="0050635B"/>
    <w:rsid w:val="005151C2"/>
    <w:rsid w:val="0053199F"/>
    <w:rsid w:val="00531E12"/>
    <w:rsid w:val="00533B90"/>
    <w:rsid w:val="005410F8"/>
    <w:rsid w:val="005448EC"/>
    <w:rsid w:val="00545963"/>
    <w:rsid w:val="00550256"/>
    <w:rsid w:val="00553165"/>
    <w:rsid w:val="00553958"/>
    <w:rsid w:val="00556BB7"/>
    <w:rsid w:val="0055763D"/>
    <w:rsid w:val="00561516"/>
    <w:rsid w:val="005621F2"/>
    <w:rsid w:val="005665FD"/>
    <w:rsid w:val="00567B58"/>
    <w:rsid w:val="00571223"/>
    <w:rsid w:val="005763E0"/>
    <w:rsid w:val="00581136"/>
    <w:rsid w:val="00581EB8"/>
    <w:rsid w:val="005A27CA"/>
    <w:rsid w:val="005A43BD"/>
    <w:rsid w:val="005A79E5"/>
    <w:rsid w:val="005D034C"/>
    <w:rsid w:val="005E226E"/>
    <w:rsid w:val="005E2636"/>
    <w:rsid w:val="005F77FC"/>
    <w:rsid w:val="006015D7"/>
    <w:rsid w:val="00601B21"/>
    <w:rsid w:val="006041F0"/>
    <w:rsid w:val="00605C6D"/>
    <w:rsid w:val="006120CA"/>
    <w:rsid w:val="00624174"/>
    <w:rsid w:val="00626CF8"/>
    <w:rsid w:val="006314AF"/>
    <w:rsid w:val="00634ED8"/>
    <w:rsid w:val="00636D7D"/>
    <w:rsid w:val="00637408"/>
    <w:rsid w:val="00642868"/>
    <w:rsid w:val="00647AFE"/>
    <w:rsid w:val="006512BC"/>
    <w:rsid w:val="00651CC6"/>
    <w:rsid w:val="00653A5A"/>
    <w:rsid w:val="006554AC"/>
    <w:rsid w:val="006575F4"/>
    <w:rsid w:val="006579E6"/>
    <w:rsid w:val="00660682"/>
    <w:rsid w:val="00660F74"/>
    <w:rsid w:val="00663EDC"/>
    <w:rsid w:val="00667E20"/>
    <w:rsid w:val="00671078"/>
    <w:rsid w:val="006758CA"/>
    <w:rsid w:val="0067720E"/>
    <w:rsid w:val="00680A04"/>
    <w:rsid w:val="00686D80"/>
    <w:rsid w:val="006944EC"/>
    <w:rsid w:val="00694895"/>
    <w:rsid w:val="00697E2E"/>
    <w:rsid w:val="006A25A2"/>
    <w:rsid w:val="006A3B87"/>
    <w:rsid w:val="006B0E73"/>
    <w:rsid w:val="006B1E3D"/>
    <w:rsid w:val="006B4A4D"/>
    <w:rsid w:val="006B5695"/>
    <w:rsid w:val="006B7B2E"/>
    <w:rsid w:val="006C78EB"/>
    <w:rsid w:val="006D1660"/>
    <w:rsid w:val="006D63E5"/>
    <w:rsid w:val="006E1753"/>
    <w:rsid w:val="006E3911"/>
    <w:rsid w:val="006F1B67"/>
    <w:rsid w:val="006F4D9C"/>
    <w:rsid w:val="0070091D"/>
    <w:rsid w:val="00702854"/>
    <w:rsid w:val="0071741C"/>
    <w:rsid w:val="00742B90"/>
    <w:rsid w:val="0074434D"/>
    <w:rsid w:val="007570C4"/>
    <w:rsid w:val="007605B8"/>
    <w:rsid w:val="00771B1E"/>
    <w:rsid w:val="00773C95"/>
    <w:rsid w:val="00773F08"/>
    <w:rsid w:val="0078171E"/>
    <w:rsid w:val="0078658E"/>
    <w:rsid w:val="007920E2"/>
    <w:rsid w:val="0079566E"/>
    <w:rsid w:val="00795B34"/>
    <w:rsid w:val="007A067F"/>
    <w:rsid w:val="007B1770"/>
    <w:rsid w:val="007B4D3E"/>
    <w:rsid w:val="007B7C70"/>
    <w:rsid w:val="007B7DEB"/>
    <w:rsid w:val="007C0449"/>
    <w:rsid w:val="007D0EF6"/>
    <w:rsid w:val="007D2151"/>
    <w:rsid w:val="007D3B90"/>
    <w:rsid w:val="007D42CC"/>
    <w:rsid w:val="007D5DE4"/>
    <w:rsid w:val="007D7C3A"/>
    <w:rsid w:val="007E0777"/>
    <w:rsid w:val="007E1341"/>
    <w:rsid w:val="007E1B41"/>
    <w:rsid w:val="007E1EC4"/>
    <w:rsid w:val="007E30B9"/>
    <w:rsid w:val="007E74F1"/>
    <w:rsid w:val="007F0F0C"/>
    <w:rsid w:val="007F1288"/>
    <w:rsid w:val="00800A8A"/>
    <w:rsid w:val="0080155C"/>
    <w:rsid w:val="008052E1"/>
    <w:rsid w:val="00822F2C"/>
    <w:rsid w:val="00823DEE"/>
    <w:rsid w:val="008305E8"/>
    <w:rsid w:val="00830F66"/>
    <w:rsid w:val="00835945"/>
    <w:rsid w:val="00836165"/>
    <w:rsid w:val="0084640C"/>
    <w:rsid w:val="00852A9E"/>
    <w:rsid w:val="00856088"/>
    <w:rsid w:val="00860826"/>
    <w:rsid w:val="00860E21"/>
    <w:rsid w:val="00863117"/>
    <w:rsid w:val="0086388B"/>
    <w:rsid w:val="008642E5"/>
    <w:rsid w:val="00864488"/>
    <w:rsid w:val="00870A36"/>
    <w:rsid w:val="00872D93"/>
    <w:rsid w:val="00880470"/>
    <w:rsid w:val="00880D94"/>
    <w:rsid w:val="00886F64"/>
    <w:rsid w:val="008924DE"/>
    <w:rsid w:val="008A3755"/>
    <w:rsid w:val="008B19DC"/>
    <w:rsid w:val="008B264F"/>
    <w:rsid w:val="008B6F83"/>
    <w:rsid w:val="008B792A"/>
    <w:rsid w:val="008B7FD8"/>
    <w:rsid w:val="008C1108"/>
    <w:rsid w:val="008C1DC0"/>
    <w:rsid w:val="008C2973"/>
    <w:rsid w:val="008C6324"/>
    <w:rsid w:val="008C64C4"/>
    <w:rsid w:val="008D2CDD"/>
    <w:rsid w:val="008D5AF1"/>
    <w:rsid w:val="008D74D5"/>
    <w:rsid w:val="008E0ED1"/>
    <w:rsid w:val="008E3A07"/>
    <w:rsid w:val="008E537B"/>
    <w:rsid w:val="008F29BE"/>
    <w:rsid w:val="008F2B72"/>
    <w:rsid w:val="008F4AE5"/>
    <w:rsid w:val="008F51EB"/>
    <w:rsid w:val="00900197"/>
    <w:rsid w:val="00902F55"/>
    <w:rsid w:val="0090582B"/>
    <w:rsid w:val="009060C0"/>
    <w:rsid w:val="009114A2"/>
    <w:rsid w:val="009133F5"/>
    <w:rsid w:val="0091756F"/>
    <w:rsid w:val="00920A27"/>
    <w:rsid w:val="00921216"/>
    <w:rsid w:val="009216CC"/>
    <w:rsid w:val="00926083"/>
    <w:rsid w:val="00930D08"/>
    <w:rsid w:val="00931466"/>
    <w:rsid w:val="00932D69"/>
    <w:rsid w:val="00935589"/>
    <w:rsid w:val="00944647"/>
    <w:rsid w:val="0095565C"/>
    <w:rsid w:val="00964AB6"/>
    <w:rsid w:val="00966F9A"/>
    <w:rsid w:val="00977B8A"/>
    <w:rsid w:val="00982971"/>
    <w:rsid w:val="009845AD"/>
    <w:rsid w:val="00984835"/>
    <w:rsid w:val="0098639B"/>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C8C"/>
    <w:rsid w:val="009E6B77"/>
    <w:rsid w:val="009F460A"/>
    <w:rsid w:val="00A043FB"/>
    <w:rsid w:val="00A06BE4"/>
    <w:rsid w:val="00A0729C"/>
    <w:rsid w:val="00A07779"/>
    <w:rsid w:val="00A1166A"/>
    <w:rsid w:val="00A20B2E"/>
    <w:rsid w:val="00A24F33"/>
    <w:rsid w:val="00A25069"/>
    <w:rsid w:val="00A26E6B"/>
    <w:rsid w:val="00A3068F"/>
    <w:rsid w:val="00A3145B"/>
    <w:rsid w:val="00A339D0"/>
    <w:rsid w:val="00A41002"/>
    <w:rsid w:val="00A4201A"/>
    <w:rsid w:val="00A5465D"/>
    <w:rsid w:val="00A553CE"/>
    <w:rsid w:val="00A5677A"/>
    <w:rsid w:val="00A56DCC"/>
    <w:rsid w:val="00A625E8"/>
    <w:rsid w:val="00A63DFF"/>
    <w:rsid w:val="00A6490D"/>
    <w:rsid w:val="00A7415D"/>
    <w:rsid w:val="00A80363"/>
    <w:rsid w:val="00A80939"/>
    <w:rsid w:val="00A83E9D"/>
    <w:rsid w:val="00A87C05"/>
    <w:rsid w:val="00A9169D"/>
    <w:rsid w:val="00AA240C"/>
    <w:rsid w:val="00AC101C"/>
    <w:rsid w:val="00AD4CF1"/>
    <w:rsid w:val="00AD5988"/>
    <w:rsid w:val="00AD6293"/>
    <w:rsid w:val="00AF1BA8"/>
    <w:rsid w:val="00AF7800"/>
    <w:rsid w:val="00B00CF5"/>
    <w:rsid w:val="00B072E0"/>
    <w:rsid w:val="00B1007E"/>
    <w:rsid w:val="00B14425"/>
    <w:rsid w:val="00B253F6"/>
    <w:rsid w:val="00B26675"/>
    <w:rsid w:val="00B26F0F"/>
    <w:rsid w:val="00B305DB"/>
    <w:rsid w:val="00B332F8"/>
    <w:rsid w:val="00B3492B"/>
    <w:rsid w:val="00B4646F"/>
    <w:rsid w:val="00B55C7D"/>
    <w:rsid w:val="00B56138"/>
    <w:rsid w:val="00B63038"/>
    <w:rsid w:val="00B64BD8"/>
    <w:rsid w:val="00B657AF"/>
    <w:rsid w:val="00B701D1"/>
    <w:rsid w:val="00B73AF2"/>
    <w:rsid w:val="00B7551A"/>
    <w:rsid w:val="00B773F1"/>
    <w:rsid w:val="00B86AB1"/>
    <w:rsid w:val="00B97F07"/>
    <w:rsid w:val="00BA32CA"/>
    <w:rsid w:val="00BA7EBA"/>
    <w:rsid w:val="00BB2A06"/>
    <w:rsid w:val="00BB2CBB"/>
    <w:rsid w:val="00BB4198"/>
    <w:rsid w:val="00BC03EE"/>
    <w:rsid w:val="00BC59F1"/>
    <w:rsid w:val="00BF3DE1"/>
    <w:rsid w:val="00BF4843"/>
    <w:rsid w:val="00BF5205"/>
    <w:rsid w:val="00C05132"/>
    <w:rsid w:val="00C12508"/>
    <w:rsid w:val="00C23728"/>
    <w:rsid w:val="00C3026C"/>
    <w:rsid w:val="00C313A9"/>
    <w:rsid w:val="00C441CF"/>
    <w:rsid w:val="00C45AA2"/>
    <w:rsid w:val="00C4792C"/>
    <w:rsid w:val="00C55BEF"/>
    <w:rsid w:val="00C601AF"/>
    <w:rsid w:val="00C61A63"/>
    <w:rsid w:val="00C66296"/>
    <w:rsid w:val="00C7394D"/>
    <w:rsid w:val="00C77282"/>
    <w:rsid w:val="00C84DE5"/>
    <w:rsid w:val="00C86248"/>
    <w:rsid w:val="00C90B31"/>
    <w:rsid w:val="00CA0D6F"/>
    <w:rsid w:val="00CA4C33"/>
    <w:rsid w:val="00CA6F4A"/>
    <w:rsid w:val="00CB6427"/>
    <w:rsid w:val="00CC0FBE"/>
    <w:rsid w:val="00CD2119"/>
    <w:rsid w:val="00CD237A"/>
    <w:rsid w:val="00CD36AC"/>
    <w:rsid w:val="00CE13A3"/>
    <w:rsid w:val="00CE36BC"/>
    <w:rsid w:val="00CF1747"/>
    <w:rsid w:val="00CF60ED"/>
    <w:rsid w:val="00D05D74"/>
    <w:rsid w:val="00D20C59"/>
    <w:rsid w:val="00D23323"/>
    <w:rsid w:val="00D2392A"/>
    <w:rsid w:val="00D25FFE"/>
    <w:rsid w:val="00D30BBE"/>
    <w:rsid w:val="00D37D80"/>
    <w:rsid w:val="00D4476F"/>
    <w:rsid w:val="00D50573"/>
    <w:rsid w:val="00D54D50"/>
    <w:rsid w:val="00D560B4"/>
    <w:rsid w:val="00D60A00"/>
    <w:rsid w:val="00D662F8"/>
    <w:rsid w:val="00D66797"/>
    <w:rsid w:val="00D7074B"/>
    <w:rsid w:val="00D7087C"/>
    <w:rsid w:val="00D70C3C"/>
    <w:rsid w:val="00D71DF7"/>
    <w:rsid w:val="00D72BE5"/>
    <w:rsid w:val="00D81462"/>
    <w:rsid w:val="00D82F26"/>
    <w:rsid w:val="00D863D0"/>
    <w:rsid w:val="00D86B00"/>
    <w:rsid w:val="00D86FB9"/>
    <w:rsid w:val="00D87C87"/>
    <w:rsid w:val="00D90BB4"/>
    <w:rsid w:val="00D90E07"/>
    <w:rsid w:val="00D932C2"/>
    <w:rsid w:val="00DB39CF"/>
    <w:rsid w:val="00DB7256"/>
    <w:rsid w:val="00DC0401"/>
    <w:rsid w:val="00DC20BD"/>
    <w:rsid w:val="00DD0BCD"/>
    <w:rsid w:val="00DD447A"/>
    <w:rsid w:val="00DE3B20"/>
    <w:rsid w:val="00DE6C94"/>
    <w:rsid w:val="00DE6FD7"/>
    <w:rsid w:val="00E23271"/>
    <w:rsid w:val="00E24F80"/>
    <w:rsid w:val="00E259F3"/>
    <w:rsid w:val="00E30985"/>
    <w:rsid w:val="00E33238"/>
    <w:rsid w:val="00E376B7"/>
    <w:rsid w:val="00E42F5D"/>
    <w:rsid w:val="00E4486C"/>
    <w:rsid w:val="00E460B6"/>
    <w:rsid w:val="00E511D5"/>
    <w:rsid w:val="00E53A9F"/>
    <w:rsid w:val="00E60249"/>
    <w:rsid w:val="00E65269"/>
    <w:rsid w:val="00E67033"/>
    <w:rsid w:val="00E76D66"/>
    <w:rsid w:val="00EA796A"/>
    <w:rsid w:val="00EB1856"/>
    <w:rsid w:val="00EC41FD"/>
    <w:rsid w:val="00EC50CE"/>
    <w:rsid w:val="00EC5B34"/>
    <w:rsid w:val="00ED021E"/>
    <w:rsid w:val="00ED323C"/>
    <w:rsid w:val="00EE2D5C"/>
    <w:rsid w:val="00EE4ADE"/>
    <w:rsid w:val="00EE4DE8"/>
    <w:rsid w:val="00EE5CB7"/>
    <w:rsid w:val="00F024FE"/>
    <w:rsid w:val="00F05AD4"/>
    <w:rsid w:val="00F10EB6"/>
    <w:rsid w:val="00F13F07"/>
    <w:rsid w:val="00F140B2"/>
    <w:rsid w:val="00F25970"/>
    <w:rsid w:val="00F311A9"/>
    <w:rsid w:val="00F5180D"/>
    <w:rsid w:val="00F60522"/>
    <w:rsid w:val="00F63781"/>
    <w:rsid w:val="00F67496"/>
    <w:rsid w:val="00F801BA"/>
    <w:rsid w:val="00F9366A"/>
    <w:rsid w:val="00F946C9"/>
    <w:rsid w:val="00FA0EA5"/>
    <w:rsid w:val="00FA74EE"/>
    <w:rsid w:val="00FC3711"/>
    <w:rsid w:val="00FC46E7"/>
    <w:rsid w:val="00FC5D25"/>
    <w:rsid w:val="00FD0D7E"/>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EEB9C"/>
  <w15:docId w15:val="{76CBE254-8ACF-4B34-B292-E8559124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0"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1"/>
    <w:qFormat/>
    <w:rsid w:val="00172194"/>
    <w:pPr>
      <w:keepNext/>
      <w:spacing w:after="360"/>
      <w:outlineLvl w:val="0"/>
    </w:pPr>
    <w:rPr>
      <w:b/>
      <w:color w:val="23305D"/>
      <w:spacing w:val="-10"/>
      <w:sz w:val="60"/>
      <w:szCs w:val="60"/>
      <w:lang w:val="en-GB"/>
    </w:rPr>
  </w:style>
  <w:style w:type="paragraph" w:styleId="Heading2">
    <w:name w:val="heading 2"/>
    <w:basedOn w:val="Normal"/>
    <w:next w:val="Normal"/>
    <w:link w:val="Heading2Char"/>
    <w:uiPriority w:val="1"/>
    <w:qFormat/>
    <w:rsid w:val="002B32BD"/>
    <w:pPr>
      <w:keepNext/>
      <w:spacing w:before="480" w:after="180"/>
      <w:outlineLvl w:val="1"/>
    </w:pPr>
    <w:rPr>
      <w:b/>
      <w:color w:val="0A6AB4"/>
      <w:spacing w:val="-5"/>
      <w:sz w:val="40"/>
      <w:szCs w:val="16"/>
      <w:lang w:val="en-GB"/>
    </w:rPr>
  </w:style>
  <w:style w:type="paragraph" w:styleId="Heading3">
    <w:name w:val="heading 3"/>
    <w:basedOn w:val="Normal"/>
    <w:next w:val="Normal"/>
    <w:link w:val="Heading3Char"/>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rsid w:val="002B76A7"/>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uiPriority w:val="1"/>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styleId="FootnoteReference">
    <w:name w:val="footnote reference"/>
    <w:uiPriority w:val="1"/>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link w:val="TableTextChar"/>
    <w:uiPriority w:val="99"/>
    <w:qFormat/>
    <w:rsid w:val="009C440A"/>
    <w:pPr>
      <w:spacing w:before="60" w:after="60"/>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1"/>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1"/>
    <w:rsid w:val="00172194"/>
    <w:rPr>
      <w:rFonts w:ascii="Segoe UI" w:hAnsi="Segoe UI"/>
      <w:b/>
      <w:color w:val="23305D"/>
      <w:spacing w:val="-10"/>
      <w:sz w:val="60"/>
      <w:szCs w:val="60"/>
      <w:lang w:val="en-GB"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2B32BD"/>
    <w:rPr>
      <w:rFonts w:ascii="Segoe UI" w:hAnsi="Segoe UI"/>
      <w:b/>
      <w:color w:val="0A6AB4"/>
      <w:spacing w:val="-5"/>
      <w:sz w:val="40"/>
      <w:szCs w:val="16"/>
      <w:lang w:val="en-GB" w:eastAsia="en-GB"/>
    </w:rPr>
  </w:style>
  <w:style w:type="character" w:customStyle="1" w:styleId="Heading3Char">
    <w:name w:val="Heading 3 Char"/>
    <w:link w:val="Heading3"/>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17"/>
      </w:numPr>
      <w:spacing w:before="180"/>
    </w:pPr>
    <w:rPr>
      <w:szCs w:val="24"/>
    </w:rPr>
  </w:style>
  <w:style w:type="paragraph" w:customStyle="1" w:styleId="Letter">
    <w:name w:val="Letter"/>
    <w:basedOn w:val="Normal"/>
    <w:qFormat/>
    <w:rsid w:val="00F140B2"/>
    <w:pPr>
      <w:numPr>
        <w:ilvl w:val="1"/>
        <w:numId w:val="17"/>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17"/>
      </w:numPr>
      <w:spacing w:before="90"/>
    </w:pPr>
    <w:rPr>
      <w:rFonts w:eastAsia="Arial Unicode MS"/>
    </w:rPr>
  </w:style>
  <w:style w:type="character" w:customStyle="1" w:styleId="BulletChar">
    <w:name w:val="Bullet Char"/>
    <w:link w:val="Bullet"/>
    <w:locked/>
    <w:rsid w:val="002B32BD"/>
    <w:rPr>
      <w:rFonts w:ascii="Segoe UI" w:hAnsi="Segoe UI"/>
      <w:sz w:val="21"/>
      <w:lang w:eastAsia="en-GB"/>
    </w:rPr>
  </w:style>
  <w:style w:type="paragraph" w:customStyle="1" w:styleId="CabStandard">
    <w:name w:val="CabStandard"/>
    <w:basedOn w:val="Normal"/>
    <w:link w:val="CabStandardChar"/>
    <w:rsid w:val="002B32BD"/>
    <w:pPr>
      <w:keepLines/>
      <w:numPr>
        <w:numId w:val="33"/>
      </w:numPr>
      <w:spacing w:after="240"/>
    </w:pPr>
    <w:rPr>
      <w:rFonts w:ascii="Times New Roman" w:hAnsi="Times New Roman"/>
      <w:sz w:val="24"/>
      <w:lang w:val="en-GB" w:eastAsia="ja-JP"/>
    </w:rPr>
  </w:style>
  <w:style w:type="paragraph" w:customStyle="1" w:styleId="Second-levelbullets">
    <w:name w:val="Second-level bullets"/>
    <w:basedOn w:val="Bullet"/>
    <w:uiPriority w:val="3"/>
    <w:qFormat/>
    <w:rsid w:val="002B32BD"/>
    <w:pPr>
      <w:keepLines/>
      <w:numPr>
        <w:numId w:val="0"/>
      </w:numPr>
      <w:spacing w:before="0" w:after="160"/>
      <w:ind w:left="851" w:hanging="360"/>
    </w:pPr>
    <w:rPr>
      <w:rFonts w:asciiTheme="minorHAnsi" w:eastAsia="Segoe UI" w:hAnsiTheme="minorHAnsi" w:cstheme="minorHAnsi"/>
      <w:sz w:val="22"/>
      <w:szCs w:val="22"/>
      <w:lang w:val="en-GB" w:eastAsia="ja-JP"/>
    </w:rPr>
  </w:style>
  <w:style w:type="character" w:customStyle="1" w:styleId="CabStandardChar">
    <w:name w:val="CabStandard Char"/>
    <w:basedOn w:val="DefaultParagraphFont"/>
    <w:link w:val="CabStandard"/>
    <w:rsid w:val="002B32BD"/>
    <w:rPr>
      <w:sz w:val="24"/>
      <w:lang w:val="en-GB" w:eastAsia="ja-JP"/>
    </w:rPr>
  </w:style>
  <w:style w:type="character" w:styleId="UnresolvedMention">
    <w:name w:val="Unresolved Mention"/>
    <w:basedOn w:val="DefaultParagraphFont"/>
    <w:uiPriority w:val="99"/>
    <w:semiHidden/>
    <w:unhideWhenUsed/>
    <w:rsid w:val="002B68B9"/>
    <w:rPr>
      <w:color w:val="605E5C"/>
      <w:shd w:val="clear" w:color="auto" w:fill="E1DFDD"/>
    </w:rPr>
  </w:style>
  <w:style w:type="character" w:customStyle="1" w:styleId="FigureChar">
    <w:name w:val="Figure Char"/>
    <w:link w:val="Figure"/>
    <w:locked/>
    <w:rsid w:val="002B68B9"/>
    <w:rPr>
      <w:rFonts w:ascii="Segoe UI" w:hAnsi="Segoe UI"/>
      <w:b/>
      <w:lang w:eastAsia="en-GB"/>
    </w:rPr>
  </w:style>
  <w:style w:type="paragraph" w:customStyle="1" w:styleId="pf0">
    <w:name w:val="pf0"/>
    <w:basedOn w:val="Normal"/>
    <w:rsid w:val="002B68B9"/>
    <w:pPr>
      <w:keepLines/>
      <w:spacing w:before="100" w:beforeAutospacing="1" w:after="100" w:afterAutospacing="1"/>
    </w:pPr>
    <w:rPr>
      <w:rFonts w:ascii="Times New Roman" w:hAnsi="Times New Roman"/>
      <w:sz w:val="24"/>
      <w:szCs w:val="24"/>
      <w:lang w:eastAsia="en-NZ"/>
    </w:rPr>
  </w:style>
  <w:style w:type="paragraph" w:styleId="Caption">
    <w:name w:val="caption"/>
    <w:basedOn w:val="Normal"/>
    <w:next w:val="Normal"/>
    <w:unhideWhenUsed/>
    <w:qFormat/>
    <w:rsid w:val="002B68B9"/>
    <w:pPr>
      <w:spacing w:after="200"/>
    </w:pPr>
    <w:rPr>
      <w:i/>
      <w:iCs/>
      <w:color w:val="1F497D" w:themeColor="text2"/>
      <w:sz w:val="18"/>
      <w:szCs w:val="18"/>
    </w:rPr>
  </w:style>
  <w:style w:type="paragraph" w:customStyle="1" w:styleId="Tablebullets">
    <w:name w:val="Table bullets"/>
    <w:basedOn w:val="ListParagraph"/>
    <w:link w:val="TablebulletsChar"/>
    <w:qFormat/>
    <w:rsid w:val="00457CAC"/>
    <w:pPr>
      <w:keepLines/>
      <w:numPr>
        <w:numId w:val="36"/>
      </w:numPr>
      <w:spacing w:before="60" w:after="60"/>
      <w:ind w:left="284" w:hanging="284"/>
      <w:contextualSpacing w:val="0"/>
    </w:pPr>
    <w:rPr>
      <w:rFonts w:asciiTheme="minorHAnsi" w:eastAsia="Calibri" w:hAnsiTheme="minorHAnsi" w:cstheme="minorHAnsi"/>
      <w:sz w:val="20"/>
      <w:lang w:eastAsia="en-US"/>
    </w:rPr>
  </w:style>
  <w:style w:type="character" w:customStyle="1" w:styleId="TablebulletsChar">
    <w:name w:val="Table bullets Char"/>
    <w:basedOn w:val="DefaultParagraphFont"/>
    <w:link w:val="Tablebullets"/>
    <w:rsid w:val="00457CAC"/>
    <w:rPr>
      <w:rFonts w:asciiTheme="minorHAnsi" w:eastAsia="Calibri" w:hAnsiTheme="minorHAnsi" w:cstheme="minorHAnsi"/>
      <w:lang w:eastAsia="en-US"/>
    </w:rPr>
  </w:style>
  <w:style w:type="paragraph" w:styleId="ListParagraph">
    <w:name w:val="List Paragraph"/>
    <w:aliases w:val="Level 3,List Paragraph1,List Paragraph numbered,List Bullet indent,Normal text,Bullet Normal,numbered,FooterText,Paragraphe de liste1,Bulletr List Paragraph,列出段落,列出段落1,Bullet List,Board paper bullet list,#List Paragraph,target,Rec para,L"/>
    <w:basedOn w:val="Normal"/>
    <w:link w:val="ListParagraphChar"/>
    <w:uiPriority w:val="34"/>
    <w:qFormat/>
    <w:rsid w:val="00457CAC"/>
    <w:pPr>
      <w:ind w:left="720"/>
      <w:contextualSpacing/>
    </w:pPr>
  </w:style>
  <w:style w:type="character" w:customStyle="1" w:styleId="ListParagraphChar">
    <w:name w:val="List Paragraph Char"/>
    <w:aliases w:val="Level 3 Char,List Paragraph1 Char,List Paragraph numbered Char,List Bullet indent Char,Normal text Char,Bullet Normal Char,numbered Char,FooterText Char,Paragraphe de liste1 Char,Bulletr List Paragraph Char,列出段落 Char,列出段落1 Char"/>
    <w:basedOn w:val="DefaultParagraphFont"/>
    <w:link w:val="ListParagraph"/>
    <w:uiPriority w:val="34"/>
    <w:qFormat/>
    <w:rsid w:val="002422D8"/>
    <w:rPr>
      <w:rFonts w:ascii="Segoe UI" w:hAnsi="Segoe UI"/>
      <w:sz w:val="21"/>
      <w:lang w:eastAsia="en-GB"/>
    </w:rPr>
  </w:style>
  <w:style w:type="character" w:customStyle="1" w:styleId="TableTextChar">
    <w:name w:val="TableText Char"/>
    <w:link w:val="TableText"/>
    <w:rsid w:val="008B792A"/>
    <w:rPr>
      <w:rFonts w:ascii="Segoe UI" w:hAnsi="Segoe UI"/>
      <w:sz w:val="18"/>
      <w:lang w:eastAsia="en-GB"/>
    </w:rPr>
  </w:style>
  <w:style w:type="character" w:customStyle="1" w:styleId="normaltextrun">
    <w:name w:val="normaltextrun"/>
    <w:basedOn w:val="DefaultParagraphFont"/>
    <w:rsid w:val="00773F08"/>
  </w:style>
  <w:style w:type="character" w:customStyle="1" w:styleId="eop">
    <w:name w:val="eop"/>
    <w:basedOn w:val="DefaultParagraphFont"/>
    <w:rsid w:val="00773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37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26" Type="http://schemas.openxmlformats.org/officeDocument/2006/relationships/hyperlink" Target="https://www.health.govt.nz/publication/strategy-prevent-and-minimise-gambling-harm-2025-26-2027-28" TargetMode="External"/><Relationship Id="rId3" Type="http://schemas.openxmlformats.org/officeDocument/2006/relationships/customXml" Target="../customXml/item3.xml"/><Relationship Id="rId21" Type="http://schemas.openxmlformats.org/officeDocument/2006/relationships/hyperlink" Target="https://consult.health.govt.nz" TargetMode="External"/><Relationship Id="rId34" Type="http://schemas.openxmlformats.org/officeDocument/2006/relationships/hyperlink" Target="https://www.health.govt.nz/publication/strategy-prevent-and-minimise-gambling-harm-2025-26-2027-28"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6.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s://www.health.govt.nz/publication/strategy-prevent-and-minimise-gambling-harm-2025-26-2027-2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gamblingharm@health.govt.nz" TargetMode="External"/><Relationship Id="rId32" Type="http://schemas.openxmlformats.org/officeDocument/2006/relationships/footer" Target="footer9.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consult.health.govt.nz" TargetMode="External"/><Relationship Id="rId28" Type="http://schemas.openxmlformats.org/officeDocument/2006/relationships/footer" Target="footer8.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gamblingharm@health.govt.nz" TargetMode="External"/><Relationship Id="rId27" Type="http://schemas.openxmlformats.org/officeDocument/2006/relationships/footer" Target="footer7.xml"/><Relationship Id="rId30" Type="http://schemas.openxmlformats.org/officeDocument/2006/relationships/header" Target="header4.xml"/><Relationship Id="rId35" Type="http://schemas.openxmlformats.org/officeDocument/2006/relationships/footer" Target="footer1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7FFB0-260E-4BEB-AB23-5A43F0263A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DE10D4-B04D-46BB-8458-050322E51106}">
  <ds:schemaRefs>
    <ds:schemaRef ds:uri="http://schemas.microsoft.com/sharepoint/v3/contenttype/forms"/>
  </ds:schemaRefs>
</ds:datastoreItem>
</file>

<file path=customXml/itemProps3.xml><?xml version="1.0" encoding="utf-8"?>
<ds:datastoreItem xmlns:ds="http://schemas.openxmlformats.org/officeDocument/2006/customXml" ds:itemID="{0920E4DC-08ED-4FF1-8625-A35284D2B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Body.dot</Template>
  <TotalTime>34</TotalTime>
  <Pages>14</Pages>
  <Words>2681</Words>
  <Characters>15288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Strategy to Prevent and Minimise Gambling Harm 2025/26 to 2027/28: Plain English Summary</dc:title>
  <dc:creator>Ministry of Health</dc:creator>
  <cp:lastModifiedBy>Ministry of Health</cp:lastModifiedBy>
  <cp:revision>14</cp:revision>
  <cp:lastPrinted>2024-09-05T21:11:00Z</cp:lastPrinted>
  <dcterms:created xsi:type="dcterms:W3CDTF">2024-08-15T07:29:00Z</dcterms:created>
  <dcterms:modified xsi:type="dcterms:W3CDTF">2024-09-05T21:11:00Z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