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4901" w14:textId="2F2C0DED" w:rsidR="00294A7D" w:rsidRPr="00294A7D" w:rsidRDefault="00F602AB" w:rsidP="00294A7D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sz w:val="28"/>
          <w:szCs w:val="28"/>
          <w:lang w:eastAsia="ko-KR"/>
        </w:rPr>
      </w:pPr>
      <w:r>
        <w:rPr>
          <w:rFonts w:ascii="Segoe UI" w:hAnsi="Segoe UI" w:eastAsia="Segoe UI"/>
          <w:b w:val="true"/>
          <w:sz w:val="28"/>
          <w:lang w:eastAsia="ko-KR"/>
        </w:rPr>
        <w:t xml:space="preserve">도박 피해 예방 및 최소화 전략 2025/26 ~ 2027/28에 대한 의견 수렴</w:t>
      </w:r>
    </w:p>
    <w:p w14:paraId="0CD91980" w14:textId="689ACFD0" w:rsidR="00294A7D" w:rsidRP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eastAsia="ko-KR"/>
        </w:rPr>
      </w:pPr>
      <w:r>
        <w:rPr>
          <w:rFonts w:ascii="Segoe UI" w:hAnsi="Segoe UI" w:eastAsia="Segoe UI"/>
          <w:b w:val="true"/>
          <w:lang w:eastAsia="ko-KR"/>
        </w:rPr>
        <w:t xml:space="preserve">머리말</w:t>
      </w:r>
    </w:p>
    <w:p w14:paraId="0B95A1D4" w14:textId="328875CD" w:rsidR="00294A7D" w:rsidRPr="000705B8" w:rsidRDefault="00294A7D" w:rsidP="00294A7D">
      <w:pPr>
        <w:spacing w:before="120" w:after="120" w:line="240" w:lineRule="auto"/>
        <w:rPr>
          <w:rFonts w:ascii="Segoe UI" w:eastAsia="Segoe UI" w:hAnsi="Segoe UI" w:cs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도박으로 인한 피해는 우리 지역사회와 개인, 가족의 중요한 공중보건 문제입니다.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뉴질랜드 인구 5명 중 약 1명은 자신이나 타인의 도박으로 인해 피해를 입습니다.</w:t>
      </w:r>
    </w:p>
    <w:p w14:paraId="3BC18B99" w14:textId="77777777" w:rsidR="00294A7D" w:rsidRPr="009742FF" w:rsidRDefault="00294A7D" w:rsidP="00294A7D">
      <w:pPr>
        <w:spacing w:before="120" w:after="120" w:line="240" w:lineRule="auto"/>
        <w:rPr>
          <w:rFonts w:ascii="Segoe UI" w:eastAsia="Segoe UI" w:hAnsi="Segoe UI" w:cs="Segoe UI"/>
          <w:lang w:eastAsia="ko-KR"/>
        </w:rPr>
      </w:pPr>
    </w:p>
    <w:p w14:paraId="066DFC3D" w14:textId="0C2D9F66" w:rsidR="00294A7D" w:rsidRPr="000705B8" w:rsidRDefault="00294A7D" w:rsidP="00294A7D">
      <w:pPr>
        <w:spacing w:before="120" w:after="120" w:line="240" w:lineRule="auto"/>
        <w:rPr>
          <w:rFonts w:ascii="Segoe UI" w:eastAsia="Segoe UI" w:hAnsi="Segoe UI" w:cs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피해는 우리 사회 전반에 걸쳐 고르게 느껴지지 않습니다. 다른 인구 집단보다 마오리, 퍼시픽계, 아시안, 젊은이들이 도박으로 인한 피해를 더 많이 경험합니다.</w:t>
      </w:r>
    </w:p>
    <w:p w14:paraId="75CE93E8" w14:textId="77777777" w:rsid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lang w:eastAsia="ko-KR"/>
        </w:rPr>
      </w:pPr>
    </w:p>
    <w:p w14:paraId="447268CE" w14:textId="3F9BEC4F" w:rsidR="00294A7D" w:rsidRPr="009742FF" w:rsidRDefault="00294A7D" w:rsidP="00294A7D">
      <w:pPr>
        <w:spacing w:before="120" w:after="120" w:line="240" w:lineRule="auto"/>
        <w:rPr>
          <w:rFonts w:ascii="Segoe UI" w:eastAsia="Segoe UI" w:hAnsi="Segoe UI" w:cs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보건부는 도박법(Gambling Act 2003)에 의거, 3년마다 도박으로 인해 개인과 가족 및 지역사회에 발생하는 피해를 예방하고 최소화하기 위한 전략안(서비스 포함)에 관해 의견을 수렴해야 합니다.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그 일환으로 보건부는 도박 사업자로부터 이 전략의 개발 및 구현 비용을 받아내기 위한 부과금 방안에 대해 의견 수렴을 시작합니다.</w:t>
      </w:r>
      <w:r>
        <w:rPr>
          <w:rFonts w:ascii="Segoe UI" w:hAnsi="Segoe UI" w:eastAsia="Segoe UI"/>
          <w:lang w:eastAsia="ko-KR"/>
        </w:rPr>
        <w:t xml:space="preserve"> </w:t>
      </w:r>
    </w:p>
    <w:p w14:paraId="639FCF0C" w14:textId="04D6F6F3" w:rsidR="00294A7D" w:rsidRDefault="00294A7D" w:rsidP="00294A7D">
      <w:pPr>
        <w:spacing w:before="120" w:after="120" w:line="240" w:lineRule="auto"/>
        <w:rPr>
          <w:rStyle w:val="normaltextrun"/>
          <w:rFonts w:ascii="Segoe UI" w:eastAsia="Segoe UI" w:hAnsi="Segoe UI" w:cs="Segoe UI"/>
          <w:color w:val="000000" w:themeColor="text1"/>
          <w:lang w:eastAsia="ko-KR"/>
        </w:rPr>
      </w:pPr>
    </w:p>
    <w:p w14:paraId="2DA76E35" w14:textId="5CEBC5DF" w:rsid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eastAsia="ko-KR"/>
        </w:rPr>
      </w:pPr>
      <w:r>
        <w:rPr>
          <w:rStyle w:val="normaltextrun"/>
          <w:rFonts w:ascii="Segoe UI" w:hAnsi="Segoe UI" w:eastAsia="Segoe UI"/>
          <w:b w:val="true"/>
          <w:color w:val="000000" w:themeColor="text1"/>
          <w:lang w:eastAsia="ko-KR"/>
        </w:rPr>
        <w:t xml:space="preserve">보건부는 지금 '도박 피해 예방 및 최소화 전략 2025/26 ~ 2027/28'에 대한 의견 수렴을 하고 있습니다</w:t>
      </w:r>
    </w:p>
    <w:p w14:paraId="5C12D83F" w14:textId="77777777" w:rsidR="00294A7D" w:rsidRP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eastAsia="ko-KR"/>
        </w:rPr>
      </w:pPr>
    </w:p>
    <w:p w14:paraId="742B8CF6" w14:textId="381C1ABB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이것은 전략 계획 초안(목표), 서비스 계획 초안(달성 방법), 그리고 예산 수준 및 부과금 요율 초안(자금 조달 방법)에 대해 여러분의 의견을 말할 수 있는 기회입니다.</w:t>
      </w:r>
    </w:p>
    <w:p w14:paraId="07210F78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</w:p>
    <w:p w14:paraId="45CBA94F" w14:textId="293A48EF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수렴 의견은 도박감독위원회에 제출됩니다. 도박감독위원회는 자체적으로 의견 수렴 절차를 거쳐 이 작업의 다음 단계로 정부에 권고안을 제시할 것입니다.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새로운 이 전략과 부과금 정책은 2025년 7월 1일부터 시행됩니다.</w:t>
      </w:r>
    </w:p>
    <w:p w14:paraId="35EBF610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</w:p>
    <w:p w14:paraId="312B23ED" w14:textId="3C0CB9DD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 전략은 도박 피해를 예방하고 최소화하기 위한 이전 전략를 토대로 하고 있으며 정신건강 및 중독에 대한 정부의 건강 목표 및 우선순위와 일치합니다. 뉴질랜드인의 기대 수명과 삶의 질이 도박 피해에 영향을 받지 않게 한다는 것이 1차적 목표입니다.</w:t>
      </w:r>
    </w:p>
    <w:p w14:paraId="4930B2BA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</w:p>
    <w:p w14:paraId="0A6E5885" w14:textId="4AD75C43" w:rsidR="004A0655" w:rsidRDefault="00294A7D" w:rsidP="004A0655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향후 3년 동안 핵심적으로 치중할 부분은 도박 피해 위험이 가장 큰 사람들을 위한 도박 피해 예방과 조기 개입 및 효과적인 지원 서비스의 접근성을 개선하고, 도박 피해 관련 인력(임상 인력 및 도박 경험자 출신 인력)을 확충하고 지원하는 것입니다.</w:t>
      </w:r>
    </w:p>
    <w:p w14:paraId="42FB45EA" w14:textId="77777777" w:rsidR="004A0655" w:rsidRDefault="004A0655">
      <w:pPr>
        <w:spacing w:after="160" w:line="259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br w:type="page"/>
      </w:r>
    </w:p>
    <w:p w14:paraId="0EDF7D19" w14:textId="733D1C29" w:rsidR="004C1264" w:rsidRPr="00586882" w:rsidRDefault="00294A7D" w:rsidP="00294A7D">
      <w:pPr>
        <w:spacing w:before="120" w:after="120" w:line="240" w:lineRule="auto"/>
        <w:rPr>
          <w:rStyle w:val="normaltextrun"/>
          <w:rFonts w:ascii="Segoe UI" w:hAnsi="Segoe UI" w:cs="Segoe UI" w:eastAsia="Segoe UI"/>
          <w:b/>
          <w:bCs/>
          <w:lang w:eastAsia="ko-KR"/>
        </w:rPr>
      </w:pPr>
      <w:r>
        <w:rPr>
          <w:rFonts w:ascii="Segoe UI" w:hAnsi="Segoe UI" w:eastAsia="Segoe UI"/>
          <w:b w:val="true"/>
          <w:lang w:eastAsia="ko-KR"/>
        </w:rPr>
        <w:t xml:space="preserve">전략 계획(목표)</w:t>
      </w:r>
    </w:p>
    <w:p w14:paraId="008C70D5" w14:textId="1D43525C" w:rsidR="00294A7D" w:rsidRPr="00EB485E" w:rsidRDefault="00294A7D" w:rsidP="00294A7D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전략 초안은 정신건강과 중독에 대한 정부의 우선순위를 반영합니다.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도박 피해와 관련하여 이러한 우선순위는 다음과 같습니다.</w:t>
      </w:r>
    </w:p>
    <w:p w14:paraId="26D14185" w14:textId="3ABB47B9" w:rsidR="00294A7D" w:rsidRPr="00CF6C1D" w:rsidRDefault="00294A7D" w:rsidP="00490F05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피해 지원에 대한 접근성 확대</w:t>
      </w:r>
    </w:p>
    <w:p w14:paraId="44CB5040" w14:textId="56D79242" w:rsidR="00294A7D" w:rsidRPr="00CF6C1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피해 관련 인력 확충</w:t>
      </w:r>
    </w:p>
    <w:p w14:paraId="46D290C9" w14:textId="2712C053" w:rsidR="00294A7D" w:rsidRPr="00CF6C1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피해 예방 및 조기 개입에 대한 중점 관리 강화</w:t>
      </w:r>
    </w:p>
    <w:p w14:paraId="170955F9" w14:textId="1568FB88" w:rsidR="00294A7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피해 지원의 효과 증진</w:t>
      </w:r>
    </w:p>
    <w:p w14:paraId="5C33FAF6" w14:textId="77777777" w:rsidR="00294A7D" w:rsidRPr="004A7366" w:rsidRDefault="00294A7D" w:rsidP="00294A7D">
      <w:pPr>
        <w:spacing w:after="12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lang w:eastAsia="ko-KR"/>
        </w:rPr>
      </w:pPr>
    </w:p>
    <w:p w14:paraId="512F9079" w14:textId="77865FE7" w:rsidR="00294A7D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이러한 우선순위는 도박 피해에 가장 취약한 사람들을 지원하기 위한 다음의 과제를 달성하는 데 도움이 될 것입니다.</w:t>
      </w:r>
    </w:p>
    <w:p w14:paraId="28C65B62" w14:textId="3BA10423" w:rsidR="00294A7D" w:rsidRPr="00133671" w:rsidRDefault="00294A7D" w:rsidP="00490F05">
      <w:pPr>
        <w:pStyle w:val="Bullet"/>
        <w:numPr>
          <w:ilvl w:val="1"/>
          <w:numId w:val="24"/>
        </w:numPr>
        <w:ind w:left="426"/>
        <w:rPr>
          <w:rFonts w:ascii="Segoe UI" w:eastAsia="Segoe UI" w:hAnsi="Segoe UI" w:cs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예방부터 조기 개입, 전문가 지원에 이르기까지 도박 피해를 예방하고 최소화하기 위한 서비스와 지원 일체를 제공</w:t>
      </w:r>
    </w:p>
    <w:p w14:paraId="5CAC87E1" w14:textId="77777777" w:rsidR="00294A7D" w:rsidRPr="00133671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Segoe UI" w:hAnsi="Segoe UI" w:cs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사회적, 문화적 규범이 도박 피해를 예방하고 최소화</w:t>
      </w:r>
    </w:p>
    <w:p w14:paraId="61E5B54D" w14:textId="77777777" w:rsidR="00294A7D" w:rsidRPr="00133671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Segoe UI" w:hAnsi="Segoe UI" w:cs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피해 방지 시스템의 강력한 리더십과 책임성, 가급적 지역사회 가까이에서 이루어지는 의사 결정</w:t>
      </w:r>
    </w:p>
    <w:p w14:paraId="446940C3" w14:textId="77777777" w:rsidR="00294A7D" w:rsidRDefault="00294A7D" w:rsidP="00121D30">
      <w:pPr>
        <w:pStyle w:val="Bullet"/>
        <w:numPr>
          <w:ilvl w:val="1"/>
          <w:numId w:val="24"/>
        </w:numPr>
        <w:ind w:left="426"/>
        <w:rPr>
          <w:rFonts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피해 위험이 가장 큰 계층에 집중하는 시스템</w:t>
      </w:r>
    </w:p>
    <w:p w14:paraId="1D6825AB" w14:textId="77777777" w:rsidR="009742FF" w:rsidRDefault="009742FF" w:rsidP="000724A7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</w:p>
    <w:p w14:paraId="0BA50145" w14:textId="3839D333" w:rsidR="000724A7" w:rsidRPr="00586882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  <w:r>
        <w:rPr>
          <w:rFonts w:ascii="Segoe UI" w:hAnsi="Segoe UI" w:eastAsia="Segoe UI"/>
          <w:b w:val="true"/>
          <w:lang w:eastAsia="ko-KR"/>
        </w:rPr>
        <w:t xml:space="preserve">서비스 계획(달성 방법)</w:t>
      </w:r>
    </w:p>
    <w:p w14:paraId="369E4F4C" w14:textId="78DA666D" w:rsidR="00294A7D" w:rsidRPr="000724A7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서비스 계획은 견실한 조사와 평가로 뒷받침되는 종합적 공중보건 및 임상 서비스를 제공할 것입니다.</w:t>
      </w:r>
    </w:p>
    <w:p w14:paraId="3C1B45AC" w14:textId="5B00AFA6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제안 보고서에는 3개년 서비스 계획 초안이 담기고, 향후 3년 동안의 이러한 서비스 비용과 예산이 자세히 설명되어 있습니다.</w:t>
      </w:r>
    </w:p>
    <w:p w14:paraId="7D4C9A3E" w14:textId="166A3E43" w:rsidR="00294A7D" w:rsidRPr="000724A7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 자금 조달은 현행 핵심 서비스를 기반으로 하며, 다음 사항에 중점을 둡니다.</w:t>
      </w:r>
    </w:p>
    <w:p w14:paraId="7EC636A7" w14:textId="04E360D1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서비스 유형/인구 집단(예: 추가적인 고강도 지원) 및 위치(현재 대면 서비스가 없는 일부 지역에 서비스 제공) 양측면에서 임상 서비스를 확대 제공하여 접근성을 높임</w:t>
      </w:r>
    </w:p>
    <w:p w14:paraId="152BA7DF" w14:textId="2205E88D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신규 인력 진입을 지원하고 기존 인력을 그대로 유지함으로써 인력 확충(도박 경험자 출신 인력과 임상 인력 모두)</w:t>
      </w:r>
    </w:p>
    <w:p w14:paraId="46D3CB96" w14:textId="57B72CA8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지역사회 중심의 다양한 건강 증진 활동을 제공하여 피해를 예방하고 조기에 개입</w:t>
      </w:r>
    </w:p>
    <w:p w14:paraId="46360E76" w14:textId="29391528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모든 임상 서비스의 평가와 전략 자체의 영향 평가를 포함한 일련의 조사 및 평가 프로젝트를 의뢰하여 효율성 개선</w:t>
      </w:r>
    </w:p>
    <w:p w14:paraId="567B233D" w14:textId="77777777" w:rsidR="004C1264" w:rsidRDefault="004C1264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</w:p>
    <w:p w14:paraId="22D59DF6" w14:textId="2511F36F" w:rsidR="00294A7D" w:rsidRPr="00CF6C1D" w:rsidRDefault="00294A7D" w:rsidP="53636AF8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 서비스 계획은 3년간 총 87.718 백만 달러의 투자 패키지를 제시합니다.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이는 현재 전략 예산에 비해 11.595 백만 달러 증가한 금액으로, 현재 전략 기간 중 지출되지 않으리라 예상되는 3.412 백만 달러가 이월되어 포함된 것입니다.</w:t>
      </w:r>
    </w:p>
    <w:p w14:paraId="2C269585" w14:textId="77777777" w:rsidR="000724A7" w:rsidRDefault="000724A7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</w:p>
    <w:p w14:paraId="781998B7" w14:textId="3CB4A5CB" w:rsidR="00294A7D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 추가 자금 중 약 절반은 도박 환경 변화에 대응하기 위한 새로운 서비스 및 개입(예: 서비스 홍보, 인력 개발 및 온라인 도박 배제 시스템)을 위한 것이며, 나머지 절반은 여러 가지 비용 및 수요 압력을 해결하기 위한 것입니다(서비스 확대 및 임금 압박 대응 포함).</w:t>
      </w:r>
    </w:p>
    <w:p w14:paraId="4EF7BFDE" w14:textId="77777777" w:rsidR="007232A6" w:rsidRDefault="007232A6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</w:p>
    <w:p w14:paraId="4E082CF8" w14:textId="39C738C4" w:rsidR="00A66923" w:rsidRPr="00A66923" w:rsidRDefault="00A66923" w:rsidP="00A66923">
      <w:pPr>
        <w:keepNext/>
        <w:spacing w:before="120" w:after="120" w:line="240" w:lineRule="auto"/>
        <w:rPr>
          <w:rFonts w:ascii="Segoe UI" w:eastAsia="Segoe UI" w:hAnsi="Segoe UI" w:cs="Times New Roman"/>
          <w:b/>
          <w:lang w:eastAsia="ko-KR"/>
        </w:rPr>
      </w:pPr>
      <w:r>
        <w:rPr>
          <w:rFonts w:ascii="Segoe UI" w:hAnsi="Segoe UI" w:eastAsia="Segoe UI"/>
          <w:b w:val="true"/>
          <w:lang w:eastAsia="ko-KR"/>
        </w:rPr>
        <w:t xml:space="preserve">도박 피해를 예방하고 최소화하기 위한 서비스 계획 및 예산 요약(단위: 백만 달러 – GST 별도), 2025/26 ~ 2027/28</w:t>
      </w:r>
    </w:p>
    <w:tbl>
      <w:tblPr>
        <w:tblStyle w:val="TableGrid"/>
        <w:tblW w:w="893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525"/>
        <w:gridCol w:w="1306"/>
        <w:gridCol w:w="1527"/>
        <w:gridCol w:w="1306"/>
      </w:tblGrid>
      <w:tr w:rsidR="00A66923" w:rsidRPr="00A66923" w14:paraId="2FF1C62C" w14:textId="77777777" w:rsidTr="00A66923">
        <w:trPr>
          <w:trHeight w:val="408"/>
          <w:tblHeader/>
        </w:trPr>
        <w:tc>
          <w:tcPr>
            <w:tcW w:w="32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B20182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우선순위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F0A2C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2025/26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A1A23A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2026/27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D9878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2027/28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114A6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계</w:t>
            </w:r>
          </w:p>
        </w:tc>
      </w:tr>
      <w:tr w:rsidR="00A66923" w:rsidRPr="00A66923" w14:paraId="4B845CA2" w14:textId="77777777" w:rsidTr="00A66923">
        <w:trPr>
          <w:trHeight w:val="408"/>
        </w:trPr>
        <w:tc>
          <w:tcPr>
            <w:tcW w:w="3271" w:type="dxa"/>
            <w:tcBorders>
              <w:top w:val="nil"/>
            </w:tcBorders>
            <w:vAlign w:val="center"/>
          </w:tcPr>
          <w:p w14:paraId="694C63B8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도박 피해 지원에 대한 접근성 확대</w:t>
            </w:r>
            <w:r>
              <w:rPr>
                <w:rFonts w:ascii="Segoe UI" w:hAnsi="Segoe UI" w:eastAsia="Segoe UI"/>
                <w:b w:val="true"/>
                <w:lang w:eastAsia="ko-KR"/>
              </w:rPr>
              <w:t xml:space="preserve"> 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14:paraId="329A839A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11.258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6CB78B2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12.023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86239B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12.588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4B4C5C7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35.868</w:t>
            </w:r>
          </w:p>
        </w:tc>
      </w:tr>
      <w:tr w:rsidR="00A66923" w:rsidRPr="00A66923" w14:paraId="7A04D3E4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FE2820D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도박 피해 관련 인력 확충</w:t>
            </w:r>
          </w:p>
        </w:tc>
        <w:tc>
          <w:tcPr>
            <w:tcW w:w="1525" w:type="dxa"/>
            <w:vAlign w:val="center"/>
          </w:tcPr>
          <w:p w14:paraId="1FA4065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1.154</w:t>
            </w:r>
          </w:p>
        </w:tc>
        <w:tc>
          <w:tcPr>
            <w:tcW w:w="1306" w:type="dxa"/>
            <w:vAlign w:val="center"/>
          </w:tcPr>
          <w:p w14:paraId="7293F45F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1.504</w:t>
            </w:r>
          </w:p>
        </w:tc>
        <w:tc>
          <w:tcPr>
            <w:tcW w:w="1527" w:type="dxa"/>
            <w:vAlign w:val="center"/>
          </w:tcPr>
          <w:p w14:paraId="3112C64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1.499</w:t>
            </w:r>
          </w:p>
        </w:tc>
        <w:tc>
          <w:tcPr>
            <w:tcW w:w="1306" w:type="dxa"/>
            <w:vAlign w:val="center"/>
          </w:tcPr>
          <w:p w14:paraId="384CEBF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4.156</w:t>
            </w:r>
          </w:p>
        </w:tc>
      </w:tr>
      <w:tr w:rsidR="00A66923" w:rsidRPr="00A66923" w14:paraId="05CAD21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641D362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도박 피해 예방 및 조기 개입에 대한 중점 관리 강화</w:t>
            </w:r>
          </w:p>
        </w:tc>
        <w:tc>
          <w:tcPr>
            <w:tcW w:w="1525" w:type="dxa"/>
            <w:vAlign w:val="center"/>
          </w:tcPr>
          <w:p w14:paraId="46570C5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10.082</w:t>
            </w:r>
          </w:p>
        </w:tc>
        <w:tc>
          <w:tcPr>
            <w:tcW w:w="1306" w:type="dxa"/>
            <w:vAlign w:val="center"/>
          </w:tcPr>
          <w:p w14:paraId="1480AF10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10.049</w:t>
            </w:r>
          </w:p>
        </w:tc>
        <w:tc>
          <w:tcPr>
            <w:tcW w:w="1527" w:type="dxa"/>
            <w:vAlign w:val="center"/>
          </w:tcPr>
          <w:p w14:paraId="27C8A34C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10.556</w:t>
            </w:r>
          </w:p>
        </w:tc>
        <w:tc>
          <w:tcPr>
            <w:tcW w:w="1306" w:type="dxa"/>
            <w:vAlign w:val="center"/>
          </w:tcPr>
          <w:p w14:paraId="572D741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30.687</w:t>
            </w:r>
          </w:p>
        </w:tc>
      </w:tr>
      <w:tr w:rsidR="00A66923" w:rsidRPr="00A66923" w14:paraId="34CBD73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50EAD0B6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도박 피해 지원의 효과 증진</w:t>
            </w:r>
          </w:p>
        </w:tc>
        <w:tc>
          <w:tcPr>
            <w:tcW w:w="1525" w:type="dxa"/>
            <w:vAlign w:val="center"/>
          </w:tcPr>
          <w:p w14:paraId="5B55C8D5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3.789</w:t>
            </w:r>
          </w:p>
        </w:tc>
        <w:tc>
          <w:tcPr>
            <w:tcW w:w="1306" w:type="dxa"/>
            <w:vAlign w:val="center"/>
          </w:tcPr>
          <w:p w14:paraId="050670BE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3.654</w:t>
            </w:r>
          </w:p>
        </w:tc>
        <w:tc>
          <w:tcPr>
            <w:tcW w:w="1527" w:type="dxa"/>
            <w:vAlign w:val="center"/>
          </w:tcPr>
          <w:p w14:paraId="631FE8EF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2.604</w:t>
            </w:r>
          </w:p>
        </w:tc>
        <w:tc>
          <w:tcPr>
            <w:tcW w:w="1306" w:type="dxa"/>
            <w:vAlign w:val="center"/>
          </w:tcPr>
          <w:p w14:paraId="5A3816B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10.047</w:t>
            </w:r>
          </w:p>
        </w:tc>
      </w:tr>
      <w:tr w:rsidR="00A66923" w:rsidRPr="00A66923" w14:paraId="1BDD735E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0B0C8BC3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에이전시 비용</w:t>
            </w:r>
          </w:p>
        </w:tc>
        <w:tc>
          <w:tcPr>
            <w:tcW w:w="1525" w:type="dxa"/>
            <w:vAlign w:val="center"/>
          </w:tcPr>
          <w:p w14:paraId="7B5A7A7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2.181</w:t>
            </w:r>
          </w:p>
        </w:tc>
        <w:tc>
          <w:tcPr>
            <w:tcW w:w="1306" w:type="dxa"/>
            <w:vAlign w:val="center"/>
          </w:tcPr>
          <w:p w14:paraId="591879F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2.475</w:t>
            </w:r>
          </w:p>
        </w:tc>
        <w:tc>
          <w:tcPr>
            <w:tcW w:w="1527" w:type="dxa"/>
            <w:vAlign w:val="center"/>
          </w:tcPr>
          <w:p w14:paraId="1B0C2A6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2.302</w:t>
            </w:r>
          </w:p>
        </w:tc>
        <w:tc>
          <w:tcPr>
            <w:tcW w:w="1306" w:type="dxa"/>
            <w:vAlign w:val="center"/>
          </w:tcPr>
          <w:p w14:paraId="3CC2E52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lang w:eastAsia="ko-KR"/>
              </w:rPr>
            </w:pPr>
            <w:r>
              <w:rPr>
                <w:rFonts w:ascii="Segoe UI" w:hAnsi="Segoe UI" w:eastAsia="Segoe UI"/>
                <w:lang w:eastAsia="ko-KR"/>
              </w:rPr>
              <w:t xml:space="preserve">6.958</w:t>
            </w:r>
          </w:p>
        </w:tc>
      </w:tr>
      <w:tr w:rsidR="00A66923" w:rsidRPr="00A66923" w14:paraId="56336D4C" w14:textId="77777777" w:rsidTr="00A66923">
        <w:trPr>
          <w:trHeight w:val="388"/>
        </w:trPr>
        <w:tc>
          <w:tcPr>
            <w:tcW w:w="3271" w:type="dxa"/>
            <w:vAlign w:val="center"/>
          </w:tcPr>
          <w:p w14:paraId="199F9619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계</w:t>
            </w:r>
            <w:r>
              <w:rPr>
                <w:rFonts w:ascii="Segoe UI" w:hAnsi="Segoe UI" w:eastAsia="Segoe UI"/>
                <w:b w:val="true"/>
                <w:lang w:eastAsia="ko-KR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A4DF25C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Segoe UI" w:hAnsi="Segoe UI" w:cs="Times New Roman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28.464</w:t>
            </w:r>
          </w:p>
        </w:tc>
        <w:tc>
          <w:tcPr>
            <w:tcW w:w="1306" w:type="dxa"/>
            <w:vAlign w:val="center"/>
          </w:tcPr>
          <w:p w14:paraId="3B576C85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 w:eastAsia="Segoe UI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29.705</w:t>
            </w:r>
          </w:p>
        </w:tc>
        <w:tc>
          <w:tcPr>
            <w:tcW w:w="1527" w:type="dxa"/>
            <w:vAlign w:val="center"/>
          </w:tcPr>
          <w:p w14:paraId="23EAED8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 w:eastAsia="Segoe UI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29.549</w:t>
            </w:r>
          </w:p>
        </w:tc>
        <w:tc>
          <w:tcPr>
            <w:tcW w:w="1306" w:type="dxa"/>
            <w:vAlign w:val="center"/>
          </w:tcPr>
          <w:p w14:paraId="06A72B4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 w:eastAsia="Segoe UI"/>
                <w:b/>
                <w:bCs/>
                <w:lang w:eastAsia="ko-KR"/>
              </w:rPr>
            </w:pPr>
            <w:r>
              <w:rPr>
                <w:rFonts w:ascii="Segoe UI" w:hAnsi="Segoe UI" w:eastAsia="Segoe UI"/>
                <w:b w:val="true"/>
                <w:lang w:eastAsia="ko-KR"/>
              </w:rPr>
              <w:t xml:space="preserve">87.718</w:t>
            </w:r>
          </w:p>
        </w:tc>
      </w:tr>
    </w:tbl>
    <w:p w14:paraId="0904A716" w14:textId="5CDF3EE3" w:rsidR="00294A7D" w:rsidRDefault="00A66923" w:rsidP="00B95A24">
      <w:pPr>
        <w:spacing w:before="80" w:line="240" w:lineRule="auto"/>
        <w:rPr>
          <w:rFonts w:ascii="Segoe UI" w:eastAsia="Segoe UI" w:hAnsi="Segoe UI" w:cs="Times New Roman"/>
          <w:sz w:val="20"/>
          <w:szCs w:val="20"/>
          <w:lang w:eastAsia="ko-KR"/>
        </w:rPr>
      </w:pPr>
      <w:r>
        <w:rPr>
          <w:rFonts w:asciiTheme="minorHAnsi" w:hAnsiTheme="minorHAnsi" w:eastAsiaTheme="minorEastAsia"/>
          <w:sz w:val="20"/>
          <w:lang w:eastAsia="ko-KR"/>
        </w:rPr>
        <w:t xml:space="preserve">참고: 반올림으로 인해 예산 총액의 합계가 일치하지 않을 수 있습니다.</w:t>
      </w:r>
    </w:p>
    <w:p w14:paraId="6F4EA86D" w14:textId="77777777" w:rsidR="00B95A24" w:rsidRPr="00B95A24" w:rsidRDefault="00B95A24" w:rsidP="00B95A24">
      <w:pPr>
        <w:spacing w:before="80" w:line="240" w:lineRule="auto"/>
        <w:rPr>
          <w:rFonts w:ascii="Segoe UI" w:eastAsia="Segoe UI" w:hAnsi="Segoe UI" w:cs="Times New Roman"/>
          <w:sz w:val="20"/>
          <w:szCs w:val="20"/>
          <w:lang w:eastAsia="ko-KR"/>
        </w:rPr>
      </w:pPr>
    </w:p>
    <w:p w14:paraId="70D29E5C" w14:textId="77777777" w:rsidR="00586882" w:rsidRDefault="00586882" w:rsidP="00294A7D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</w:p>
    <w:p w14:paraId="128A9B30" w14:textId="4EA6FFEA" w:rsidR="00294A7D" w:rsidRPr="00CF6C1D" w:rsidRDefault="000724A7" w:rsidP="00294A7D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  <w:r>
        <w:rPr>
          <w:rFonts w:ascii="Segoe UI" w:hAnsi="Segoe UI" w:eastAsia="Segoe UI"/>
          <w:b w:val="true"/>
          <w:lang w:eastAsia="ko-KR"/>
        </w:rPr>
        <w:t xml:space="preserve">도박 부과금(자금 조달 방법)</w:t>
      </w:r>
    </w:p>
    <w:p w14:paraId="6A7029A5" w14:textId="7949269F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피해를 예방하고 최소화하기 위한 모든 활동의 소요 자금은 문제성 도박 부과금(Problem Gambling Levy)에서 나옵니다. 이 부과금은 비카지노 게임기 사업자(포키), 카지노, TAB NZ 및 Lotto NZ 등 4대 도박 부문으로부터 징수합니다.</w:t>
      </w:r>
    </w:p>
    <w:p w14:paraId="3584265B" w14:textId="45FDC4E0" w:rsidR="006D7D41" w:rsidRDefault="006D7D41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</w:p>
    <w:p w14:paraId="6BFA9B65" w14:textId="04F10C04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 부과금 요율은 도박법에 정해진 산식(각 부문이 부담해야 할 금액이 산출)에 따라 결정됩니다.</w:t>
      </w:r>
    </w:p>
    <w:p w14:paraId="507C316F" w14:textId="4710A3B2" w:rsidR="006D7D41" w:rsidRDefault="006D7D41" w:rsidP="00E75E36">
      <w:pPr>
        <w:rPr>
          <w:rFonts w:ascii="Segoe UI" w:hAnsi="Segoe UI" w:cs="Segoe UI" w:eastAsia="Segoe UI"/>
          <w:lang w:eastAsia="ko-KR"/>
        </w:rPr>
      </w:pPr>
    </w:p>
    <w:p w14:paraId="6D857F30" w14:textId="32437174" w:rsidR="00E75E36" w:rsidRPr="00E75E36" w:rsidRDefault="00E75E36" w:rsidP="00E75E36">
      <w:pPr>
        <w:rPr>
          <w:rFonts w:ascii="Segoe U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이 산식에서는 각 부문에서 얼마나 많은 손님들이 돈을 잃었는지(지출)와 얼마나 많은 사람들이 서비스를 이용하는지(이용)를 감안해 4개 부문 각각에 대한 부과율을 계산합니다.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부과금은 새로운 전략의 개발과 함께 3년마다 재검토합니다.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다음 부과금 기간은 2025년 7월 1일부터 2028년 6월 30일까지입니다.</w:t>
      </w:r>
    </w:p>
    <w:p w14:paraId="356D468E" w14:textId="1370150F" w:rsidR="00E75E36" w:rsidRPr="00E75E36" w:rsidRDefault="00E75E36" w:rsidP="00E75E36">
      <w:pPr>
        <w:rPr>
          <w:rFonts w:ascii="Segoe UI" w:hAnsi="Segoe UI" w:cs="Segoe UI" w:eastAsia="Segoe UI"/>
          <w:lang w:eastAsia="ko-KR"/>
        </w:rPr>
      </w:pPr>
    </w:p>
    <w:p w14:paraId="4D00B454" w14:textId="4CF559B8" w:rsidR="00222E52" w:rsidRPr="0037533A" w:rsidRDefault="0099297D" w:rsidP="0037533A">
      <w:pPr>
        <w:rPr>
          <w:rFonts w:ascii="Segoe U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제안 보고서에서는 각 부문이 부담할 부과금 액수를 결정하는 서로 다른 4가지 부과금 가중치 방안을 검토합니다.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TAB NZ를 제외한 각 도박 부문에 대해 제안된 2025/26 ~ 2027/28 부과금 요율은 어느 가중치 방안 하에서든 현재 부과금 기간의 요울보다 높을 것입니다.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카지노가 아닌 게임기 사업자는 모든 방안에서 가장 많은 비용을 부담합니다.</w:t>
      </w:r>
    </w:p>
    <w:p w14:paraId="0E67B8A4" w14:textId="77777777" w:rsidR="00222E52" w:rsidRDefault="00222E52" w:rsidP="004C1264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</w:p>
    <w:p w14:paraId="358491D4" w14:textId="77777777" w:rsidR="00222E52" w:rsidRDefault="004C1264" w:rsidP="00222E52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  <w:r>
        <w:rPr>
          <w:rFonts w:ascii="Segoe UI" w:hAnsi="Segoe UI" w:eastAsia="Segoe UI"/>
          <w:b w:val="true"/>
          <w:lang w:eastAsia="ko-KR"/>
        </w:rPr>
        <w:t xml:space="preserve">의견 수렴 방법</w:t>
      </w:r>
    </w:p>
    <w:p w14:paraId="2C91207D" w14:textId="77777777" w:rsidR="00222E52" w:rsidRDefault="007C68ED" w:rsidP="00222E52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  <w:r>
        <w:rPr>
          <w:rFonts w:ascii="Segoe UI" w:hAnsi="Segoe UI" w:eastAsia="Segoe UI"/>
          <w:lang w:eastAsia="ko-KR"/>
        </w:rPr>
        <w:t xml:space="preserve">정부와 보건부는 여러분의 생각을 듣고자 합니다.</w:t>
      </w:r>
      <w:r>
        <w:rPr>
          <w:rFonts w:ascii="Segoe UI" w:hAnsi="Segoe UI" w:eastAsia="Segoe UI"/>
          <w:lang w:eastAsia="ko-KR"/>
        </w:rPr>
        <w:t xml:space="preserve"> </w:t>
      </w:r>
    </w:p>
    <w:p w14:paraId="329F4D81" w14:textId="6E376187" w:rsidR="00222E52" w:rsidRDefault="004C1264" w:rsidP="00222E52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  <w:r>
        <w:rPr>
          <w:rFonts w:ascii="Segoe UI" w:hAnsi="Segoe UI" w:eastAsia="Segoe UI"/>
          <w:lang w:eastAsia="ko-KR"/>
        </w:rPr>
        <w:t xml:space="preserve">여러분의 의견은 중요하며, 도박 피해 예방 및 최소화 전략 2025/26 ~ 2027/28 최종안의 기초 자료가 될 것입니다.</w:t>
      </w:r>
      <w:r>
        <w:rPr>
          <w:rFonts w:ascii="Segoe UI" w:hAnsi="Segoe UI" w:eastAsia="Segoe UI"/>
          <w:lang w:eastAsia="ko-KR"/>
        </w:rPr>
        <w:t xml:space="preserve"> </w:t>
      </w:r>
    </w:p>
    <w:p w14:paraId="0D802A5B" w14:textId="697474E1" w:rsidR="004C1264" w:rsidRPr="00222E52" w:rsidRDefault="007759C4" w:rsidP="00222E52">
      <w:pPr>
        <w:spacing w:before="120" w:after="120" w:line="240" w:lineRule="auto"/>
        <w:rPr>
          <w:rFonts w:ascii="Segoe UI" w:eastAsiaTheme="minorEastAsia" w:hAnsi="Segoe UI" w:cs="Segoe UI" w:eastAsia="Segoe UI"/>
          <w:b/>
          <w:bCs/>
          <w:lang w:eastAsia="ko-KR"/>
        </w:rPr>
      </w:pPr>
      <w:r>
        <w:rPr>
          <w:rFonts w:ascii="Segoe UI" w:hAnsi="Segoe UI" w:eastAsia="Segoe UI"/>
          <w:lang w:eastAsia="ko-KR"/>
        </w:rPr>
        <w:t xml:space="preserve">우리가 집중하는 방향이 올바르다고 생각하시는지, 아니면 우리가 무언가 놓치고 있는지 알고 싶습니다.</w:t>
      </w:r>
    </w:p>
    <w:p w14:paraId="01F904B2" w14:textId="7F428183" w:rsidR="002A0BEB" w:rsidRDefault="002A0BEB" w:rsidP="004C1264">
      <w:pPr>
        <w:keepNext/>
        <w:keepLines/>
        <w:spacing w:after="160" w:line="259" w:lineRule="auto"/>
        <w:rPr>
          <w:rFonts w:ascii="Segoe UI" w:eastAsiaTheme="minorHAns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여러분의 의견을 파악하기 위한 몇 가지 질문:</w:t>
      </w:r>
    </w:p>
    <w:p w14:paraId="65955363" w14:textId="5BB93E4B" w:rsidR="00D13D11" w:rsidRPr="003C1765" w:rsidRDefault="00D13D1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전략 계획의 중점 사항에 동의하십니까?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아니라면 그 이유는 무엇일까요?</w:t>
      </w:r>
    </w:p>
    <w:p w14:paraId="07E786D7" w14:textId="41CE70C4" w:rsidR="008A2B8D" w:rsidRPr="003C1765" w:rsidRDefault="008A2B8D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서비스 계획의 중점 사항에 동의하십니까?</w:t>
      </w:r>
      <w:r>
        <w:rPr>
          <w:rFonts w:ascii="Segoe UI" w:hAnsi="Segoe UI" w:eastAsia="Segoe UI"/>
          <w:lang w:eastAsia="ko-KR"/>
        </w:rPr>
        <w:t xml:space="preserve"> </w:t>
      </w:r>
      <w:r>
        <w:rPr>
          <w:rFonts w:ascii="Segoe UI" w:hAnsi="Segoe UI" w:eastAsia="Segoe UI"/>
          <w:lang w:eastAsia="ko-KR"/>
        </w:rPr>
        <w:t xml:space="preserve">아니라면 그 이유는 무엇일까요?</w:t>
      </w:r>
    </w:p>
    <w:p w14:paraId="6970D7DD" w14:textId="40FC2145" w:rsidR="0061745C" w:rsidRPr="003C1765" w:rsidRDefault="00560CC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도박 부과금에 대해 의견이 있으신가요?</w:t>
      </w:r>
    </w:p>
    <w:p w14:paraId="3C530732" w14:textId="109D9C24" w:rsidR="00AE461E" w:rsidRPr="003C1765" w:rsidRDefault="00AE461E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전략 초안이나 일반적인 도박 피해에 대해 기타 다른 의견이 있으신가요?</w:t>
      </w:r>
    </w:p>
    <w:p w14:paraId="1EA4DBF4" w14:textId="6886284A" w:rsidR="002C488B" w:rsidRDefault="00295784" w:rsidP="009742FF">
      <w:pPr>
        <w:spacing w:before="120" w:after="120" w:line="240" w:lineRule="auto"/>
        <w:rPr>
          <w:rFonts w:ascii="Segoe UI" w:eastAsiaTheme="minorHAnsi" w:hAnsi="Segoe UI" w:cs="Segoe UI" w:eastAsia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제안 보고서 전문은 보건부 웹사이트의 '도박 피해 예방 및 최소화 전략' 의견 수렴 페이지에서 확인할 수 있습니다.</w:t>
      </w:r>
    </w:p>
    <w:p w14:paraId="77634B57" w14:textId="77777777" w:rsidR="009742FF" w:rsidRPr="009742FF" w:rsidRDefault="009742FF" w:rsidP="009742FF">
      <w:pPr>
        <w:spacing w:before="120" w:after="120" w:line="240" w:lineRule="auto"/>
        <w:rPr>
          <w:rFonts w:ascii="Segoe UI" w:eastAsiaTheme="minorHAnsi" w:hAnsi="Segoe UI" w:cs="Segoe UI" w:eastAsia="Segoe UI"/>
          <w:lang w:eastAsia="ko-KR"/>
        </w:rPr>
      </w:pPr>
    </w:p>
    <w:p w14:paraId="1D275E11" w14:textId="77777777" w:rsidR="00B95A24" w:rsidRDefault="00DF58B0" w:rsidP="00B95A24">
      <w:pPr>
        <w:rPr>
          <w:rFonts w:ascii="Segoe UI" w:eastAsia="Segoe UI" w:hAnsi="Segoe UI" w:cs="Times New Roman"/>
          <w:b/>
          <w:bCs/>
          <w:lang w:eastAsia="ko-KR"/>
        </w:rPr>
      </w:pPr>
      <w:r>
        <w:rPr>
          <w:rFonts w:ascii="Segoe UI" w:hAnsi="Segoe UI" w:eastAsia="Segoe UI"/>
          <w:b w:val="true"/>
          <w:lang w:eastAsia="ko-KR"/>
        </w:rPr>
        <w:t xml:space="preserve">의견 수렴 기간은 2024년 10월 6일까지입니다.</w:t>
      </w:r>
    </w:p>
    <w:p w14:paraId="4B9A4F58" w14:textId="77777777" w:rsidR="00B95A24" w:rsidRDefault="00B95A24" w:rsidP="00B95A24">
      <w:pPr>
        <w:rPr>
          <w:rFonts w:ascii="Segoe UI" w:eastAsia="Segoe UI" w:hAnsi="Segoe UI" w:cs="Times New Roman"/>
          <w:b/>
          <w:bCs/>
          <w:lang w:eastAsia="ko-KR"/>
        </w:rPr>
      </w:pPr>
    </w:p>
    <w:p w14:paraId="08E5AEA4" w14:textId="0A5074B7" w:rsidR="004C1264" w:rsidRPr="00B95A24" w:rsidRDefault="004C1264" w:rsidP="00B95A24">
      <w:pPr>
        <w:rPr>
          <w:rFonts w:ascii="Segoe UI" w:eastAsia="Segoe UI" w:hAnsi="Segoe UI" w:cs="Times New Roman"/>
          <w:b/>
          <w:bCs/>
          <w:lang w:eastAsia="ko-KR"/>
        </w:rPr>
      </w:pPr>
      <w:r>
        <w:rPr>
          <w:rFonts w:ascii="Segoe UI" w:hAnsi="Segoe UI" w:eastAsia="Segoe UI"/>
          <w:lang w:eastAsia="ko-KR"/>
        </w:rPr>
        <w:t xml:space="preserve">다음과 같은 방법으로 의견을 제출하실 수 있습니다.</w:t>
      </w:r>
    </w:p>
    <w:p w14:paraId="6E698B4A" w14:textId="77777777" w:rsidR="004C1264" w:rsidRPr="004C1264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Segoe UI" w:hAnsi="Segoe UI" w:cs="Segoe UI"/>
          <w:lang w:eastAsia="ko-KR"/>
        </w:rPr>
      </w:pPr>
      <w:hyperlink r:id="rId7" w:history="1">
        <w:r>
          <w:rPr>
            <w:rFonts w:ascii="Segoe UI" w:hAnsi="Segoe UI" w:eastAsia="Segoe UI"/>
            <w:b w:val="true"/>
            <w:color w:val="595959" w:themeColor="text1" w:themeTint="A6"/>
            <w:lang w:eastAsia="ko-KR"/>
          </w:rPr>
          <w:t xml:space="preserve">https://consult.health.govt.nz</w:t>
        </w:r>
      </w:hyperlink>
      <w:r>
        <w:rPr>
          <w:rFonts w:ascii="Segoe UI" w:hAnsi="Segoe UI" w:eastAsia="Segoe UI"/>
          <w:lang w:eastAsia="ko-KR"/>
        </w:rPr>
        <w:t xml:space="preserve">에서 온라인 제출</w:t>
      </w:r>
    </w:p>
    <w:p w14:paraId="31F300E8" w14:textId="3CC0CB90" w:rsidR="004C1264" w:rsidRPr="00A10A05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Segoe UI" w:hAnsi="Segoe UI" w:cs="Segoe UI"/>
          <w:lang w:eastAsia="ko-KR"/>
        </w:rPr>
      </w:pPr>
      <w:r>
        <w:rPr>
          <w:rFonts w:ascii="Segoe UI" w:hAnsi="Segoe UI" w:eastAsia="Segoe UI"/>
          <w:lang w:eastAsia="ko-KR"/>
        </w:rPr>
        <w:t xml:space="preserve">공청회 참석 – 세부 사항은 </w:t>
      </w:r>
      <w:hyperlink r:id="rId8" w:history="1">
        <w:r>
          <w:rPr>
            <w:rFonts w:ascii="Segoe UI" w:hAnsi="Segoe UI" w:eastAsia="Segoe UI"/>
            <w:b w:val="true"/>
            <w:color w:val="595959" w:themeColor="text1" w:themeTint="A6"/>
            <w:lang w:eastAsia="ko-KR"/>
          </w:rPr>
          <w:t xml:space="preserve">https://consult.health.govt.nz</w:t>
        </w:r>
      </w:hyperlink>
      <w:r>
        <w:rPr>
          <w:rFonts w:ascii="Segoe UI" w:hAnsi="Segoe UI" w:eastAsia="Segoe UI"/>
          <w:lang w:eastAsia="ko-KR"/>
        </w:rPr>
        <w:t xml:space="preserve">에서 확인</w:t>
      </w:r>
    </w:p>
    <w:p w14:paraId="302F20AA" w14:textId="6759B423" w:rsidR="00A10A05" w:rsidRPr="00A10A05" w:rsidRDefault="00A10A05" w:rsidP="0044283E">
      <w:pPr>
        <w:pStyle w:val="ListParagraph"/>
        <w:keepLines/>
        <w:numPr>
          <w:ilvl w:val="0"/>
          <w:numId w:val="25"/>
        </w:numPr>
        <w:spacing w:after="160"/>
        <w:ind w:left="425" w:hanging="357"/>
        <w:contextualSpacing w:val="0"/>
        <w:rPr>
          <w:rFonts w:ascii="Segoe UI" w:eastAsia="Segoe UI" w:hAnsi="Segoe UI" w:cs="Segoe UI"/>
          <w:lang w:eastAsia="ko-KR"/>
        </w:rPr>
      </w:pPr>
      <w:hyperlink r:id="rId9" w:history="1">
        <w:r>
          <w:rPr>
            <w:rStyle w:val="Hyperlink"/>
            <w:rFonts w:ascii="Segoe UI" w:hAnsi="Segoe UI" w:eastAsia="Segoe UI"/>
            <w:b w:val="true"/>
            <w:lang w:eastAsia="ko-KR"/>
          </w:rPr>
          <w:t xml:space="preserve">gamblingharm@health.govt.nz</w:t>
        </w:r>
      </w:hyperlink>
      <w:r>
        <w:rPr>
          <w:rFonts w:ascii="Segoe UI" w:hAnsi="Segoe UI" w:eastAsia="Segoe UI"/>
          <w:lang w:eastAsia="ko-KR"/>
        </w:rPr>
        <w:t xml:space="preserve">로 이메일 제출</w:t>
      </w:r>
    </w:p>
    <w:p w14:paraId="12C94DD3" w14:textId="77777777" w:rsidR="00A10A05" w:rsidRPr="004C1264" w:rsidRDefault="00A10A05" w:rsidP="00A10A05">
      <w:pPr>
        <w:pStyle w:val="ListParagraph"/>
        <w:keepLines/>
        <w:spacing w:after="160" w:line="240" w:lineRule="auto"/>
        <w:rPr>
          <w:rFonts w:ascii="Segoe UI" w:eastAsia="Segoe UI" w:hAnsi="Segoe UI" w:cs="Segoe UI"/>
          <w:lang w:eastAsia="ko-KR"/>
        </w:rPr>
      </w:pPr>
    </w:p>
    <w:sectPr w:rsidR="00A10A05" w:rsidRPr="004C12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B4D6" w14:textId="77777777" w:rsidR="00B64FEA" w:rsidRDefault="00B64FEA" w:rsidP="00917215">
      <w:pPr>
        <w:spacing w:line="240" w:lineRule="auto"/>
      </w:pPr>
      <w:r>
        <w:rPr>
          <w:lang w:eastAsia="ko-KR"/>
          <w:rFonts/>
        </w:rPr>
        <w:separator/>
      </w:r>
    </w:p>
  </w:endnote>
  <w:endnote w:type="continuationSeparator" w:id="0">
    <w:p w14:paraId="0BC7076B" w14:textId="77777777" w:rsidR="00B64FEA" w:rsidRDefault="00B64FEA" w:rsidP="00917215">
      <w:pPr>
        <w:spacing w:line="240" w:lineRule="auto"/>
      </w:pPr>
      <w:r>
        <w:rPr>
          <w:lang w:eastAsia="ko-KR"/>
          <w:rFonts/>
        </w:rPr>
        <w:continuationSeparator/>
      </w:r>
    </w:p>
  </w:endnote>
  <w:endnote w:type="continuationNotice" w:id="1">
    <w:p w14:paraId="219CCA9A" w14:textId="77777777" w:rsidR="00B64FEA" w:rsidRDefault="00B64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754235"/>
      <w:docPartObj>
        <w:docPartGallery w:val="Page Numbers (Bottom of Page)"/>
        <w:docPartUnique/>
      </w:docPartObj>
    </w:sdtPr>
    <w:sdtEndPr>
      <w:rPr>
        <w:lang w:eastAsia="ko-KR"/>
        <w:rFonts/>
      </w:rPr>
    </w:sdtEndPr>
    <w:sdtContent>
      <w:p w14:paraId="006145A1" w14:textId="4453DFD8" w:rsidR="00B2604C" w:rsidRDefault="00B2604C">
        <w:pPr>
          <w:pStyle w:val="Footer"/>
          <w:jc w:val="right"/>
        </w:pPr>
        <w:r>
          <w:rPr>
            <w:lang w:eastAsia="ko-KR"/>
            <w:rFonts/>
          </w:rPr>
          <w:fldChar w:fldCharType="begin"/>
        </w:r>
        <w:r>
          <w:rPr>
            <w:lang w:eastAsia="ko-KR"/>
            <w:rFonts/>
          </w:rPr>
          <w:instrText xml:space="preserve"> PAGE   \* MERGEFORMAT </w:instrText>
        </w:r>
        <w:r>
          <w:rPr>
            <w:lang w:eastAsia="ko-KR"/>
            <w:rFonts/>
          </w:rPr>
          <w:fldChar w:fldCharType="separate"/>
        </w:r>
        <w:r>
          <w:rPr>
            <w:lang w:eastAsia="ko-KR"/>
            <w:rFonts/>
          </w:rPr>
          <w:t xml:space="preserve">2</w:t>
        </w:r>
        <w:r>
          <w:rPr>
            <w:lang w:eastAsia="ko-KR"/>
            <w:rFonts/>
          </w:rPr>
          <w:fldChar w:fldCharType="end"/>
        </w:r>
      </w:p>
    </w:sdtContent>
  </w:sdt>
  <w:p w14:paraId="032A9849" w14:textId="77777777" w:rsidR="00917215" w:rsidRDefault="0091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B2BF" w14:textId="77777777" w:rsidR="00B64FEA" w:rsidRDefault="00B64FEA" w:rsidP="00917215">
      <w:pPr>
        <w:spacing w:line="240" w:lineRule="auto"/>
      </w:pPr>
      <w:r>
        <w:rPr>
          <w:lang w:eastAsia="ko-KR"/>
          <w:rFonts/>
        </w:rPr>
        <w:separator/>
      </w:r>
    </w:p>
  </w:footnote>
  <w:footnote w:type="continuationSeparator" w:id="0">
    <w:p w14:paraId="7AE5D558" w14:textId="77777777" w:rsidR="00B64FEA" w:rsidRDefault="00B64FEA" w:rsidP="00917215">
      <w:pPr>
        <w:spacing w:line="240" w:lineRule="auto"/>
      </w:pPr>
      <w:r>
        <w:rPr>
          <w:lang w:eastAsia="ko-KR"/>
          <w:rFonts/>
        </w:rPr>
        <w:continuationSeparator/>
      </w:r>
    </w:p>
  </w:footnote>
  <w:footnote w:type="continuationNotice" w:id="1">
    <w:p w14:paraId="6DB6FECD" w14:textId="77777777" w:rsidR="00B64FEA" w:rsidRDefault="00B64FE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5FE"/>
    <w:multiLevelType w:val="multilevel"/>
    <w:tmpl w:val="FAA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" w15:restartNumberingAfterBreak="0">
    <w:nsid w:val="02E11719"/>
    <w:multiLevelType w:val="multilevel"/>
    <w:tmpl w:val="7AE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2" w15:restartNumberingAfterBreak="0">
    <w:nsid w:val="07B5689E"/>
    <w:multiLevelType w:val="multilevel"/>
    <w:tmpl w:val="6CA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3" w15:restartNumberingAfterBreak="0">
    <w:nsid w:val="0B167917"/>
    <w:multiLevelType w:val="multilevel"/>
    <w:tmpl w:val="707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4" w15:restartNumberingAfterBreak="0">
    <w:nsid w:val="0C946BC4"/>
    <w:multiLevelType w:val="multilevel"/>
    <w:tmpl w:val="2E223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 w:eastAsia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 w:eastAsia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 w:eastAsia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 w:eastAsia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abstractNum w:abstractNumId="5" w15:restartNumberingAfterBreak="0">
    <w:nsid w:val="0F0735BF"/>
    <w:multiLevelType w:val="multilevel"/>
    <w:tmpl w:val="40B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6" w15:restartNumberingAfterBreak="0">
    <w:nsid w:val="14C21840"/>
    <w:multiLevelType w:val="multilevel"/>
    <w:tmpl w:val="E6B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7" w15:restartNumberingAfterBreak="0">
    <w:nsid w:val="14DC78FD"/>
    <w:multiLevelType w:val="multilevel"/>
    <w:tmpl w:val="B77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8" w15:restartNumberingAfterBreak="0">
    <w:nsid w:val="1B3623B7"/>
    <w:multiLevelType w:val="multilevel"/>
    <w:tmpl w:val="A91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9" w15:restartNumberingAfterBreak="0">
    <w:nsid w:val="1DE46DF4"/>
    <w:multiLevelType w:val="multilevel"/>
    <w:tmpl w:val="D51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0" w15:restartNumberingAfterBreak="0">
    <w:nsid w:val="1F1804B7"/>
    <w:multiLevelType w:val="multilevel"/>
    <w:tmpl w:val="081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1" w15:restartNumberingAfterBreak="0">
    <w:nsid w:val="24E4BA7E"/>
    <w:multiLevelType w:val="multilevel"/>
    <w:tmpl w:val="B232D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 w:eastAsia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 w:eastAsia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 w:eastAsia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 w:eastAsia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abstractNum w:abstractNumId="12" w15:restartNumberingAfterBreak="0">
    <w:nsid w:val="27452E46"/>
    <w:multiLevelType w:val="hybridMultilevel"/>
    <w:tmpl w:val="BF9A04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 w:eastAsia="Courier New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 w:eastAsia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 w:eastAsia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abstractNum w:abstractNumId="13" w15:restartNumberingAfterBreak="0">
    <w:nsid w:val="2C8E111F"/>
    <w:multiLevelType w:val="multilevel"/>
    <w:tmpl w:val="264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4" w15:restartNumberingAfterBreak="0">
    <w:nsid w:val="385D76B2"/>
    <w:multiLevelType w:val="multilevel"/>
    <w:tmpl w:val="D82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5" w15:restartNumberingAfterBreak="0">
    <w:nsid w:val="486E5B67"/>
    <w:multiLevelType w:val="multilevel"/>
    <w:tmpl w:val="4A6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6" w15:restartNumberingAfterBreak="0">
    <w:nsid w:val="4AAD0D0E"/>
    <w:multiLevelType w:val="multilevel"/>
    <w:tmpl w:val="F0D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7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 w:eastAsia="Symbol"/>
      </w:rPr>
    </w:lvl>
    <w:lvl w:ilvl="1" w:tplc="06901BF6">
      <w:start w:val="1"/>
      <w:numFmt w:val="bullet"/>
      <w:pStyle w:val="Second-levelbullets"/>
      <w:lvlText w:val="o"/>
      <w:lvlJc w:val="left"/>
      <w:pPr>
        <w:ind w:left="1080" w:hanging="360"/>
      </w:pPr>
      <w:rPr>
        <w:rFonts w:ascii="Courier New" w:hAnsi="Courier New" w:cs="Courier New" w:hint="default" w:eastAsia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 w:eastAsia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 w:eastAsia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 w:eastAsia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 w:eastAsia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 w:eastAsia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 w:eastAsia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 w:eastAsia="Wingdings"/>
      </w:rPr>
    </w:lvl>
  </w:abstractNum>
  <w:abstractNum w:abstractNumId="18" w15:restartNumberingAfterBreak="0">
    <w:nsid w:val="5D985DE0"/>
    <w:multiLevelType w:val="multilevel"/>
    <w:tmpl w:val="6E5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19" w15:restartNumberingAfterBreak="0">
    <w:nsid w:val="5E565CD5"/>
    <w:multiLevelType w:val="multilevel"/>
    <w:tmpl w:val="305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20" w15:restartNumberingAfterBreak="0">
    <w:nsid w:val="6154106C"/>
    <w:multiLevelType w:val="hybridMultilevel"/>
    <w:tmpl w:val="8304AB5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 w:eastAsia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 w:eastAsia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 w:eastAsia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 w:eastAsia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 w:eastAsia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 w:eastAsia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 w:eastAsia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 w:eastAsia="Wingdings"/>
      </w:rPr>
    </w:lvl>
  </w:abstractNum>
  <w:abstractNum w:abstractNumId="21" w15:restartNumberingAfterBreak="0">
    <w:nsid w:val="624D763C"/>
    <w:multiLevelType w:val="hybridMultilevel"/>
    <w:tmpl w:val="72F492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2ADE"/>
    <w:multiLevelType w:val="multilevel"/>
    <w:tmpl w:val="678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23" w15:restartNumberingAfterBreak="0">
    <w:nsid w:val="778F03BB"/>
    <w:multiLevelType w:val="hybridMultilevel"/>
    <w:tmpl w:val="F2F40B8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 w:eastAsia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 w:eastAsia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 w:eastAsia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 w:eastAsia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 w:eastAsia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 w:eastAsia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 w:eastAsia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 w:eastAsia="Wingdings"/>
      </w:rPr>
    </w:lvl>
  </w:abstractNum>
  <w:abstractNum w:abstractNumId="24" w15:restartNumberingAfterBreak="0">
    <w:nsid w:val="7AFC6716"/>
    <w:multiLevelType w:val="multilevel"/>
    <w:tmpl w:val="F5D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25" w15:restartNumberingAfterBreak="0">
    <w:nsid w:val="7B860D60"/>
    <w:multiLevelType w:val="multilevel"/>
    <w:tmpl w:val="A99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 w:eastAsia="Symbol"/>
        <w:sz w:val="20"/>
      </w:rPr>
    </w:lvl>
  </w:abstractNum>
  <w:abstractNum w:abstractNumId="26" w15:restartNumberingAfterBreak="0">
    <w:nsid w:val="7CFD4F64"/>
    <w:multiLevelType w:val="hybridMultilevel"/>
    <w:tmpl w:val="C64495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 w:eastAsia="Courier New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 w:eastAsia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 w:eastAsia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num w:numId="1" w16cid:durableId="2026202306">
    <w:abstractNumId w:val="6"/>
  </w:num>
  <w:num w:numId="2" w16cid:durableId="1102847235">
    <w:abstractNumId w:val="0"/>
  </w:num>
  <w:num w:numId="3" w16cid:durableId="953488751">
    <w:abstractNumId w:val="14"/>
  </w:num>
  <w:num w:numId="4" w16cid:durableId="1698265804">
    <w:abstractNumId w:val="10"/>
  </w:num>
  <w:num w:numId="5" w16cid:durableId="1158182014">
    <w:abstractNumId w:val="5"/>
  </w:num>
  <w:num w:numId="6" w16cid:durableId="1204518841">
    <w:abstractNumId w:val="2"/>
  </w:num>
  <w:num w:numId="7" w16cid:durableId="749279189">
    <w:abstractNumId w:val="24"/>
  </w:num>
  <w:num w:numId="8" w16cid:durableId="2029983799">
    <w:abstractNumId w:val="25"/>
  </w:num>
  <w:num w:numId="9" w16cid:durableId="423960709">
    <w:abstractNumId w:val="9"/>
  </w:num>
  <w:num w:numId="10" w16cid:durableId="1077440953">
    <w:abstractNumId w:val="8"/>
  </w:num>
  <w:num w:numId="11" w16cid:durableId="305354126">
    <w:abstractNumId w:val="13"/>
  </w:num>
  <w:num w:numId="12" w16cid:durableId="1668171962">
    <w:abstractNumId w:val="22"/>
  </w:num>
  <w:num w:numId="13" w16cid:durableId="1205219696">
    <w:abstractNumId w:val="16"/>
  </w:num>
  <w:num w:numId="14" w16cid:durableId="1517186656">
    <w:abstractNumId w:val="18"/>
  </w:num>
  <w:num w:numId="15" w16cid:durableId="929238985">
    <w:abstractNumId w:val="1"/>
  </w:num>
  <w:num w:numId="16" w16cid:durableId="878400956">
    <w:abstractNumId w:val="19"/>
  </w:num>
  <w:num w:numId="17" w16cid:durableId="1277906667">
    <w:abstractNumId w:val="3"/>
  </w:num>
  <w:num w:numId="18" w16cid:durableId="1250893579">
    <w:abstractNumId w:val="7"/>
  </w:num>
  <w:num w:numId="19" w16cid:durableId="662050024">
    <w:abstractNumId w:val="23"/>
  </w:num>
  <w:num w:numId="20" w16cid:durableId="705451250">
    <w:abstractNumId w:val="20"/>
  </w:num>
  <w:num w:numId="21" w16cid:durableId="345062595">
    <w:abstractNumId w:val="11"/>
  </w:num>
  <w:num w:numId="22" w16cid:durableId="1000281093">
    <w:abstractNumId w:val="4"/>
  </w:num>
  <w:num w:numId="23" w16cid:durableId="812790054">
    <w:abstractNumId w:val="17"/>
  </w:num>
  <w:num w:numId="24" w16cid:durableId="921791687">
    <w:abstractNumId w:val="15"/>
  </w:num>
  <w:num w:numId="25" w16cid:durableId="1366901673">
    <w:abstractNumId w:val="26"/>
  </w:num>
  <w:num w:numId="26" w16cid:durableId="1423455174">
    <w:abstractNumId w:val="21"/>
  </w:num>
  <w:num w:numId="27" w16cid:durableId="657347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D"/>
    <w:rsid w:val="00001882"/>
    <w:rsid w:val="00005BF1"/>
    <w:rsid w:val="00006A72"/>
    <w:rsid w:val="00043148"/>
    <w:rsid w:val="00067D25"/>
    <w:rsid w:val="000724A7"/>
    <w:rsid w:val="000B5F19"/>
    <w:rsid w:val="000B7920"/>
    <w:rsid w:val="000E0924"/>
    <w:rsid w:val="000E69AB"/>
    <w:rsid w:val="001139AB"/>
    <w:rsid w:val="00121D30"/>
    <w:rsid w:val="00142A16"/>
    <w:rsid w:val="00154F1B"/>
    <w:rsid w:val="00166758"/>
    <w:rsid w:val="00171CB3"/>
    <w:rsid w:val="00174B5F"/>
    <w:rsid w:val="00182640"/>
    <w:rsid w:val="001A3DCC"/>
    <w:rsid w:val="001A7717"/>
    <w:rsid w:val="001C06F9"/>
    <w:rsid w:val="001C4CBA"/>
    <w:rsid w:val="00222E52"/>
    <w:rsid w:val="00230769"/>
    <w:rsid w:val="00234818"/>
    <w:rsid w:val="00272FFB"/>
    <w:rsid w:val="00294A7D"/>
    <w:rsid w:val="00295784"/>
    <w:rsid w:val="002963B8"/>
    <w:rsid w:val="002A0BEB"/>
    <w:rsid w:val="002B1D3A"/>
    <w:rsid w:val="002B7953"/>
    <w:rsid w:val="002C488B"/>
    <w:rsid w:val="002C534B"/>
    <w:rsid w:val="002D2EBC"/>
    <w:rsid w:val="002D5DA2"/>
    <w:rsid w:val="0031247F"/>
    <w:rsid w:val="00314F23"/>
    <w:rsid w:val="00347171"/>
    <w:rsid w:val="0037533A"/>
    <w:rsid w:val="00384346"/>
    <w:rsid w:val="003904BB"/>
    <w:rsid w:val="003B099B"/>
    <w:rsid w:val="003C1765"/>
    <w:rsid w:val="003D64B0"/>
    <w:rsid w:val="003F1CDF"/>
    <w:rsid w:val="0044283E"/>
    <w:rsid w:val="00466712"/>
    <w:rsid w:val="004750C3"/>
    <w:rsid w:val="00490F05"/>
    <w:rsid w:val="004A0655"/>
    <w:rsid w:val="004A1446"/>
    <w:rsid w:val="004C1264"/>
    <w:rsid w:val="00504123"/>
    <w:rsid w:val="00512B97"/>
    <w:rsid w:val="00560CC1"/>
    <w:rsid w:val="00561207"/>
    <w:rsid w:val="005704A7"/>
    <w:rsid w:val="00570E36"/>
    <w:rsid w:val="00586882"/>
    <w:rsid w:val="005B343E"/>
    <w:rsid w:val="005C37A1"/>
    <w:rsid w:val="005D6E5B"/>
    <w:rsid w:val="00605CAF"/>
    <w:rsid w:val="0061745C"/>
    <w:rsid w:val="00655769"/>
    <w:rsid w:val="00666C54"/>
    <w:rsid w:val="0067031D"/>
    <w:rsid w:val="00680AEE"/>
    <w:rsid w:val="00684E10"/>
    <w:rsid w:val="00690BA4"/>
    <w:rsid w:val="00693A94"/>
    <w:rsid w:val="006C1E05"/>
    <w:rsid w:val="006D7D41"/>
    <w:rsid w:val="00711FD2"/>
    <w:rsid w:val="007232A6"/>
    <w:rsid w:val="00733F03"/>
    <w:rsid w:val="00753218"/>
    <w:rsid w:val="007759C4"/>
    <w:rsid w:val="00776DAE"/>
    <w:rsid w:val="007C1C29"/>
    <w:rsid w:val="007C68ED"/>
    <w:rsid w:val="007D318A"/>
    <w:rsid w:val="0080494D"/>
    <w:rsid w:val="00835F42"/>
    <w:rsid w:val="008A2B8D"/>
    <w:rsid w:val="00910CD9"/>
    <w:rsid w:val="00915229"/>
    <w:rsid w:val="00917215"/>
    <w:rsid w:val="00921449"/>
    <w:rsid w:val="009532D7"/>
    <w:rsid w:val="009742FF"/>
    <w:rsid w:val="009743CB"/>
    <w:rsid w:val="0099297D"/>
    <w:rsid w:val="009B32C0"/>
    <w:rsid w:val="009B6DF7"/>
    <w:rsid w:val="009F7904"/>
    <w:rsid w:val="00A10A05"/>
    <w:rsid w:val="00A331B9"/>
    <w:rsid w:val="00A66923"/>
    <w:rsid w:val="00AA7828"/>
    <w:rsid w:val="00AD4890"/>
    <w:rsid w:val="00AE461E"/>
    <w:rsid w:val="00B12F08"/>
    <w:rsid w:val="00B2604C"/>
    <w:rsid w:val="00B324FA"/>
    <w:rsid w:val="00B40C38"/>
    <w:rsid w:val="00B45D59"/>
    <w:rsid w:val="00B64FEA"/>
    <w:rsid w:val="00B95A24"/>
    <w:rsid w:val="00BA3E22"/>
    <w:rsid w:val="00BC414C"/>
    <w:rsid w:val="00C36AC7"/>
    <w:rsid w:val="00C723EA"/>
    <w:rsid w:val="00C92B07"/>
    <w:rsid w:val="00C962E5"/>
    <w:rsid w:val="00CB4EC1"/>
    <w:rsid w:val="00D045BF"/>
    <w:rsid w:val="00D13D11"/>
    <w:rsid w:val="00D503D1"/>
    <w:rsid w:val="00D51CE1"/>
    <w:rsid w:val="00D64356"/>
    <w:rsid w:val="00D8400E"/>
    <w:rsid w:val="00DB7CEC"/>
    <w:rsid w:val="00DF58B0"/>
    <w:rsid w:val="00E1366D"/>
    <w:rsid w:val="00E20FF8"/>
    <w:rsid w:val="00E23541"/>
    <w:rsid w:val="00E556C7"/>
    <w:rsid w:val="00E61B4C"/>
    <w:rsid w:val="00E70AB4"/>
    <w:rsid w:val="00E75E36"/>
    <w:rsid w:val="00E80622"/>
    <w:rsid w:val="00E93F1E"/>
    <w:rsid w:val="00EC77CE"/>
    <w:rsid w:val="00ED2065"/>
    <w:rsid w:val="00ED6DC3"/>
    <w:rsid w:val="00EE6675"/>
    <w:rsid w:val="00F119A2"/>
    <w:rsid w:val="00F33D09"/>
    <w:rsid w:val="00F43C87"/>
    <w:rsid w:val="00F4425B"/>
    <w:rsid w:val="00F602AB"/>
    <w:rsid w:val="00FB7F2A"/>
    <w:rsid w:val="00FD0183"/>
    <w:rsid w:val="070D5316"/>
    <w:rsid w:val="150CE7F6"/>
    <w:rsid w:val="1D4DC6BD"/>
    <w:rsid w:val="267B3ADC"/>
    <w:rsid w:val="2BEC96C5"/>
    <w:rsid w:val="2BF52AB0"/>
    <w:rsid w:val="2EA1191A"/>
    <w:rsid w:val="2FFF90DA"/>
    <w:rsid w:val="330D80B7"/>
    <w:rsid w:val="33B3CB49"/>
    <w:rsid w:val="37641BA2"/>
    <w:rsid w:val="3A3BA48B"/>
    <w:rsid w:val="3DBD251F"/>
    <w:rsid w:val="4082F99B"/>
    <w:rsid w:val="42C2691B"/>
    <w:rsid w:val="436DA200"/>
    <w:rsid w:val="4A256744"/>
    <w:rsid w:val="4BADD8C0"/>
    <w:rsid w:val="50CB3552"/>
    <w:rsid w:val="53636AF8"/>
    <w:rsid w:val="54EFFE9B"/>
    <w:rsid w:val="56897A3B"/>
    <w:rsid w:val="579EB476"/>
    <w:rsid w:val="5D6E6DB8"/>
    <w:rsid w:val="5F492578"/>
    <w:rsid w:val="6955B1F3"/>
    <w:rsid w:val="74353D5E"/>
    <w:rsid w:val="761F4C07"/>
    <w:rsid w:val="7B6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ED14"/>
  <w15:chartTrackingRefBased/>
  <w15:docId w15:val="{EEC17E01-4527-49D4-BC82-BA2CC42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7D"/>
    <w:pPr>
      <w:spacing w:after="0" w:line="276" w:lineRule="auto"/>
    </w:pPr>
    <w:rPr>
      <w:rFonts w:ascii="Arial" w:eastAsia="Arial" w:hAnsi="Arial" w:cs="Arial"/>
      <w:lang w:val="en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SJ No.Paras,Bullet Normal,List Paragraph1,Recommendation,standard lewis,Level 3,Bullet Heading,Colorful List - Accent 11,AP Bullet Normal,List Paragraph numbered,List Bullet indent,List 1,Other List,Unordered List Paragraph"/>
    <w:basedOn w:val="Normal"/>
    <w:link w:val="ListParagraphChar"/>
    <w:uiPriority w:val="34"/>
    <w:qFormat/>
    <w:rsid w:val="00294A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A7D"/>
    <w:pPr>
      <w:spacing w:after="160" w:line="240" w:lineRule="auto"/>
    </w:pPr>
    <w:rPr>
      <w:rFonts w:asciiTheme="minorHAnsi" w:eastAsiaTheme="minorEastAsia" w:hAnsiTheme="minorHAnsi" w:cstheme="minorBidi"/>
      <w:sz w:val="20"/>
      <w:szCs w:val="20"/>
      <w:lang w:val="en-NZ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A7D"/>
    <w:rPr>
      <w:sz w:val="20"/>
      <w:szCs w:val="20"/>
    </w:rPr>
  </w:style>
  <w:style w:type="character" w:customStyle="1" w:styleId="ListParagraphChar">
    <w:name w:val="List Paragraph Char"/>
    <w:aliases w:val="Bullets Char,SJ No.Paras Char,Bullet Normal Char,List Paragraph1 Char,Recommendation Char,standard lewis Char,Level 3 Char,Bullet Heading Char,Colorful List - Accent 11 Char,AP Bullet Normal Char,List Paragraph numbered Char"/>
    <w:link w:val="ListParagraph"/>
    <w:uiPriority w:val="34"/>
    <w:qFormat/>
    <w:locked/>
    <w:rsid w:val="00294A7D"/>
    <w:rPr>
      <w:rFonts w:ascii="Arial" w:eastAsia="Arial" w:hAnsi="Arial" w:cs="Arial"/>
      <w:lang w:val="en" w:eastAsia="ko-KR"/>
    </w:rPr>
  </w:style>
  <w:style w:type="character" w:customStyle="1" w:styleId="normaltextrun">
    <w:name w:val="normaltextrun"/>
    <w:basedOn w:val="DefaultParagraphFont"/>
    <w:uiPriority w:val="1"/>
    <w:rsid w:val="00294A7D"/>
    <w:rPr>
      <w:rFonts w:asciiTheme="minorHAnsi" w:eastAsiaTheme="minorEastAsia" w:hAnsiTheme="minorHAnsi" w:cstheme="minorBidi"/>
      <w:sz w:val="22"/>
      <w:szCs w:val="22"/>
    </w:rPr>
  </w:style>
  <w:style w:type="paragraph" w:customStyle="1" w:styleId="Bullet">
    <w:name w:val="Bullet"/>
    <w:basedOn w:val="Normal"/>
    <w:link w:val="BulletChar"/>
    <w:qFormat/>
    <w:rsid w:val="00294A7D"/>
    <w:pPr>
      <w:keepLines/>
      <w:numPr>
        <w:numId w:val="23"/>
      </w:numPr>
      <w:spacing w:after="160" w:line="240" w:lineRule="auto"/>
    </w:pPr>
    <w:rPr>
      <w:rFonts w:asciiTheme="minorHAnsi" w:hAnsiTheme="minorHAnsi" w:cstheme="minorHAnsi" w:eastAsiaTheme="minorEastAsia"/>
      <w:lang w:val="en-GB" w:eastAsia="ko-KR"/>
    </w:rPr>
  </w:style>
  <w:style w:type="character" w:customStyle="1" w:styleId="BulletChar">
    <w:name w:val="Bullet Char"/>
    <w:link w:val="Bullet"/>
    <w:locked/>
    <w:rsid w:val="00294A7D"/>
    <w:rPr>
      <w:rFonts w:cstheme="minorHAnsi"/>
      <w:lang w:val="en-GB" w:eastAsia="ko-KR"/>
    </w:rPr>
  </w:style>
  <w:style w:type="paragraph" w:customStyle="1" w:styleId="Second-levelbullets">
    <w:name w:val="Second-level bullets"/>
    <w:basedOn w:val="Bullet"/>
    <w:uiPriority w:val="3"/>
    <w:qFormat/>
    <w:rsid w:val="00294A7D"/>
    <w:pPr>
      <w:numPr>
        <w:ilvl w:val="1"/>
      </w:numPr>
      <w:tabs>
        <w:tab w:val="num" w:pos="360"/>
        <w:tab w:val="num" w:pos="1440"/>
      </w:tabs>
      <w:ind w:left="851"/>
    </w:pPr>
    <w:rPr>
      <w:rFonts/>
    </w:rPr>
  </w:style>
  <w:style w:type="paragraph" w:styleId="Revision">
    <w:name w:val="Revision"/>
    <w:hidden/>
    <w:uiPriority w:val="99"/>
    <w:semiHidden/>
    <w:rsid w:val="002C534B"/>
    <w:pPr>
      <w:spacing w:after="0" w:line="240" w:lineRule="auto"/>
    </w:pPr>
    <w:rPr>
      <w:rFonts w:ascii="Arial" w:eastAsia="Arial" w:hAnsi="Arial" w:cs="Arial"/>
      <w:lang w:val="en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87"/>
    <w:pPr>
      <w:spacing w:after="0"/>
    </w:pPr>
    <w:rPr>
      <w:rFonts w:ascii="Arial" w:eastAsia="Arial" w:hAnsi="Arial" w:cs="Arial"/>
      <w:b/>
      <w:bCs/>
      <w:lang w:val="en"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87"/>
    <w:rPr>
      <w:rFonts w:ascii="Arial" w:eastAsia="Arial" w:hAnsi="Arial" w:cs="Arial"/>
      <w:b/>
      <w:bCs/>
      <w:sz w:val="20"/>
      <w:szCs w:val="20"/>
      <w:lang w:val="en" w:eastAsia="ko-KR"/>
    </w:rPr>
  </w:style>
  <w:style w:type="character" w:styleId="Mention">
    <w:name w:val="Mention"/>
    <w:basedOn w:val="DefaultParagraphFont"/>
    <w:uiPriority w:val="99"/>
    <w:unhideWhenUsed/>
    <w:rsid w:val="00F43C8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15"/>
    <w:rPr>
      <w:rFonts w:ascii="Arial" w:eastAsia="Arial" w:hAnsi="Arial" w:cs="Arial"/>
      <w:lang w:val="en" w:eastAsia="ko-KR"/>
    </w:rPr>
  </w:style>
  <w:style w:type="paragraph" w:styleId="Footer">
    <w:name w:val="footer"/>
    <w:basedOn w:val="Normal"/>
    <w:link w:val="Foot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15"/>
    <w:rPr>
      <w:rFonts w:ascii="Arial" w:eastAsia="Arial" w:hAnsi="Arial" w:cs="Arial"/>
      <w:lang w:val="en" w:eastAsia="ko-KR"/>
    </w:rPr>
  </w:style>
  <w:style w:type="table" w:styleId="TableGrid">
    <w:name w:val="Table Grid"/>
    <w:basedOn w:val="TableNormal"/>
    <w:rsid w:val="00A6692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health.govt.nz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onsult.health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mblingharm@health.govt.n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28230263C7D7A4FB197614F88F6A462" ma:contentTypeVersion="249" ma:contentTypeDescription="Create a new document." ma:contentTypeScope="" ma:versionID="bee1d29c67ab6bb5282dd1013999878d">
  <xsd:schema xmlns:xsd="http://www.w3.org/2001/XMLSchema" xmlns:xs="http://www.w3.org/2001/XMLSchema" xmlns:p="http://schemas.microsoft.com/office/2006/metadata/properties" xmlns:ns2="c5b47098-0215-444c-9096-523bda4ac5c6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54904628-6268-4ac5-9416-97794f1d508d" targetNamespace="http://schemas.microsoft.com/office/2006/metadata/properties" ma:root="true" ma:fieldsID="870b4d023e6b60fe012b63a4806e0a7a" ns2:_="" ns3:_="" ns4:_="" ns5:_="" ns6:_="" ns7:_="" ns8:_="" ns9:_="">
    <xsd:import namespace="c5b47098-0215-444c-9096-523bda4ac5c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54904628-6268-4ac5-9416-97794f1d5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OCR" minOccurs="0"/>
                <xsd:element ref="ns9:MediaServiceDateTaken" minOccurs="0"/>
                <xsd:element ref="ns9:MediaServiceLocation" minOccurs="0"/>
                <xsd:element ref="ns9:MediaLengthInSeconds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7098-0215-444c-9096-523bda4ac5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ca88c282-f265-4c5d-a6ef-f1d25373d578}" ma:internalName="TaxCatchAll" ma:showField="CatchAllData" ma:web="c5b47098-0215-444c-9096-523bda4ac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Strategy Policy and Legislative Develop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Mental Health and Addiction Programme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Mental Health and Addiction Programm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4628-6268-4ac5-9416-97794f1d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TaxCatchAll xmlns="c5b47098-0215-444c-9096-523bda4ac5c6" xsi:nil="true"/>
    <AggregationStatus xmlns="4f9c820c-e7e2-444d-97ee-45f2b3485c1d">Normal</AggregationStatus>
    <OverrideLabel xmlns="d0b61010-d6f3-4072-b934-7bbb13e97771" xsi:nil="true"/>
    <lcf76f155ced4ddcb4097134ff3c332f xmlns="54904628-6268-4ac5-9416-97794f1d508d">
      <Terms xmlns="http://schemas.microsoft.com/office/infopath/2007/PartnerControls"/>
    </lcf76f155ced4ddcb4097134ff3c332f>
    <CategoryValue xmlns="4f9c820c-e7e2-444d-97ee-45f2b3485c1d">Strategy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Mental Health and Addiction Programme</Team>
    <Project xmlns="4f9c820c-e7e2-444d-97ee-45f2b3485c1d">NA</Project>
    <HasNHI xmlns="184c05c4-c568-455d-94a4-7e009b164348">false</HasNHI>
    <FunctionGroup xmlns="4f9c820c-e7e2-444d-97ee-45f2b3485c1d">Strategy Policy and Legislative Development</FunctionGroup>
    <Function xmlns="4f9c820c-e7e2-444d-97ee-45f2b3485c1d">Mental Health and Addiction Programme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Preventing &amp; Minimising Gambling Harm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Strategy and policy</CategoryName>
    <PRADateTrigger xmlns="4f9c820c-e7e2-444d-97ee-45f2b3485c1d" xsi:nil="true"/>
    <PRAText2 xmlns="4f9c820c-e7e2-444d-97ee-45f2b3485c1d" xsi:nil="true"/>
    <zLegacyID xmlns="184c05c4-c568-455d-94a4-7e009b164348" xsi:nil="true"/>
    <_dlc_DocId xmlns="c5b47098-0215-444c-9096-523bda4ac5c6">MOHECM-952532665-22671</_dlc_DocId>
    <_dlc_DocIdUrl xmlns="c5b47098-0215-444c-9096-523bda4ac5c6">
      <Url>https://mohgovtnz.sharepoint.com/sites/moh-ecm-MentHealSPL/_layouts/15/DocIdRedir.aspx?ID=MOHECM-952532665-22671</Url>
      <Description>MOHECM-952532665-22671</Description>
    </_dlc_DocIdUrl>
  </documentManagement>
</p:properties>
</file>

<file path=customXml/itemProps1.xml><?xml version="1.0" encoding="utf-8"?>
<ds:datastoreItem xmlns:ds="http://schemas.openxmlformats.org/officeDocument/2006/customXml" ds:itemID="{6FC7868F-4760-42CE-9EBC-6EECA39C6733}"/>
</file>

<file path=customXml/itemProps2.xml><?xml version="1.0" encoding="utf-8"?>
<ds:datastoreItem xmlns:ds="http://schemas.openxmlformats.org/officeDocument/2006/customXml" ds:itemID="{9F1756D7-915C-4A1D-8691-C9849900C99D}"/>
</file>

<file path=customXml/itemProps3.xml><?xml version="1.0" encoding="utf-8"?>
<ds:datastoreItem xmlns:ds="http://schemas.openxmlformats.org/officeDocument/2006/customXml" ds:itemID="{479ABE33-F3EE-4FD5-A103-FA7F6E006C60}"/>
</file>

<file path=customXml/itemProps4.xml><?xml version="1.0" encoding="utf-8"?>
<ds:datastoreItem xmlns:ds="http://schemas.openxmlformats.org/officeDocument/2006/customXml" ds:itemID="{A8A9B685-6B66-4D8F-9B11-AD151B40D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Willis</dc:creator>
  <cp:keywords/>
  <dc:description/>
  <cp:lastModifiedBy>Allira Hanczakowski</cp:lastModifiedBy>
  <cp:revision>8</cp:revision>
  <dcterms:created xsi:type="dcterms:W3CDTF">2024-08-21T07:40:00Z</dcterms:created>
  <dcterms:modified xsi:type="dcterms:W3CDTF">2024-08-21T23:56:00Z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0x010100A28230263C7D7A4FB197614F88F6A462</vt:lpwstr>
  </property>
  <property fmtid="{D5CDD505-2E9C-101B-9397-08002B2CF9AE}" pid="3" name="_dlc_DocIdItemGuid">
    <vt:lpwstr>42faafab-58a7-4e00-963e-646513bfc9ab</vt:lpwstr>
  </property>
  <property fmtid="{D5CDD505-2E9C-101B-9397-08002B2CF9AE}" pid="4" name="MediaServiceImageTags">
    <vt:lpwstr/>
  </property>
</Properties>
</file>