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1DBDD146" w:rsidR="00294A7D" w:rsidRPr="00932D30" w:rsidRDefault="00F602AB" w:rsidP="00294A7D">
      <w:pPr>
        <w:spacing w:before="120" w:after="120" w:line="240" w:lineRule="auto"/>
        <w:rPr>
          <w:rFonts w:ascii="Microsoft YaHei" w:eastAsia="Microsoft YaHei" w:hAnsi="Microsoft YaHei" w:cs="Segoe UI"/>
          <w:b/>
          <w:bCs/>
          <w:sz w:val="28"/>
          <w:szCs w:val="28"/>
        </w:rPr>
      </w:pPr>
      <w:r w:rsidRPr="00932D30">
        <w:rPr>
          <w:rFonts w:ascii="Microsoft YaHei" w:eastAsia="Microsoft YaHei" w:hAnsi="Microsoft YaHei"/>
          <w:b/>
          <w:sz w:val="28"/>
        </w:rPr>
        <w:t>2025/26年度至2027/28年度预防和减少赌博危害策略的</w:t>
      </w:r>
      <w:r w:rsidR="00932D30" w:rsidRPr="00932D30">
        <w:rPr>
          <w:rFonts w:ascii="Microsoft YaHei" w:eastAsia="Microsoft YaHei" w:hAnsi="Microsoft YaHei" w:cs="Microsoft YaHei" w:hint="eastAsia"/>
          <w:b/>
          <w:sz w:val="28"/>
        </w:rPr>
        <w:t>咨询</w:t>
      </w:r>
    </w:p>
    <w:p w14:paraId="0CD91980" w14:textId="689ACFD0" w:rsidR="00294A7D" w:rsidRPr="00932D30" w:rsidRDefault="00294A7D" w:rsidP="00294A7D">
      <w:pPr>
        <w:spacing w:before="120" w:after="120" w:line="240" w:lineRule="auto"/>
        <w:rPr>
          <w:rFonts w:ascii="Microsoft YaHei" w:eastAsia="Microsoft YaHei" w:hAnsi="Microsoft YaHei" w:cs="Segoe UI"/>
          <w:b/>
          <w:bCs/>
        </w:rPr>
      </w:pPr>
      <w:r w:rsidRPr="00932D30">
        <w:rPr>
          <w:rFonts w:ascii="Microsoft YaHei" w:eastAsia="Microsoft YaHei" w:hAnsi="Microsoft YaHei"/>
          <w:b/>
        </w:rPr>
        <w:t>介绍</w:t>
      </w:r>
    </w:p>
    <w:p w14:paraId="0B95A1D4" w14:textId="328875CD"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赌博的危害对我们的社区、个人、家庭和家族来说都是一个重大的公共卫生问题。在新西兰，大约五分之一的人会因为自己或他人的赌博行为而受到危害。</w:t>
      </w:r>
    </w:p>
    <w:p w14:paraId="3BC18B99" w14:textId="77777777" w:rsidR="00294A7D" w:rsidRPr="00932D30" w:rsidRDefault="00294A7D" w:rsidP="00294A7D">
      <w:pPr>
        <w:spacing w:before="120" w:after="120" w:line="240" w:lineRule="auto"/>
        <w:rPr>
          <w:rFonts w:ascii="Microsoft YaHei" w:eastAsia="Microsoft YaHei" w:hAnsi="Microsoft YaHei" w:cs="Segoe UI"/>
        </w:rPr>
      </w:pPr>
    </w:p>
    <w:p w14:paraId="066DFC3D" w14:textId="0C2D9F66"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各个群体受到的危害程度有所不同，毛利人、太平洋岛裔、亚裔和年轻人相比其他群体会遭受更多来自赌博的危害。</w:t>
      </w:r>
    </w:p>
    <w:p w14:paraId="75CE93E8" w14:textId="77777777" w:rsidR="00294A7D" w:rsidRPr="00932D30" w:rsidRDefault="00294A7D" w:rsidP="00294A7D">
      <w:pPr>
        <w:spacing w:before="120" w:after="120" w:line="240" w:lineRule="auto"/>
        <w:rPr>
          <w:rFonts w:ascii="Microsoft YaHei" w:eastAsia="Microsoft YaHei" w:hAnsi="Microsoft YaHei" w:cs="Segoe UI"/>
        </w:rPr>
      </w:pPr>
    </w:p>
    <w:p w14:paraId="447268CE" w14:textId="3F9BEC4F"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 xml:space="preserve">根据《2003 年赌博法》的规定，卫生部每三年必须就其制定的预防及减低赌博对人群、家庭和社区造成危害的策略（包括服务）进行咨询。在此过程中，卫生部会就征费方案进行咨询，从而向赌博经营者收回制定及实施该策略的成本。 </w:t>
      </w:r>
    </w:p>
    <w:p w14:paraId="639FCF0C" w14:textId="04D6F6F3" w:rsidR="00294A7D" w:rsidRPr="00932D30" w:rsidRDefault="00294A7D" w:rsidP="00294A7D">
      <w:pPr>
        <w:spacing w:before="120" w:after="120" w:line="240" w:lineRule="auto"/>
        <w:rPr>
          <w:rStyle w:val="normaltextrun"/>
          <w:rFonts w:ascii="Microsoft YaHei" w:eastAsia="Microsoft YaHei" w:hAnsi="Microsoft YaHei" w:cs="Segoe UI"/>
          <w:color w:val="000000" w:themeColor="text1"/>
        </w:rPr>
      </w:pPr>
    </w:p>
    <w:p w14:paraId="2DA76E35" w14:textId="5CEBC5DF" w:rsidR="00294A7D" w:rsidRPr="00932D30" w:rsidRDefault="00294A7D" w:rsidP="00294A7D">
      <w:pPr>
        <w:spacing w:before="120" w:after="120" w:line="240" w:lineRule="auto"/>
        <w:rPr>
          <w:rFonts w:ascii="Microsoft YaHei" w:eastAsia="Microsoft YaHei" w:hAnsi="Microsoft YaHei" w:cs="Segoe UI"/>
          <w:b/>
          <w:bCs/>
        </w:rPr>
      </w:pPr>
      <w:r w:rsidRPr="00932D30">
        <w:rPr>
          <w:rStyle w:val="normaltextrun"/>
          <w:rFonts w:ascii="Microsoft YaHei" w:eastAsia="Microsoft YaHei" w:hAnsi="Microsoft YaHei"/>
          <w:b/>
          <w:color w:val="000000" w:themeColor="text1"/>
        </w:rPr>
        <w:t>卫生部正在进行关于 2025/26 年度至 2027/28 年度预防及减低赌博危害策略的咨询</w:t>
      </w:r>
    </w:p>
    <w:p w14:paraId="5C12D83F" w14:textId="77777777" w:rsidR="00294A7D" w:rsidRPr="00932D30" w:rsidRDefault="00294A7D" w:rsidP="00294A7D">
      <w:pPr>
        <w:spacing w:before="120" w:after="120" w:line="240" w:lineRule="auto"/>
        <w:rPr>
          <w:rFonts w:ascii="Microsoft YaHei" w:eastAsia="Microsoft YaHei" w:hAnsi="Microsoft YaHei" w:cs="Segoe UI"/>
          <w:b/>
          <w:bCs/>
        </w:rPr>
      </w:pPr>
    </w:p>
    <w:p w14:paraId="742B8CF6" w14:textId="381C1ABB"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您将有机会对策略计划草案（实现什么目标）、服务计划草案（如何实现目标）以及资金水准与征费率草案（如何获得资金）发表意见。</w:t>
      </w:r>
    </w:p>
    <w:p w14:paraId="07210F78" w14:textId="77777777" w:rsidR="00294A7D" w:rsidRPr="00932D30" w:rsidRDefault="00294A7D" w:rsidP="00294A7D">
      <w:pPr>
        <w:spacing w:before="120" w:after="120" w:line="240" w:lineRule="auto"/>
        <w:rPr>
          <w:rFonts w:ascii="Microsoft YaHei" w:eastAsia="Microsoft YaHei" w:hAnsi="Microsoft YaHei" w:cs="Segoe UI"/>
        </w:rPr>
      </w:pPr>
    </w:p>
    <w:p w14:paraId="45CBA94F" w14:textId="293A48EF"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此次咨询的反馈意见会连同其他信息一起递交至赌博委员会，由其进行内部咨询并向政府作出提议，这是下个阶段的工作之一。新的策略和征费将于 2025 年 7 月 1 日起生效。</w:t>
      </w:r>
    </w:p>
    <w:p w14:paraId="35EBF610" w14:textId="77777777" w:rsidR="00294A7D" w:rsidRPr="00932D30" w:rsidRDefault="00294A7D" w:rsidP="00294A7D">
      <w:pPr>
        <w:spacing w:before="120" w:after="120" w:line="240" w:lineRule="auto"/>
        <w:rPr>
          <w:rFonts w:ascii="Microsoft YaHei" w:eastAsia="Microsoft YaHei" w:hAnsi="Microsoft YaHei" w:cs="Segoe UI"/>
        </w:rPr>
      </w:pPr>
    </w:p>
    <w:p w14:paraId="312B23ED" w14:textId="2B6A53FF"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新策略以原先的预防及减低赌博危害策略为基础，同时</w:t>
      </w:r>
      <w:r w:rsidR="00932D30">
        <w:rPr>
          <w:rFonts w:ascii="Microsoft YaHei" w:eastAsia="Microsoft YaHei" w:hAnsi="Microsoft YaHei" w:hint="eastAsia"/>
        </w:rPr>
        <w:t>也</w:t>
      </w:r>
      <w:r w:rsidRPr="00932D30">
        <w:rPr>
          <w:rFonts w:ascii="Microsoft YaHei" w:eastAsia="Microsoft YaHei" w:hAnsi="Microsoft YaHei"/>
        </w:rPr>
        <w:t>符合政府在心理健康和成瘾方面的健康目标及优先事项，总体目标是确保新西兰人的预期寿命和生活品质不受赌博危害影响。</w:t>
      </w:r>
    </w:p>
    <w:p w14:paraId="4930B2BA" w14:textId="77777777" w:rsidR="00294A7D" w:rsidRPr="00932D30" w:rsidRDefault="00294A7D" w:rsidP="00294A7D">
      <w:pPr>
        <w:spacing w:before="120" w:after="120" w:line="240" w:lineRule="auto"/>
        <w:rPr>
          <w:rFonts w:ascii="Microsoft YaHei" w:eastAsia="Microsoft YaHei" w:hAnsi="Microsoft YaHei" w:cs="Segoe UI"/>
        </w:rPr>
      </w:pPr>
    </w:p>
    <w:p w14:paraId="0A6E5885" w14:textId="4AD75C43" w:rsidR="004A0655" w:rsidRPr="00932D30" w:rsidRDefault="00294A7D" w:rsidP="004A0655">
      <w:pPr>
        <w:spacing w:before="120" w:after="120" w:line="240" w:lineRule="auto"/>
        <w:rPr>
          <w:rFonts w:ascii="Microsoft YaHei" w:eastAsia="Microsoft YaHei" w:hAnsi="Microsoft YaHei" w:cs="Segoe UI"/>
        </w:rPr>
      </w:pPr>
      <w:r w:rsidRPr="00932D30">
        <w:rPr>
          <w:rFonts w:ascii="Microsoft YaHei" w:eastAsia="Microsoft YaHei" w:hAnsi="Microsoft YaHei"/>
        </w:rPr>
        <w:t>未来三年内，拟定的工作重点是让最有可能受到赌博危害的人可以更容易地获得赌博危害预防、早期干预及有效支援服务，发展壮大赌博危害服务团队（包括临床和同侪带领的团队）并为其提供支持。</w:t>
      </w:r>
    </w:p>
    <w:p w14:paraId="42FB45EA" w14:textId="77777777" w:rsidR="004A0655" w:rsidRPr="00932D30" w:rsidRDefault="004A0655">
      <w:pPr>
        <w:spacing w:after="160" w:line="259" w:lineRule="auto"/>
        <w:rPr>
          <w:rFonts w:ascii="Microsoft YaHei" w:eastAsia="Microsoft YaHei" w:hAnsi="Microsoft YaHei" w:cs="Segoe UI"/>
        </w:rPr>
      </w:pPr>
      <w:r w:rsidRPr="00932D30">
        <w:rPr>
          <w:rFonts w:ascii="Microsoft YaHei" w:eastAsia="Microsoft YaHei" w:hAnsi="Microsoft YaHei"/>
        </w:rPr>
        <w:br w:type="page"/>
      </w:r>
    </w:p>
    <w:p w14:paraId="0EDF7D19" w14:textId="733D1C29" w:rsidR="004C1264" w:rsidRPr="00932D30" w:rsidRDefault="00294A7D" w:rsidP="00294A7D">
      <w:pPr>
        <w:spacing w:before="120" w:after="120" w:line="240" w:lineRule="auto"/>
        <w:rPr>
          <w:rStyle w:val="normaltextrun"/>
          <w:rFonts w:ascii="Microsoft YaHei" w:eastAsia="Microsoft YaHei" w:hAnsi="Microsoft YaHei" w:cs="Segoe UI"/>
          <w:b/>
          <w:bCs/>
        </w:rPr>
      </w:pPr>
      <w:r w:rsidRPr="00932D30">
        <w:rPr>
          <w:rFonts w:ascii="Microsoft YaHei" w:eastAsia="Microsoft YaHei" w:hAnsi="Microsoft YaHei"/>
          <w:b/>
        </w:rPr>
        <w:lastRenderedPageBreak/>
        <w:t>策略计划（实现什么目标）</w:t>
      </w:r>
    </w:p>
    <w:p w14:paraId="008C70D5" w14:textId="1D43525C" w:rsidR="00294A7D" w:rsidRPr="00932D30" w:rsidRDefault="00294A7D" w:rsidP="00294A7D">
      <w:pPr>
        <w:spacing w:before="120" w:after="120" w:line="240" w:lineRule="auto"/>
        <w:rPr>
          <w:rFonts w:ascii="Microsoft YaHei" w:eastAsia="Microsoft YaHei" w:hAnsi="Microsoft YaHei" w:cs="Segoe UI"/>
        </w:rPr>
      </w:pPr>
      <w:r w:rsidRPr="00932D30">
        <w:rPr>
          <w:rFonts w:ascii="Microsoft YaHei" w:eastAsia="Microsoft YaHei" w:hAnsi="Microsoft YaHei"/>
        </w:rPr>
        <w:t>本策略草案显示了政府在心理健康和成瘾方面的优先事项。针对赌博危害的优先事项包括：</w:t>
      </w:r>
    </w:p>
    <w:p w14:paraId="26D14185" w14:textId="3ABB47B9" w:rsidR="00294A7D" w:rsidRPr="00932D30" w:rsidRDefault="00294A7D" w:rsidP="00490F05">
      <w:pPr>
        <w:numPr>
          <w:ilvl w:val="0"/>
          <w:numId w:val="19"/>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增加获得赌博危害相关支援的可及性</w:t>
      </w:r>
    </w:p>
    <w:p w14:paraId="44CB5040" w14:textId="56D79242" w:rsidR="00294A7D" w:rsidRPr="00932D30" w:rsidRDefault="00294A7D" w:rsidP="00121D30">
      <w:pPr>
        <w:numPr>
          <w:ilvl w:val="0"/>
          <w:numId w:val="19"/>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发展壮大赌博危害服务团队</w:t>
      </w:r>
    </w:p>
    <w:p w14:paraId="46D290C9" w14:textId="2712C053" w:rsidR="00294A7D" w:rsidRPr="00932D30" w:rsidRDefault="00294A7D" w:rsidP="00121D30">
      <w:pPr>
        <w:numPr>
          <w:ilvl w:val="0"/>
          <w:numId w:val="19"/>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加强关注赌博危害的预防和早期介入</w:t>
      </w:r>
    </w:p>
    <w:p w14:paraId="170955F9" w14:textId="1568FB88" w:rsidR="00294A7D" w:rsidRPr="00932D30" w:rsidRDefault="00294A7D" w:rsidP="00121D30">
      <w:pPr>
        <w:numPr>
          <w:ilvl w:val="0"/>
          <w:numId w:val="19"/>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提高赌博危害支援的效力。</w:t>
      </w:r>
    </w:p>
    <w:p w14:paraId="5C33FAF6" w14:textId="77777777" w:rsidR="00294A7D" w:rsidRPr="00932D30" w:rsidRDefault="00294A7D" w:rsidP="00294A7D">
      <w:pPr>
        <w:spacing w:after="120" w:line="240" w:lineRule="auto"/>
        <w:ind w:left="360"/>
        <w:rPr>
          <w:rStyle w:val="normaltextrun"/>
          <w:rFonts w:ascii="Microsoft YaHei" w:eastAsia="Microsoft YaHei" w:hAnsi="Microsoft YaHei" w:cs="Calibri"/>
          <w:color w:val="000000" w:themeColor="text1"/>
        </w:rPr>
      </w:pPr>
    </w:p>
    <w:p w14:paraId="512F9079" w14:textId="77865FE7"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以上优先事项将有助于带来以下成果，为受赌博危害影响最大的人提供支援：</w:t>
      </w:r>
    </w:p>
    <w:p w14:paraId="28C65B62" w14:textId="3BA10423" w:rsidR="00294A7D" w:rsidRPr="00932D30" w:rsidRDefault="00294A7D" w:rsidP="00490F05">
      <w:pPr>
        <w:pStyle w:val="Bullet"/>
        <w:numPr>
          <w:ilvl w:val="1"/>
          <w:numId w:val="24"/>
        </w:numPr>
        <w:ind w:left="426"/>
        <w:rPr>
          <w:rFonts w:ascii="Microsoft YaHei" w:eastAsia="Microsoft YaHei" w:hAnsi="Microsoft YaHei" w:cs="Segoe UI"/>
        </w:rPr>
      </w:pPr>
      <w:r w:rsidRPr="00932D30">
        <w:rPr>
          <w:rFonts w:ascii="Microsoft YaHei" w:eastAsia="Microsoft YaHei" w:hAnsi="Microsoft YaHei"/>
        </w:rPr>
        <w:t>从预防、早期干预到专家支援，我们提供全方位的服务和支援，以防止和减低赌博的危害。</w:t>
      </w:r>
    </w:p>
    <w:p w14:paraId="5CAC87E1" w14:textId="77777777" w:rsidR="00294A7D" w:rsidRPr="00932D30" w:rsidRDefault="00294A7D" w:rsidP="00121D30">
      <w:pPr>
        <w:pStyle w:val="Bullet"/>
        <w:numPr>
          <w:ilvl w:val="1"/>
          <w:numId w:val="24"/>
        </w:numPr>
        <w:ind w:left="426"/>
        <w:rPr>
          <w:rFonts w:ascii="Microsoft YaHei" w:eastAsia="Microsoft YaHei" w:hAnsi="Microsoft YaHei" w:cs="Segoe UI"/>
        </w:rPr>
      </w:pPr>
      <w:r w:rsidRPr="00932D30">
        <w:rPr>
          <w:rFonts w:ascii="Microsoft YaHei" w:eastAsia="Microsoft YaHei" w:hAnsi="Microsoft YaHei"/>
        </w:rPr>
        <w:t>社会和文化规范可以预防及减低赌博造成的危害。</w:t>
      </w:r>
    </w:p>
    <w:p w14:paraId="61E5B54D" w14:textId="77777777" w:rsidR="00294A7D" w:rsidRPr="00932D30" w:rsidRDefault="00294A7D" w:rsidP="00121D30">
      <w:pPr>
        <w:pStyle w:val="Bullet"/>
        <w:numPr>
          <w:ilvl w:val="1"/>
          <w:numId w:val="24"/>
        </w:numPr>
        <w:ind w:left="426"/>
        <w:rPr>
          <w:rFonts w:ascii="Microsoft YaHei" w:eastAsia="Microsoft YaHei" w:hAnsi="Microsoft YaHei" w:cs="Segoe UI"/>
        </w:rPr>
      </w:pPr>
      <w:r w:rsidRPr="00932D30">
        <w:rPr>
          <w:rFonts w:ascii="Microsoft YaHei" w:eastAsia="Microsoft YaHei" w:hAnsi="Microsoft YaHei"/>
        </w:rPr>
        <w:t>赌博危害预防体系发挥有效的领导作用并具备问责制，决策过程尽可能贴合社区。</w:t>
      </w:r>
    </w:p>
    <w:p w14:paraId="446940C3" w14:textId="77777777" w:rsidR="00294A7D" w:rsidRPr="00932D30" w:rsidRDefault="00294A7D" w:rsidP="00121D30">
      <w:pPr>
        <w:pStyle w:val="Bullet"/>
        <w:numPr>
          <w:ilvl w:val="1"/>
          <w:numId w:val="24"/>
        </w:numPr>
        <w:ind w:left="426"/>
        <w:rPr>
          <w:rFonts w:ascii="Microsoft YaHei" w:eastAsia="Microsoft YaHei" w:hAnsi="Microsoft YaHei"/>
        </w:rPr>
      </w:pPr>
      <w:r w:rsidRPr="00932D30">
        <w:rPr>
          <w:rFonts w:ascii="Microsoft YaHei" w:eastAsia="Microsoft YaHei" w:hAnsi="Microsoft YaHei"/>
        </w:rPr>
        <w:t>有专门的体系负责关注最有可能受到赌博危害的群体。</w:t>
      </w:r>
    </w:p>
    <w:p w14:paraId="1D6825AB" w14:textId="77777777" w:rsidR="009742FF" w:rsidRPr="00932D30" w:rsidRDefault="009742FF" w:rsidP="000724A7">
      <w:pPr>
        <w:spacing w:before="120" w:after="120" w:line="240" w:lineRule="auto"/>
        <w:rPr>
          <w:rFonts w:ascii="Microsoft YaHei" w:eastAsia="Microsoft YaHei" w:hAnsi="Microsoft YaHei" w:cs="Segoe UI"/>
          <w:b/>
          <w:bCs/>
        </w:rPr>
      </w:pPr>
    </w:p>
    <w:p w14:paraId="0BA50145" w14:textId="3839D333" w:rsidR="000724A7" w:rsidRPr="00932D30" w:rsidRDefault="00294A7D" w:rsidP="000724A7">
      <w:pPr>
        <w:spacing w:before="120" w:after="120" w:line="240" w:lineRule="auto"/>
        <w:rPr>
          <w:rFonts w:ascii="Microsoft YaHei" w:eastAsia="Microsoft YaHei" w:hAnsi="Microsoft YaHei" w:cs="Segoe UI"/>
          <w:b/>
          <w:bCs/>
        </w:rPr>
      </w:pPr>
      <w:r w:rsidRPr="00932D30">
        <w:rPr>
          <w:rFonts w:ascii="Microsoft YaHei" w:eastAsia="Microsoft YaHei" w:hAnsi="Microsoft YaHei"/>
          <w:b/>
        </w:rPr>
        <w:t>服务计划（如何实现目标）</w:t>
      </w:r>
    </w:p>
    <w:p w14:paraId="369E4F4C" w14:textId="78DA666D"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本服务计划将提供一系列公共健康及临床服务，并以扎实的研究和评估作支撑。</w:t>
      </w:r>
    </w:p>
    <w:p w14:paraId="3C1B45AC" w14:textId="5B00AFA6"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咨询文件包括一份三年服务计划草案，并详细说明了未来三年这些服务所需成本及预算。</w:t>
      </w:r>
    </w:p>
    <w:p w14:paraId="7D4C9A3E" w14:textId="166A3E43"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这笔资金将在现有核心服务的基础上进行扩展，重点关注如下：</w:t>
      </w:r>
    </w:p>
    <w:p w14:paraId="7EC636A7" w14:textId="04E360D1" w:rsidR="00294A7D" w:rsidRPr="00932D30" w:rsidRDefault="00294A7D" w:rsidP="0044283E">
      <w:pPr>
        <w:numPr>
          <w:ilvl w:val="0"/>
          <w:numId w:val="20"/>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通过扩大临床服务提供范围来增加可及性，包括扩大服务类型/服务人群（例如，额外的高强度支援）以及服务地点（在目前不提供面对面服务的地区增设服务）。</w:t>
      </w:r>
    </w:p>
    <w:p w14:paraId="152BA7DF" w14:textId="2205E88D" w:rsidR="00294A7D" w:rsidRPr="00932D30" w:rsidRDefault="00294A7D" w:rsidP="0044283E">
      <w:pPr>
        <w:numPr>
          <w:ilvl w:val="0"/>
          <w:numId w:val="20"/>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通过支援新人加入团队以及保留现有员工（同侪和临床员工）来发展壮大服务团队。</w:t>
      </w:r>
    </w:p>
    <w:p w14:paraId="46D3CB96" w14:textId="57B72CA8" w:rsidR="00294A7D" w:rsidRPr="00932D30" w:rsidRDefault="00294A7D" w:rsidP="0044283E">
      <w:pPr>
        <w:numPr>
          <w:ilvl w:val="0"/>
          <w:numId w:val="20"/>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通过开展一系列以社区为中心的健康宣传活动，预防危害并进行早期干预。</w:t>
      </w:r>
    </w:p>
    <w:p w14:paraId="46360E76" w14:textId="29391528" w:rsidR="00294A7D" w:rsidRPr="00932D30" w:rsidRDefault="00294A7D" w:rsidP="0044283E">
      <w:pPr>
        <w:numPr>
          <w:ilvl w:val="0"/>
          <w:numId w:val="20"/>
        </w:numPr>
        <w:spacing w:before="120" w:after="120" w:line="240" w:lineRule="auto"/>
        <w:ind w:left="426"/>
        <w:rPr>
          <w:rFonts w:ascii="Microsoft YaHei" w:eastAsia="Microsoft YaHei" w:hAnsi="Microsoft YaHei" w:cs="Segoe UI"/>
        </w:rPr>
      </w:pPr>
      <w:r w:rsidRPr="00932D30">
        <w:rPr>
          <w:rFonts w:ascii="Microsoft YaHei" w:eastAsia="Microsoft YaHei" w:hAnsi="Microsoft YaHei"/>
        </w:rPr>
        <w:t>通过开展一系列研究和评估项目来提高效力，包括针对所有临床服务的评估以及对策略本身的影响评估。</w:t>
      </w:r>
    </w:p>
    <w:p w14:paraId="567B233D" w14:textId="77777777" w:rsidR="004C1264" w:rsidRPr="00932D30" w:rsidRDefault="004C1264" w:rsidP="000724A7">
      <w:pPr>
        <w:spacing w:before="120" w:after="120" w:line="240" w:lineRule="auto"/>
        <w:rPr>
          <w:rFonts w:ascii="Microsoft YaHei" w:eastAsia="Microsoft YaHei" w:hAnsi="Microsoft YaHei" w:cs="Segoe UI"/>
        </w:rPr>
      </w:pPr>
    </w:p>
    <w:p w14:paraId="22D59DF6" w14:textId="2511F36F" w:rsidR="00294A7D" w:rsidRPr="00932D30" w:rsidRDefault="00294A7D" w:rsidP="53636AF8">
      <w:pPr>
        <w:spacing w:before="120" w:after="120" w:line="240" w:lineRule="auto"/>
        <w:rPr>
          <w:rFonts w:ascii="Microsoft YaHei" w:eastAsia="Microsoft YaHei" w:hAnsi="Microsoft YaHei" w:cs="Segoe UI"/>
        </w:rPr>
      </w:pPr>
      <w:r w:rsidRPr="00932D30">
        <w:rPr>
          <w:rFonts w:ascii="Microsoft YaHei" w:eastAsia="Microsoft YaHei" w:hAnsi="Microsoft YaHei"/>
        </w:rPr>
        <w:t>该服务计划概述了三年内耗资 8771.8 万新西兰元的一揽子投资。这在当前策略预算的基础上增加了 1159.5 万新西兰元，并包括将现行策略阶段预计的 341.2 万新西兰元的节余资金重新进行投资。</w:t>
      </w:r>
    </w:p>
    <w:p w14:paraId="2C269585" w14:textId="77777777" w:rsidR="000724A7" w:rsidRPr="00932D30" w:rsidRDefault="000724A7" w:rsidP="000724A7">
      <w:pPr>
        <w:spacing w:before="120" w:after="120" w:line="240" w:lineRule="auto"/>
        <w:rPr>
          <w:rFonts w:ascii="Microsoft YaHei" w:eastAsia="Microsoft YaHei" w:hAnsi="Microsoft YaHei" w:cs="Segoe UI"/>
        </w:rPr>
      </w:pPr>
    </w:p>
    <w:p w14:paraId="781998B7" w14:textId="3CB4A5CB"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lastRenderedPageBreak/>
        <w:t>在这笔额外资金中，大约半数会用于开发新服务和干预措施，以应对赌博大环境的变化（例如服务推广、服务团队发展和线上赌博隔离系统），另外半数会用于应对各类成本和工作量压力（包括服务拓展和应对工资压力）。</w:t>
      </w:r>
    </w:p>
    <w:p w14:paraId="4EF7BFDE" w14:textId="77777777" w:rsidR="007232A6" w:rsidRPr="00932D30" w:rsidRDefault="007232A6" w:rsidP="000724A7">
      <w:pPr>
        <w:spacing w:before="120" w:after="120" w:line="240" w:lineRule="auto"/>
        <w:rPr>
          <w:rFonts w:ascii="Microsoft YaHei" w:eastAsia="Microsoft YaHei" w:hAnsi="Microsoft YaHei" w:cs="Segoe UI"/>
        </w:rPr>
      </w:pPr>
    </w:p>
    <w:p w14:paraId="4E082CF8" w14:textId="39C738C4" w:rsidR="00A66923" w:rsidRPr="00932D30" w:rsidRDefault="00A66923" w:rsidP="00A66923">
      <w:pPr>
        <w:keepNext/>
        <w:spacing w:before="120" w:after="120" w:line="240" w:lineRule="auto"/>
        <w:rPr>
          <w:rFonts w:ascii="Microsoft YaHei" w:eastAsia="Microsoft YaHei" w:hAnsi="Microsoft YaHei" w:cs="Times New Roman"/>
          <w:b/>
        </w:rPr>
      </w:pPr>
      <w:r w:rsidRPr="00932D30">
        <w:rPr>
          <w:rFonts w:ascii="Microsoft YaHei" w:eastAsia="Microsoft YaHei" w:hAnsi="Microsoft YaHei"/>
          <w:b/>
        </w:rPr>
        <w:t>预防及减低赌博危害之服务计划与预算摘要（单位：百万新西兰元，不含消费税 GST），2025/26 年度至 2027/28 年度</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544"/>
        <w:gridCol w:w="1252"/>
        <w:gridCol w:w="1306"/>
        <w:gridCol w:w="1527"/>
        <w:gridCol w:w="1306"/>
      </w:tblGrid>
      <w:tr w:rsidR="00A66923" w:rsidRPr="00932D30" w14:paraId="2FF1C62C" w14:textId="77777777" w:rsidTr="00932D30">
        <w:trPr>
          <w:trHeight w:val="408"/>
          <w:tblHeader/>
        </w:trPr>
        <w:tc>
          <w:tcPr>
            <w:tcW w:w="3544" w:type="dxa"/>
            <w:tcBorders>
              <w:top w:val="nil"/>
              <w:bottom w:val="nil"/>
            </w:tcBorders>
            <w:shd w:val="clear" w:color="auto" w:fill="D9D9D9" w:themeFill="background1" w:themeFillShade="D9"/>
          </w:tcPr>
          <w:p w14:paraId="2AB20182"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优先事项</w:t>
            </w:r>
          </w:p>
        </w:tc>
        <w:tc>
          <w:tcPr>
            <w:tcW w:w="1252" w:type="dxa"/>
            <w:tcBorders>
              <w:top w:val="nil"/>
              <w:bottom w:val="nil"/>
            </w:tcBorders>
            <w:shd w:val="clear" w:color="auto" w:fill="D9D9D9" w:themeFill="background1" w:themeFillShade="D9"/>
          </w:tcPr>
          <w:p w14:paraId="09F0A2C9" w14:textId="7FF86EBB"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2025/26</w:t>
            </w:r>
            <w:r w:rsidR="00932D30">
              <w:rPr>
                <w:rFonts w:ascii="Microsoft YaHei" w:eastAsia="Microsoft YaHei" w:hAnsi="Microsoft YaHei"/>
                <w:b/>
              </w:rPr>
              <w:br/>
            </w:r>
            <w:r w:rsidRPr="00932D30">
              <w:rPr>
                <w:rFonts w:ascii="Microsoft YaHei" w:eastAsia="Microsoft YaHei" w:hAnsi="Microsoft YaHei"/>
                <w:b/>
              </w:rPr>
              <w:t>年度</w:t>
            </w:r>
          </w:p>
        </w:tc>
        <w:tc>
          <w:tcPr>
            <w:tcW w:w="1306" w:type="dxa"/>
            <w:tcBorders>
              <w:top w:val="nil"/>
              <w:bottom w:val="nil"/>
            </w:tcBorders>
            <w:shd w:val="clear" w:color="auto" w:fill="D9D9D9" w:themeFill="background1" w:themeFillShade="D9"/>
          </w:tcPr>
          <w:p w14:paraId="6FA1A23A" w14:textId="78BCF816"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2026/27</w:t>
            </w:r>
            <w:r w:rsidR="00932D30">
              <w:rPr>
                <w:rFonts w:ascii="Microsoft YaHei" w:eastAsia="Microsoft YaHei" w:hAnsi="Microsoft YaHei"/>
                <w:b/>
              </w:rPr>
              <w:br/>
            </w:r>
            <w:r w:rsidRPr="00932D30">
              <w:rPr>
                <w:rFonts w:ascii="Microsoft YaHei" w:eastAsia="Microsoft YaHei" w:hAnsi="Microsoft YaHei"/>
                <w:b/>
              </w:rPr>
              <w:t>年度</w:t>
            </w:r>
          </w:p>
        </w:tc>
        <w:tc>
          <w:tcPr>
            <w:tcW w:w="1527" w:type="dxa"/>
            <w:tcBorders>
              <w:top w:val="nil"/>
              <w:bottom w:val="nil"/>
            </w:tcBorders>
            <w:shd w:val="clear" w:color="auto" w:fill="D9D9D9" w:themeFill="background1" w:themeFillShade="D9"/>
          </w:tcPr>
          <w:p w14:paraId="26D98787" w14:textId="04866373"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2027/28</w:t>
            </w:r>
            <w:r w:rsidR="00932D30">
              <w:rPr>
                <w:rFonts w:ascii="Microsoft YaHei" w:eastAsia="Microsoft YaHei" w:hAnsi="Microsoft YaHei"/>
                <w:b/>
              </w:rPr>
              <w:br/>
            </w:r>
            <w:r w:rsidRPr="00932D30">
              <w:rPr>
                <w:rFonts w:ascii="Microsoft YaHei" w:eastAsia="Microsoft YaHei" w:hAnsi="Microsoft YaHei"/>
                <w:b/>
              </w:rPr>
              <w:t>年度</w:t>
            </w:r>
          </w:p>
        </w:tc>
        <w:tc>
          <w:tcPr>
            <w:tcW w:w="1306" w:type="dxa"/>
            <w:tcBorders>
              <w:top w:val="nil"/>
              <w:bottom w:val="nil"/>
            </w:tcBorders>
            <w:shd w:val="clear" w:color="auto" w:fill="D9D9D9" w:themeFill="background1" w:themeFillShade="D9"/>
          </w:tcPr>
          <w:p w14:paraId="023114A6" w14:textId="77777777"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总计</w:t>
            </w:r>
          </w:p>
        </w:tc>
      </w:tr>
      <w:tr w:rsidR="00A66923" w:rsidRPr="00932D30" w14:paraId="4B845CA2" w14:textId="77777777" w:rsidTr="00932D30">
        <w:trPr>
          <w:trHeight w:val="408"/>
        </w:trPr>
        <w:tc>
          <w:tcPr>
            <w:tcW w:w="3544" w:type="dxa"/>
            <w:tcBorders>
              <w:top w:val="nil"/>
            </w:tcBorders>
            <w:vAlign w:val="center"/>
          </w:tcPr>
          <w:p w14:paraId="694C63B8"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 xml:space="preserve">增加获得赌博危害相关支援的可及性 </w:t>
            </w:r>
          </w:p>
        </w:tc>
        <w:tc>
          <w:tcPr>
            <w:tcW w:w="1252" w:type="dxa"/>
            <w:tcBorders>
              <w:top w:val="nil"/>
            </w:tcBorders>
            <w:vAlign w:val="center"/>
          </w:tcPr>
          <w:p w14:paraId="329A839A"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11.258</w:t>
            </w:r>
          </w:p>
        </w:tc>
        <w:tc>
          <w:tcPr>
            <w:tcW w:w="1306" w:type="dxa"/>
            <w:tcBorders>
              <w:top w:val="nil"/>
            </w:tcBorders>
            <w:vAlign w:val="center"/>
          </w:tcPr>
          <w:p w14:paraId="6CB78B27"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12.023</w:t>
            </w:r>
          </w:p>
        </w:tc>
        <w:tc>
          <w:tcPr>
            <w:tcW w:w="1527" w:type="dxa"/>
            <w:tcBorders>
              <w:top w:val="nil"/>
            </w:tcBorders>
            <w:vAlign w:val="center"/>
          </w:tcPr>
          <w:p w14:paraId="586239B3"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12.588</w:t>
            </w:r>
          </w:p>
        </w:tc>
        <w:tc>
          <w:tcPr>
            <w:tcW w:w="1306" w:type="dxa"/>
            <w:tcBorders>
              <w:top w:val="nil"/>
            </w:tcBorders>
            <w:vAlign w:val="center"/>
          </w:tcPr>
          <w:p w14:paraId="4B4C5C79"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35.868</w:t>
            </w:r>
          </w:p>
        </w:tc>
      </w:tr>
      <w:tr w:rsidR="00A66923" w:rsidRPr="00932D30" w14:paraId="7A04D3E4" w14:textId="77777777" w:rsidTr="00932D30">
        <w:trPr>
          <w:trHeight w:val="408"/>
        </w:trPr>
        <w:tc>
          <w:tcPr>
            <w:tcW w:w="3544" w:type="dxa"/>
            <w:vAlign w:val="center"/>
          </w:tcPr>
          <w:p w14:paraId="2FE2820D"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发展壮大赌博危害服务团队</w:t>
            </w:r>
          </w:p>
        </w:tc>
        <w:tc>
          <w:tcPr>
            <w:tcW w:w="1252" w:type="dxa"/>
            <w:vAlign w:val="center"/>
          </w:tcPr>
          <w:p w14:paraId="1FA40657"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1.154</w:t>
            </w:r>
          </w:p>
        </w:tc>
        <w:tc>
          <w:tcPr>
            <w:tcW w:w="1306" w:type="dxa"/>
            <w:vAlign w:val="center"/>
          </w:tcPr>
          <w:p w14:paraId="7293F45F"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1.504</w:t>
            </w:r>
          </w:p>
        </w:tc>
        <w:tc>
          <w:tcPr>
            <w:tcW w:w="1527" w:type="dxa"/>
            <w:vAlign w:val="center"/>
          </w:tcPr>
          <w:p w14:paraId="3112C644"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1.499</w:t>
            </w:r>
          </w:p>
        </w:tc>
        <w:tc>
          <w:tcPr>
            <w:tcW w:w="1306" w:type="dxa"/>
            <w:vAlign w:val="center"/>
          </w:tcPr>
          <w:p w14:paraId="384CEBF4"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4.156</w:t>
            </w:r>
          </w:p>
        </w:tc>
      </w:tr>
      <w:tr w:rsidR="00A66923" w:rsidRPr="00932D30" w14:paraId="05CAD21A" w14:textId="77777777" w:rsidTr="00932D30">
        <w:trPr>
          <w:trHeight w:val="408"/>
        </w:trPr>
        <w:tc>
          <w:tcPr>
            <w:tcW w:w="3544" w:type="dxa"/>
            <w:vAlign w:val="center"/>
          </w:tcPr>
          <w:p w14:paraId="2641D362"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加强关注赌博危害的预防和早期介入</w:t>
            </w:r>
          </w:p>
        </w:tc>
        <w:tc>
          <w:tcPr>
            <w:tcW w:w="1252" w:type="dxa"/>
            <w:vAlign w:val="center"/>
          </w:tcPr>
          <w:p w14:paraId="46570C53"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10.082</w:t>
            </w:r>
          </w:p>
        </w:tc>
        <w:tc>
          <w:tcPr>
            <w:tcW w:w="1306" w:type="dxa"/>
            <w:vAlign w:val="center"/>
          </w:tcPr>
          <w:p w14:paraId="1480AF10"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10.049</w:t>
            </w:r>
          </w:p>
        </w:tc>
        <w:tc>
          <w:tcPr>
            <w:tcW w:w="1527" w:type="dxa"/>
            <w:vAlign w:val="center"/>
          </w:tcPr>
          <w:p w14:paraId="27C8A34C"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10.556</w:t>
            </w:r>
          </w:p>
        </w:tc>
        <w:tc>
          <w:tcPr>
            <w:tcW w:w="1306" w:type="dxa"/>
            <w:vAlign w:val="center"/>
          </w:tcPr>
          <w:p w14:paraId="572D7413"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30.687</w:t>
            </w:r>
          </w:p>
        </w:tc>
      </w:tr>
      <w:tr w:rsidR="00A66923" w:rsidRPr="00932D30" w14:paraId="34CBD73A" w14:textId="77777777" w:rsidTr="00932D30">
        <w:trPr>
          <w:trHeight w:val="408"/>
        </w:trPr>
        <w:tc>
          <w:tcPr>
            <w:tcW w:w="3544" w:type="dxa"/>
            <w:vAlign w:val="center"/>
          </w:tcPr>
          <w:p w14:paraId="50EAD0B6"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提高赌博危害支援的效力</w:t>
            </w:r>
          </w:p>
        </w:tc>
        <w:tc>
          <w:tcPr>
            <w:tcW w:w="1252" w:type="dxa"/>
            <w:vAlign w:val="center"/>
          </w:tcPr>
          <w:p w14:paraId="5B55C8D5"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3.789</w:t>
            </w:r>
          </w:p>
        </w:tc>
        <w:tc>
          <w:tcPr>
            <w:tcW w:w="1306" w:type="dxa"/>
            <w:vAlign w:val="center"/>
          </w:tcPr>
          <w:p w14:paraId="050670BE"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3.654</w:t>
            </w:r>
          </w:p>
        </w:tc>
        <w:tc>
          <w:tcPr>
            <w:tcW w:w="1527" w:type="dxa"/>
            <w:vAlign w:val="center"/>
          </w:tcPr>
          <w:p w14:paraId="631FE8EF"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2.604</w:t>
            </w:r>
          </w:p>
        </w:tc>
        <w:tc>
          <w:tcPr>
            <w:tcW w:w="1306" w:type="dxa"/>
            <w:vAlign w:val="center"/>
          </w:tcPr>
          <w:p w14:paraId="5A3816B4"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10.047</w:t>
            </w:r>
          </w:p>
        </w:tc>
      </w:tr>
      <w:tr w:rsidR="00A66923" w:rsidRPr="00932D30" w14:paraId="1BDD735E" w14:textId="77777777" w:rsidTr="00932D30">
        <w:trPr>
          <w:trHeight w:val="408"/>
        </w:trPr>
        <w:tc>
          <w:tcPr>
            <w:tcW w:w="3544" w:type="dxa"/>
            <w:vAlign w:val="center"/>
          </w:tcPr>
          <w:p w14:paraId="0B0C8BC3"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代理费用</w:t>
            </w:r>
          </w:p>
        </w:tc>
        <w:tc>
          <w:tcPr>
            <w:tcW w:w="1252" w:type="dxa"/>
            <w:vAlign w:val="center"/>
          </w:tcPr>
          <w:p w14:paraId="7B5A7A73"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2.181</w:t>
            </w:r>
          </w:p>
        </w:tc>
        <w:tc>
          <w:tcPr>
            <w:tcW w:w="1306" w:type="dxa"/>
            <w:vAlign w:val="center"/>
          </w:tcPr>
          <w:p w14:paraId="591879F9"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2.475</w:t>
            </w:r>
          </w:p>
        </w:tc>
        <w:tc>
          <w:tcPr>
            <w:tcW w:w="1527" w:type="dxa"/>
            <w:vAlign w:val="center"/>
          </w:tcPr>
          <w:p w14:paraId="1B0C2A63"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2.302</w:t>
            </w:r>
          </w:p>
        </w:tc>
        <w:tc>
          <w:tcPr>
            <w:tcW w:w="1306" w:type="dxa"/>
            <w:vAlign w:val="center"/>
          </w:tcPr>
          <w:p w14:paraId="3CC2E524" w14:textId="77777777" w:rsidR="00A66923" w:rsidRPr="00932D30" w:rsidRDefault="00A66923" w:rsidP="00A66923">
            <w:pPr>
              <w:spacing w:before="40" w:after="40" w:line="240" w:lineRule="auto"/>
              <w:jc w:val="right"/>
              <w:rPr>
                <w:rFonts w:ascii="Microsoft YaHei" w:eastAsia="Microsoft YaHei" w:hAnsi="Microsoft YaHei" w:cs="Times New Roman"/>
              </w:rPr>
            </w:pPr>
            <w:r w:rsidRPr="00932D30">
              <w:rPr>
                <w:rFonts w:ascii="Microsoft YaHei" w:eastAsia="Microsoft YaHei" w:hAnsi="Microsoft YaHei"/>
              </w:rPr>
              <w:t>6.958</w:t>
            </w:r>
          </w:p>
        </w:tc>
      </w:tr>
      <w:tr w:rsidR="00A66923" w:rsidRPr="00932D30" w14:paraId="56336D4C" w14:textId="77777777" w:rsidTr="00932D30">
        <w:trPr>
          <w:trHeight w:val="388"/>
        </w:trPr>
        <w:tc>
          <w:tcPr>
            <w:tcW w:w="3544" w:type="dxa"/>
            <w:vAlign w:val="center"/>
          </w:tcPr>
          <w:p w14:paraId="199F9619" w14:textId="77777777" w:rsidR="00A66923" w:rsidRPr="00932D30" w:rsidRDefault="00A66923" w:rsidP="00A66923">
            <w:pPr>
              <w:spacing w:before="40" w:after="40" w:line="240" w:lineRule="auto"/>
              <w:rPr>
                <w:rFonts w:ascii="Microsoft YaHei" w:eastAsia="Microsoft YaHei" w:hAnsi="Microsoft YaHei" w:cs="Times New Roman"/>
                <w:b/>
                <w:bCs/>
              </w:rPr>
            </w:pPr>
            <w:r w:rsidRPr="00932D30">
              <w:rPr>
                <w:rFonts w:ascii="Microsoft YaHei" w:eastAsia="Microsoft YaHei" w:hAnsi="Microsoft YaHei"/>
                <w:b/>
              </w:rPr>
              <w:t xml:space="preserve">总计 </w:t>
            </w:r>
          </w:p>
        </w:tc>
        <w:tc>
          <w:tcPr>
            <w:tcW w:w="1252" w:type="dxa"/>
            <w:vAlign w:val="center"/>
          </w:tcPr>
          <w:p w14:paraId="1A4DF25C" w14:textId="77777777"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28.464</w:t>
            </w:r>
          </w:p>
        </w:tc>
        <w:tc>
          <w:tcPr>
            <w:tcW w:w="1306" w:type="dxa"/>
            <w:vAlign w:val="center"/>
          </w:tcPr>
          <w:p w14:paraId="3B576C85" w14:textId="77777777"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29.705</w:t>
            </w:r>
          </w:p>
        </w:tc>
        <w:tc>
          <w:tcPr>
            <w:tcW w:w="1527" w:type="dxa"/>
            <w:vAlign w:val="center"/>
          </w:tcPr>
          <w:p w14:paraId="23EAED87" w14:textId="77777777"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29.549</w:t>
            </w:r>
          </w:p>
        </w:tc>
        <w:tc>
          <w:tcPr>
            <w:tcW w:w="1306" w:type="dxa"/>
            <w:vAlign w:val="center"/>
          </w:tcPr>
          <w:p w14:paraId="06A72B43" w14:textId="77777777" w:rsidR="00A66923" w:rsidRPr="00932D30" w:rsidRDefault="00A66923" w:rsidP="00A66923">
            <w:pPr>
              <w:spacing w:before="40" w:after="40" w:line="240" w:lineRule="auto"/>
              <w:jc w:val="right"/>
              <w:rPr>
                <w:rFonts w:ascii="Microsoft YaHei" w:eastAsia="Microsoft YaHei" w:hAnsi="Microsoft YaHei" w:cs="Times New Roman"/>
                <w:b/>
                <w:bCs/>
              </w:rPr>
            </w:pPr>
            <w:r w:rsidRPr="00932D30">
              <w:rPr>
                <w:rFonts w:ascii="Microsoft YaHei" w:eastAsia="Microsoft YaHei" w:hAnsi="Microsoft YaHei"/>
                <w:b/>
              </w:rPr>
              <w:t>87.718</w:t>
            </w:r>
          </w:p>
        </w:tc>
      </w:tr>
    </w:tbl>
    <w:p w14:paraId="0904A716" w14:textId="5CDF3EE3" w:rsidR="00294A7D" w:rsidRPr="00932D30" w:rsidRDefault="00A66923" w:rsidP="00B95A24">
      <w:pPr>
        <w:spacing w:before="80" w:line="240" w:lineRule="auto"/>
        <w:rPr>
          <w:rFonts w:ascii="Microsoft YaHei" w:eastAsia="Microsoft YaHei" w:hAnsi="Microsoft YaHei" w:cs="Times New Roman"/>
          <w:sz w:val="20"/>
          <w:szCs w:val="20"/>
        </w:rPr>
      </w:pPr>
      <w:r w:rsidRPr="00932D30">
        <w:rPr>
          <w:rFonts w:ascii="Microsoft YaHei" w:eastAsia="Microsoft YaHei" w:hAnsi="Microsoft YaHei"/>
          <w:sz w:val="20"/>
        </w:rPr>
        <w:t>注：由于四舍五入，预算总额可能不等于总和。</w:t>
      </w:r>
    </w:p>
    <w:p w14:paraId="6F4EA86D" w14:textId="77777777" w:rsidR="00B95A24" w:rsidRPr="00932D30" w:rsidRDefault="00B95A24" w:rsidP="00B95A24">
      <w:pPr>
        <w:spacing w:before="80" w:line="240" w:lineRule="auto"/>
        <w:rPr>
          <w:rFonts w:ascii="Microsoft YaHei" w:eastAsia="Microsoft YaHei" w:hAnsi="Microsoft YaHei" w:cs="Times New Roman"/>
          <w:sz w:val="20"/>
          <w:szCs w:val="20"/>
        </w:rPr>
      </w:pPr>
    </w:p>
    <w:p w14:paraId="70D29E5C" w14:textId="77777777" w:rsidR="00586882" w:rsidRPr="00932D30" w:rsidRDefault="00586882" w:rsidP="00294A7D">
      <w:pPr>
        <w:spacing w:before="120" w:after="120" w:line="240" w:lineRule="auto"/>
        <w:rPr>
          <w:rFonts w:ascii="Microsoft YaHei" w:eastAsia="Microsoft YaHei" w:hAnsi="Microsoft YaHei" w:cs="Segoe UI"/>
          <w:b/>
          <w:bCs/>
        </w:rPr>
      </w:pPr>
    </w:p>
    <w:p w14:paraId="128A9B30" w14:textId="4EA6FFEA" w:rsidR="00294A7D" w:rsidRPr="00932D30" w:rsidRDefault="000724A7" w:rsidP="00294A7D">
      <w:pPr>
        <w:spacing w:before="120" w:after="120" w:line="240" w:lineRule="auto"/>
        <w:rPr>
          <w:rFonts w:ascii="Microsoft YaHei" w:eastAsia="Microsoft YaHei" w:hAnsi="Microsoft YaHei" w:cs="Segoe UI"/>
          <w:b/>
          <w:bCs/>
        </w:rPr>
      </w:pPr>
      <w:r w:rsidRPr="00932D30">
        <w:rPr>
          <w:rFonts w:ascii="Microsoft YaHei" w:eastAsia="Microsoft YaHei" w:hAnsi="Microsoft YaHei"/>
          <w:b/>
        </w:rPr>
        <w:t>赌博征费（如何获得资金）</w:t>
      </w:r>
    </w:p>
    <w:p w14:paraId="6A7029A5" w14:textId="75DEB3BD"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预防及减低赌博危害的所有活动资金来自问题赌博征费，即向四大主要博彩领域——非赌场游戏机运营商（老虎机）、赌场、</w:t>
      </w:r>
      <w:r w:rsidR="00932D30">
        <w:rPr>
          <w:rFonts w:ascii="Microsoft YaHei" w:eastAsia="Microsoft YaHei" w:hAnsi="Microsoft YaHei" w:hint="eastAsia"/>
        </w:rPr>
        <w:t>新</w:t>
      </w:r>
      <w:r w:rsidRPr="00932D30">
        <w:rPr>
          <w:rFonts w:ascii="Microsoft YaHei" w:eastAsia="Microsoft YaHei" w:hAnsi="Microsoft YaHei"/>
        </w:rPr>
        <w:t>西兰赛马会（TAB NZ）和新西兰乐透（Lotto NZ））</w:t>
      </w:r>
      <w:r w:rsidR="00932D30">
        <w:rPr>
          <w:rFonts w:ascii="Microsoft YaHei" w:eastAsia="Microsoft YaHei" w:hAnsi="Microsoft YaHei"/>
        </w:rPr>
        <w:br/>
      </w:r>
      <w:r w:rsidRPr="00932D30">
        <w:rPr>
          <w:rFonts w:ascii="Microsoft YaHei" w:eastAsia="Microsoft YaHei" w:hAnsi="Microsoft YaHei"/>
        </w:rPr>
        <w:t>——征收的款项。</w:t>
      </w:r>
    </w:p>
    <w:p w14:paraId="3584265B" w14:textId="45FDC4E0" w:rsidR="006D7D41" w:rsidRPr="00932D30" w:rsidRDefault="006D7D41" w:rsidP="000724A7">
      <w:pPr>
        <w:spacing w:before="120" w:after="120" w:line="240" w:lineRule="auto"/>
        <w:rPr>
          <w:rFonts w:ascii="Microsoft YaHei" w:eastAsia="Microsoft YaHei" w:hAnsi="Microsoft YaHei" w:cs="Segoe UI"/>
        </w:rPr>
      </w:pPr>
    </w:p>
    <w:p w14:paraId="6BFA9B65" w14:textId="04F10C04" w:rsidR="00294A7D" w:rsidRPr="00932D30" w:rsidRDefault="00294A7D" w:rsidP="000724A7">
      <w:pPr>
        <w:spacing w:before="120" w:after="120" w:line="240" w:lineRule="auto"/>
        <w:rPr>
          <w:rFonts w:ascii="Microsoft YaHei" w:eastAsia="Microsoft YaHei" w:hAnsi="Microsoft YaHei" w:cs="Segoe UI"/>
        </w:rPr>
      </w:pPr>
      <w:r w:rsidRPr="00932D30">
        <w:rPr>
          <w:rFonts w:ascii="Microsoft YaHei" w:eastAsia="Microsoft YaHei" w:hAnsi="Microsoft YaHei"/>
        </w:rPr>
        <w:t>这项征费的费率按照《2003 年赌博法》中的公式确定，计算出各领域应支付的金额。</w:t>
      </w:r>
    </w:p>
    <w:p w14:paraId="507C316F" w14:textId="4710A3B2" w:rsidR="006D7D41" w:rsidRPr="00932D30" w:rsidRDefault="006D7D41" w:rsidP="00E75E36">
      <w:pPr>
        <w:rPr>
          <w:rFonts w:ascii="Microsoft YaHei" w:eastAsia="Microsoft YaHei" w:hAnsi="Microsoft YaHei" w:cs="Segoe UI"/>
        </w:rPr>
      </w:pPr>
    </w:p>
    <w:p w14:paraId="6D857F30" w14:textId="32437174" w:rsidR="00E75E36" w:rsidRPr="00932D30" w:rsidRDefault="00E75E36" w:rsidP="00E75E36">
      <w:pPr>
        <w:rPr>
          <w:rFonts w:ascii="Microsoft YaHei" w:eastAsia="Microsoft YaHei" w:hAnsi="Microsoft YaHei" w:cs="Segoe UI"/>
        </w:rPr>
      </w:pPr>
      <w:r w:rsidRPr="00932D30">
        <w:rPr>
          <w:rFonts w:ascii="Microsoft YaHei" w:eastAsia="Microsoft YaHei" w:hAnsi="Microsoft YaHei"/>
        </w:rPr>
        <w:t>该公式考虑到各领域经营者的损失（开支）以及有多少人获得服务（宣讲），并计算四大领域中每个领域的征费率。每三年会对征费进行一次审查，与新策略的制定保持同步。下一个征费期为 2025 年 7 月 1 日至 2028 年 6 月 30 日。</w:t>
      </w:r>
    </w:p>
    <w:p w14:paraId="356D468E" w14:textId="1370150F" w:rsidR="00E75E36" w:rsidRPr="00932D30" w:rsidRDefault="00E75E36" w:rsidP="00E75E36">
      <w:pPr>
        <w:rPr>
          <w:rFonts w:ascii="Microsoft YaHei" w:eastAsia="Microsoft YaHei" w:hAnsi="Microsoft YaHei" w:cs="Segoe UI"/>
        </w:rPr>
      </w:pPr>
    </w:p>
    <w:p w14:paraId="4D00B454" w14:textId="4CF559B8" w:rsidR="00222E52" w:rsidRPr="00932D30" w:rsidRDefault="0099297D" w:rsidP="0037533A">
      <w:pPr>
        <w:rPr>
          <w:rFonts w:ascii="Microsoft YaHei" w:eastAsia="Microsoft YaHei" w:hAnsi="Microsoft YaHei" w:cs="Segoe UI"/>
        </w:rPr>
      </w:pPr>
      <w:r w:rsidRPr="00932D30">
        <w:rPr>
          <w:rFonts w:ascii="Microsoft YaHei" w:eastAsia="Microsoft YaHei" w:hAnsi="Microsoft YaHei"/>
        </w:rPr>
        <w:t>咨询文件考虑了四种不同的征费加权方案，用于确定每个领域应支付的征费金额。2025/26 年度至 2027/28 年度期间，除新西兰赛马会外，所有博彩领域各自的拟定征费率在任何加权方案下都将高于当前征费期的费率。在所有方案中，非赌场游戏机运营商将支付最多的征费。</w:t>
      </w:r>
    </w:p>
    <w:p w14:paraId="0E67B8A4" w14:textId="77777777" w:rsidR="00222E52" w:rsidRPr="00932D30" w:rsidRDefault="00222E52" w:rsidP="004C1264">
      <w:pPr>
        <w:spacing w:before="120" w:after="120" w:line="240" w:lineRule="auto"/>
        <w:rPr>
          <w:rFonts w:ascii="Microsoft YaHei" w:eastAsia="Microsoft YaHei" w:hAnsi="Microsoft YaHei" w:cs="Segoe UI"/>
          <w:b/>
          <w:bCs/>
        </w:rPr>
      </w:pPr>
    </w:p>
    <w:p w14:paraId="358491D4" w14:textId="77777777" w:rsidR="00222E52" w:rsidRPr="00932D30" w:rsidRDefault="004C1264" w:rsidP="00222E52">
      <w:pPr>
        <w:spacing w:before="120" w:after="120" w:line="240" w:lineRule="auto"/>
        <w:rPr>
          <w:rFonts w:ascii="Microsoft YaHei" w:eastAsia="Microsoft YaHei" w:hAnsi="Microsoft YaHei" w:cs="Segoe UI"/>
          <w:b/>
          <w:bCs/>
        </w:rPr>
      </w:pPr>
      <w:r w:rsidRPr="00932D30">
        <w:rPr>
          <w:rFonts w:ascii="Microsoft YaHei" w:eastAsia="Microsoft YaHei" w:hAnsi="Microsoft YaHei"/>
          <w:b/>
        </w:rPr>
        <w:t>如何发表意见</w:t>
      </w:r>
    </w:p>
    <w:p w14:paraId="2C91207D" w14:textId="77777777" w:rsidR="00222E52" w:rsidRPr="00932D30" w:rsidRDefault="007C68ED" w:rsidP="00222E52">
      <w:pPr>
        <w:spacing w:before="120" w:after="120" w:line="240" w:lineRule="auto"/>
        <w:rPr>
          <w:rFonts w:ascii="Microsoft YaHei" w:eastAsia="Microsoft YaHei" w:hAnsi="Microsoft YaHei" w:cs="Segoe UI"/>
          <w:b/>
          <w:bCs/>
        </w:rPr>
      </w:pPr>
      <w:r w:rsidRPr="00932D30">
        <w:rPr>
          <w:rFonts w:ascii="Microsoft YaHei" w:eastAsia="Microsoft YaHei" w:hAnsi="Microsoft YaHei"/>
        </w:rPr>
        <w:t xml:space="preserve">政府和卫生部希望听听您的想法。 </w:t>
      </w:r>
    </w:p>
    <w:p w14:paraId="329F4D81" w14:textId="6E376187" w:rsidR="00222E52" w:rsidRPr="00932D30" w:rsidRDefault="004C1264" w:rsidP="00222E52">
      <w:pPr>
        <w:spacing w:before="120" w:after="120" w:line="240" w:lineRule="auto"/>
        <w:rPr>
          <w:rFonts w:ascii="Microsoft YaHei" w:eastAsia="Microsoft YaHei" w:hAnsi="Microsoft YaHei" w:cs="Segoe UI"/>
          <w:b/>
          <w:bCs/>
        </w:rPr>
      </w:pPr>
      <w:r w:rsidRPr="00932D30">
        <w:rPr>
          <w:rFonts w:ascii="Microsoft YaHei" w:eastAsia="Microsoft YaHei" w:hAnsi="Microsoft YaHei"/>
        </w:rPr>
        <w:t xml:space="preserve">您的反馈很重要，它将为 2025/26 年度至 2027/28 年度的预防和减少赌博伤害策略的最终版本提供信息。 </w:t>
      </w:r>
    </w:p>
    <w:p w14:paraId="0D802A5B" w14:textId="697474E1" w:rsidR="004C1264" w:rsidRPr="00932D30" w:rsidRDefault="007759C4" w:rsidP="00222E52">
      <w:pPr>
        <w:spacing w:before="120" w:after="120" w:line="240" w:lineRule="auto"/>
        <w:rPr>
          <w:rFonts w:ascii="Microsoft YaHei" w:eastAsia="Microsoft YaHei" w:hAnsi="Microsoft YaHei" w:cs="Segoe UI"/>
          <w:b/>
          <w:bCs/>
        </w:rPr>
      </w:pPr>
      <w:r w:rsidRPr="00932D30">
        <w:rPr>
          <w:rFonts w:ascii="Microsoft YaHei" w:eastAsia="Microsoft YaHei" w:hAnsi="Microsoft YaHei"/>
        </w:rPr>
        <w:t>我们想知道您是否认同我们在专注做正确的事，亦或我们是否遗漏了任何事项。</w:t>
      </w:r>
    </w:p>
    <w:p w14:paraId="01F904B2" w14:textId="7F428183" w:rsidR="002A0BEB" w:rsidRPr="00932D30" w:rsidRDefault="002A0BEB" w:rsidP="004C1264">
      <w:pPr>
        <w:keepNext/>
        <w:keepLines/>
        <w:spacing w:after="160" w:line="259" w:lineRule="auto"/>
        <w:rPr>
          <w:rFonts w:ascii="Microsoft YaHei" w:eastAsia="Microsoft YaHei" w:hAnsi="Microsoft YaHei" w:cs="Segoe UI"/>
        </w:rPr>
      </w:pPr>
      <w:r w:rsidRPr="00932D30">
        <w:rPr>
          <w:rFonts w:ascii="Microsoft YaHei" w:eastAsia="Microsoft YaHei" w:hAnsi="Microsoft YaHei"/>
        </w:rPr>
        <w:t>提供反馈意见时您可能想要回答某些问题：</w:t>
      </w:r>
    </w:p>
    <w:p w14:paraId="65955363" w14:textId="5BB93E4B" w:rsidR="00D13D11" w:rsidRPr="00932D30" w:rsidRDefault="00D13D11" w:rsidP="003C1765">
      <w:pPr>
        <w:pStyle w:val="ListParagraph"/>
        <w:keepNext/>
        <w:keepLines/>
        <w:numPr>
          <w:ilvl w:val="0"/>
          <w:numId w:val="27"/>
        </w:numPr>
        <w:spacing w:after="160" w:line="259" w:lineRule="auto"/>
        <w:rPr>
          <w:rFonts w:ascii="Microsoft YaHei" w:eastAsia="Microsoft YaHei" w:hAnsi="Microsoft YaHei" w:cs="Segoe UI"/>
        </w:rPr>
      </w:pPr>
      <w:r w:rsidRPr="00932D30">
        <w:rPr>
          <w:rFonts w:ascii="Microsoft YaHei" w:eastAsia="Microsoft YaHei" w:hAnsi="Microsoft YaHei"/>
        </w:rPr>
        <w:t>您是否同意策略计划的关注重点？如果不赞同，原因是什么？</w:t>
      </w:r>
    </w:p>
    <w:p w14:paraId="07E786D7" w14:textId="41CE70C4" w:rsidR="008A2B8D" w:rsidRPr="00932D30" w:rsidRDefault="008A2B8D" w:rsidP="003C1765">
      <w:pPr>
        <w:pStyle w:val="ListParagraph"/>
        <w:keepNext/>
        <w:keepLines/>
        <w:numPr>
          <w:ilvl w:val="0"/>
          <w:numId w:val="27"/>
        </w:numPr>
        <w:spacing w:after="160" w:line="259" w:lineRule="auto"/>
        <w:rPr>
          <w:rFonts w:ascii="Microsoft YaHei" w:eastAsia="Microsoft YaHei" w:hAnsi="Microsoft YaHei" w:cs="Segoe UI"/>
        </w:rPr>
      </w:pPr>
      <w:r w:rsidRPr="00932D30">
        <w:rPr>
          <w:rFonts w:ascii="Microsoft YaHei" w:eastAsia="Microsoft YaHei" w:hAnsi="Microsoft YaHei"/>
        </w:rPr>
        <w:t>您是否同意服务计划的关注重点？如果不赞同，原因是什么？</w:t>
      </w:r>
    </w:p>
    <w:p w14:paraId="6970D7DD" w14:textId="40FC2145" w:rsidR="0061745C" w:rsidRPr="00932D30" w:rsidRDefault="00560CC1" w:rsidP="003C1765">
      <w:pPr>
        <w:pStyle w:val="ListParagraph"/>
        <w:keepNext/>
        <w:keepLines/>
        <w:numPr>
          <w:ilvl w:val="0"/>
          <w:numId w:val="27"/>
        </w:numPr>
        <w:spacing w:after="160" w:line="259" w:lineRule="auto"/>
        <w:rPr>
          <w:rFonts w:ascii="Microsoft YaHei" w:eastAsia="Microsoft YaHei" w:hAnsi="Microsoft YaHei" w:cs="Segoe UI"/>
        </w:rPr>
      </w:pPr>
      <w:r w:rsidRPr="00932D30">
        <w:rPr>
          <w:rFonts w:ascii="Microsoft YaHei" w:eastAsia="Microsoft YaHei" w:hAnsi="Microsoft YaHei"/>
        </w:rPr>
        <w:t>您对赌博征费有何看法？</w:t>
      </w:r>
    </w:p>
    <w:p w14:paraId="3C530732" w14:textId="109D9C24" w:rsidR="00AE461E" w:rsidRPr="00932D30" w:rsidRDefault="00AE461E" w:rsidP="003C1765">
      <w:pPr>
        <w:pStyle w:val="ListParagraph"/>
        <w:keepNext/>
        <w:keepLines/>
        <w:numPr>
          <w:ilvl w:val="0"/>
          <w:numId w:val="27"/>
        </w:numPr>
        <w:spacing w:after="160" w:line="259" w:lineRule="auto"/>
        <w:rPr>
          <w:rFonts w:ascii="Microsoft YaHei" w:eastAsia="Microsoft YaHei" w:hAnsi="Microsoft YaHei" w:cs="Segoe UI"/>
        </w:rPr>
      </w:pPr>
      <w:r w:rsidRPr="00932D30">
        <w:rPr>
          <w:rFonts w:ascii="Microsoft YaHei" w:eastAsia="Microsoft YaHei" w:hAnsi="Microsoft YaHei"/>
        </w:rPr>
        <w:t>总体而言，您对策略草案或赌博危害是否有任何其他评论？</w:t>
      </w:r>
    </w:p>
    <w:p w14:paraId="1EA4DBF4" w14:textId="6886284A" w:rsidR="002C488B" w:rsidRPr="00932D30" w:rsidRDefault="00295784" w:rsidP="009742FF">
      <w:pPr>
        <w:spacing w:before="120" w:after="120" w:line="240" w:lineRule="auto"/>
        <w:rPr>
          <w:rFonts w:ascii="Microsoft YaHei" w:eastAsia="Microsoft YaHei" w:hAnsi="Microsoft YaHei" w:cs="Segoe UI"/>
        </w:rPr>
      </w:pPr>
      <w:r w:rsidRPr="00932D30">
        <w:rPr>
          <w:rFonts w:ascii="Microsoft YaHei" w:eastAsia="Microsoft YaHei" w:hAnsi="Microsoft YaHei"/>
        </w:rPr>
        <w:t>您可在卫生部网站的“预防及减少赌博危害策略的咨询”页面获取完整的咨询文件。</w:t>
      </w:r>
    </w:p>
    <w:p w14:paraId="77634B57" w14:textId="77777777" w:rsidR="009742FF" w:rsidRPr="00932D30" w:rsidRDefault="009742FF" w:rsidP="009742FF">
      <w:pPr>
        <w:spacing w:before="120" w:after="120" w:line="240" w:lineRule="auto"/>
        <w:rPr>
          <w:rFonts w:ascii="Microsoft YaHei" w:eastAsia="Microsoft YaHei" w:hAnsi="Microsoft YaHei" w:cs="Segoe UI"/>
        </w:rPr>
      </w:pPr>
    </w:p>
    <w:p w14:paraId="1D275E11" w14:textId="77777777" w:rsidR="00B95A24" w:rsidRPr="00932D30" w:rsidRDefault="00DF58B0" w:rsidP="00B95A24">
      <w:pPr>
        <w:rPr>
          <w:rFonts w:ascii="Microsoft YaHei" w:eastAsia="Microsoft YaHei" w:hAnsi="Microsoft YaHei" w:cs="Times New Roman"/>
          <w:b/>
          <w:bCs/>
        </w:rPr>
      </w:pPr>
      <w:r w:rsidRPr="00932D30">
        <w:rPr>
          <w:rFonts w:ascii="Microsoft YaHei" w:eastAsia="Microsoft YaHei" w:hAnsi="Microsoft YaHei"/>
          <w:b/>
        </w:rPr>
        <w:t>咨询截止日期为 2024 年 10 月 6 日。</w:t>
      </w:r>
    </w:p>
    <w:p w14:paraId="4B9A4F58" w14:textId="77777777" w:rsidR="00B95A24" w:rsidRPr="00932D30" w:rsidRDefault="00B95A24" w:rsidP="00B95A24">
      <w:pPr>
        <w:rPr>
          <w:rFonts w:ascii="Microsoft YaHei" w:eastAsia="Microsoft YaHei" w:hAnsi="Microsoft YaHei" w:cs="Times New Roman"/>
          <w:b/>
          <w:bCs/>
        </w:rPr>
      </w:pPr>
    </w:p>
    <w:p w14:paraId="08E5AEA4" w14:textId="0A5074B7" w:rsidR="004C1264" w:rsidRPr="00932D30" w:rsidRDefault="004C1264" w:rsidP="00B95A24">
      <w:pPr>
        <w:rPr>
          <w:rFonts w:ascii="Microsoft YaHei" w:eastAsia="Microsoft YaHei" w:hAnsi="Microsoft YaHei" w:cs="Times New Roman"/>
          <w:b/>
          <w:bCs/>
        </w:rPr>
      </w:pPr>
      <w:r w:rsidRPr="00932D30">
        <w:rPr>
          <w:rFonts w:ascii="Microsoft YaHei" w:eastAsia="Microsoft YaHei" w:hAnsi="Microsoft YaHei"/>
        </w:rPr>
        <w:t>您可以通过以下方式提供反馈意见：</w:t>
      </w:r>
    </w:p>
    <w:p w14:paraId="6E698B4A" w14:textId="77777777" w:rsidR="004C1264" w:rsidRPr="00932D30" w:rsidRDefault="004C1264" w:rsidP="0044283E">
      <w:pPr>
        <w:pStyle w:val="ListParagraph"/>
        <w:keepLines/>
        <w:numPr>
          <w:ilvl w:val="0"/>
          <w:numId w:val="25"/>
        </w:numPr>
        <w:spacing w:after="160" w:line="240" w:lineRule="auto"/>
        <w:ind w:left="425" w:hanging="357"/>
        <w:contextualSpacing w:val="0"/>
        <w:rPr>
          <w:rFonts w:ascii="Microsoft YaHei" w:eastAsia="Microsoft YaHei" w:hAnsi="Microsoft YaHei" w:cs="Segoe UI"/>
        </w:rPr>
      </w:pPr>
      <w:r w:rsidRPr="00932D30">
        <w:rPr>
          <w:rFonts w:ascii="Microsoft YaHei" w:eastAsia="Microsoft YaHei" w:hAnsi="Microsoft YaHei"/>
        </w:rPr>
        <w:t>在线方式提交</w:t>
      </w:r>
      <w:hyperlink r:id="rId7" w:history="1">
        <w:r w:rsidRPr="00932D30">
          <w:rPr>
            <w:rFonts w:ascii="Microsoft YaHei" w:eastAsia="Microsoft YaHei" w:hAnsi="Microsoft YaHei"/>
            <w:b/>
            <w:color w:val="595959" w:themeColor="text1" w:themeTint="A6"/>
          </w:rPr>
          <w:t>https://consult.health.govt.nz</w:t>
        </w:r>
      </w:hyperlink>
    </w:p>
    <w:p w14:paraId="31F300E8" w14:textId="3CC0CB90" w:rsidR="004C1264" w:rsidRPr="00932D30" w:rsidRDefault="004C1264" w:rsidP="0044283E">
      <w:pPr>
        <w:pStyle w:val="ListParagraph"/>
        <w:keepLines/>
        <w:numPr>
          <w:ilvl w:val="0"/>
          <w:numId w:val="25"/>
        </w:numPr>
        <w:spacing w:after="160" w:line="240" w:lineRule="auto"/>
        <w:ind w:left="425" w:hanging="357"/>
        <w:contextualSpacing w:val="0"/>
        <w:rPr>
          <w:rFonts w:ascii="Microsoft YaHei" w:eastAsia="Microsoft YaHei" w:hAnsi="Microsoft YaHei" w:cs="Segoe UI"/>
        </w:rPr>
      </w:pPr>
      <w:r w:rsidRPr="00932D30">
        <w:rPr>
          <w:rFonts w:ascii="Microsoft YaHei" w:eastAsia="Microsoft YaHei" w:hAnsi="Microsoft YaHei"/>
        </w:rPr>
        <w:t>参加咨询会议，会议详情可在此查看</w:t>
      </w:r>
      <w:hyperlink r:id="rId8" w:history="1">
        <w:r w:rsidRPr="00932D30">
          <w:rPr>
            <w:rFonts w:ascii="Microsoft YaHei" w:eastAsia="Microsoft YaHei" w:hAnsi="Microsoft YaHei"/>
            <w:b/>
            <w:color w:val="595959" w:themeColor="text1" w:themeTint="A6"/>
          </w:rPr>
          <w:t>https://consult.health.govt.nz</w:t>
        </w:r>
      </w:hyperlink>
    </w:p>
    <w:p w14:paraId="302F20AA" w14:textId="6759B423" w:rsidR="00A10A05" w:rsidRPr="00932D30" w:rsidRDefault="00A10A05" w:rsidP="0044283E">
      <w:pPr>
        <w:pStyle w:val="ListParagraph"/>
        <w:keepLines/>
        <w:numPr>
          <w:ilvl w:val="0"/>
          <w:numId w:val="25"/>
        </w:numPr>
        <w:spacing w:after="160"/>
        <w:ind w:left="425" w:hanging="357"/>
        <w:contextualSpacing w:val="0"/>
        <w:rPr>
          <w:rFonts w:ascii="Microsoft YaHei" w:eastAsia="Microsoft YaHei" w:hAnsi="Microsoft YaHei" w:cs="Segoe UI"/>
        </w:rPr>
      </w:pPr>
      <w:r w:rsidRPr="00932D30">
        <w:rPr>
          <w:rFonts w:ascii="Microsoft YaHei" w:eastAsia="Microsoft YaHei" w:hAnsi="Microsoft YaHei"/>
        </w:rPr>
        <w:t>将您的意见以电邮形式发送至</w:t>
      </w:r>
      <w:hyperlink r:id="rId9" w:history="1">
        <w:r w:rsidRPr="00932D30">
          <w:rPr>
            <w:rStyle w:val="Hyperlink"/>
            <w:rFonts w:ascii="Microsoft YaHei" w:eastAsia="Microsoft YaHei" w:hAnsi="Microsoft YaHei"/>
            <w:b/>
          </w:rPr>
          <w:t>gamblingharm@health.govt.nz</w:t>
        </w:r>
      </w:hyperlink>
      <w:r w:rsidRPr="00932D30">
        <w:rPr>
          <w:rFonts w:ascii="Microsoft YaHei" w:eastAsia="Microsoft YaHei" w:hAnsi="Microsoft YaHei"/>
        </w:rPr>
        <w:t>。</w:t>
      </w:r>
    </w:p>
    <w:p w14:paraId="12C94DD3" w14:textId="77777777" w:rsidR="00A10A05" w:rsidRPr="00932D30" w:rsidRDefault="00A10A05" w:rsidP="00A10A05">
      <w:pPr>
        <w:pStyle w:val="ListParagraph"/>
        <w:keepLines/>
        <w:spacing w:after="160" w:line="240" w:lineRule="auto"/>
        <w:rPr>
          <w:rFonts w:ascii="Microsoft YaHei" w:eastAsia="Microsoft YaHei" w:hAnsi="Microsoft YaHei" w:cs="Segoe UI"/>
        </w:rPr>
      </w:pPr>
    </w:p>
    <w:sectPr w:rsidR="00A10A05" w:rsidRPr="00932D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4D6" w14:textId="77777777" w:rsidR="00B64FEA" w:rsidRDefault="00B64FEA" w:rsidP="00917215">
      <w:pPr>
        <w:spacing w:line="240" w:lineRule="auto"/>
      </w:pPr>
      <w:r>
        <w:separator/>
      </w:r>
    </w:p>
  </w:endnote>
  <w:endnote w:type="continuationSeparator" w:id="0">
    <w:p w14:paraId="0BC7076B" w14:textId="77777777" w:rsidR="00B64FEA" w:rsidRDefault="00B64FEA" w:rsidP="00917215">
      <w:pPr>
        <w:spacing w:line="240" w:lineRule="auto"/>
      </w:pPr>
      <w:r>
        <w:continuationSeparator/>
      </w:r>
    </w:p>
  </w:endnote>
  <w:endnote w:type="continuationNotice" w:id="1">
    <w:p w14:paraId="219CCA9A" w14:textId="77777777" w:rsidR="00B64FEA" w:rsidRDefault="00B64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2BF" w14:textId="77777777" w:rsidR="00B64FEA" w:rsidRDefault="00B64FEA" w:rsidP="00917215">
      <w:pPr>
        <w:spacing w:line="240" w:lineRule="auto"/>
      </w:pPr>
      <w:r>
        <w:separator/>
      </w:r>
    </w:p>
  </w:footnote>
  <w:footnote w:type="continuationSeparator" w:id="0">
    <w:p w14:paraId="7AE5D558" w14:textId="77777777" w:rsidR="00B64FEA" w:rsidRDefault="00B64FEA" w:rsidP="00917215">
      <w:pPr>
        <w:spacing w:line="240" w:lineRule="auto"/>
      </w:pPr>
      <w:r>
        <w:continuationSeparator/>
      </w:r>
    </w:p>
  </w:footnote>
  <w:footnote w:type="continuationNotice" w:id="1">
    <w:p w14:paraId="6DB6FECD" w14:textId="77777777" w:rsidR="00B64FEA" w:rsidRDefault="00B64F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hint="default"/>
      </w:rPr>
    </w:lvl>
    <w:lvl w:ilvl="8">
      <w:start w:val="1"/>
      <w:numFmt w:val="bullet"/>
      <w:lvlText w:val=""/>
      <w:lvlJc w:val="left"/>
      <w:pPr>
        <w:ind w:left="6480" w:hanging="360"/>
      </w:pPr>
      <w:rPr>
        <w:rFonts w:ascii="Wingdings" w:eastAsia="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hint="default"/>
      </w:rPr>
    </w:lvl>
    <w:lvl w:ilvl="8">
      <w:start w:val="1"/>
      <w:numFmt w:val="bullet"/>
      <w:lvlText w:val=""/>
      <w:lvlJc w:val="left"/>
      <w:pPr>
        <w:ind w:left="6480" w:hanging="360"/>
      </w:pPr>
      <w:rPr>
        <w:rFonts w:ascii="Wingdings" w:eastAsia="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eastAsia="Courier New" w:hAnsi="Courier New" w:cs="Courier New"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ind w:left="1440" w:hanging="360"/>
      </w:pPr>
      <w:rPr>
        <w:rFonts w:ascii="Courier New" w:eastAsia="Courier New" w:hAnsi="Courier New" w:cs="Courier New" w:hint="default"/>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eastAsia="Symbol" w:hAnsi="Symbol" w:hint="default"/>
      </w:rPr>
    </w:lvl>
    <w:lvl w:ilvl="1" w:tplc="06901BF6">
      <w:start w:val="1"/>
      <w:numFmt w:val="bullet"/>
      <w:pStyle w:val="Second-levelbullets"/>
      <w:lvlText w:val="o"/>
      <w:lvlJc w:val="left"/>
      <w:pPr>
        <w:ind w:left="1080" w:hanging="360"/>
      </w:pPr>
      <w:rPr>
        <w:rFonts w:ascii="Courier New" w:eastAsia="Courier New" w:hAnsi="Courier New" w:cs="Courier New" w:hint="default"/>
      </w:rPr>
    </w:lvl>
    <w:lvl w:ilvl="2" w:tplc="14090005" w:tentative="1">
      <w:start w:val="1"/>
      <w:numFmt w:val="bullet"/>
      <w:lvlText w:val=""/>
      <w:lvlJc w:val="left"/>
      <w:pPr>
        <w:ind w:left="1800" w:hanging="360"/>
      </w:pPr>
      <w:rPr>
        <w:rFonts w:ascii="Wingdings" w:eastAsia="Wingdings" w:hAnsi="Wingdings" w:hint="default"/>
      </w:rPr>
    </w:lvl>
    <w:lvl w:ilvl="3" w:tplc="14090001" w:tentative="1">
      <w:start w:val="1"/>
      <w:numFmt w:val="bullet"/>
      <w:lvlText w:val=""/>
      <w:lvlJc w:val="left"/>
      <w:pPr>
        <w:ind w:left="2520" w:hanging="360"/>
      </w:pPr>
      <w:rPr>
        <w:rFonts w:ascii="Symbol" w:eastAsia="Symbol" w:hAnsi="Symbol" w:hint="default"/>
      </w:rPr>
    </w:lvl>
    <w:lvl w:ilvl="4" w:tplc="14090003" w:tentative="1">
      <w:start w:val="1"/>
      <w:numFmt w:val="bullet"/>
      <w:lvlText w:val="o"/>
      <w:lvlJc w:val="left"/>
      <w:pPr>
        <w:ind w:left="3240" w:hanging="360"/>
      </w:pPr>
      <w:rPr>
        <w:rFonts w:ascii="Courier New" w:eastAsia="Courier New" w:hAnsi="Courier New" w:cs="Courier New" w:hint="default"/>
      </w:rPr>
    </w:lvl>
    <w:lvl w:ilvl="5" w:tplc="14090005" w:tentative="1">
      <w:start w:val="1"/>
      <w:numFmt w:val="bullet"/>
      <w:lvlText w:val=""/>
      <w:lvlJc w:val="left"/>
      <w:pPr>
        <w:ind w:left="3960" w:hanging="360"/>
      </w:pPr>
      <w:rPr>
        <w:rFonts w:ascii="Wingdings" w:eastAsia="Wingdings" w:hAnsi="Wingdings" w:hint="default"/>
      </w:rPr>
    </w:lvl>
    <w:lvl w:ilvl="6" w:tplc="14090001" w:tentative="1">
      <w:start w:val="1"/>
      <w:numFmt w:val="bullet"/>
      <w:lvlText w:val=""/>
      <w:lvlJc w:val="left"/>
      <w:pPr>
        <w:ind w:left="4680" w:hanging="360"/>
      </w:pPr>
      <w:rPr>
        <w:rFonts w:ascii="Symbol" w:eastAsia="Symbol" w:hAnsi="Symbol" w:hint="default"/>
      </w:rPr>
    </w:lvl>
    <w:lvl w:ilvl="7" w:tplc="14090003" w:tentative="1">
      <w:start w:val="1"/>
      <w:numFmt w:val="bullet"/>
      <w:lvlText w:val="o"/>
      <w:lvlJc w:val="left"/>
      <w:pPr>
        <w:ind w:left="5400" w:hanging="360"/>
      </w:pPr>
      <w:rPr>
        <w:rFonts w:ascii="Courier New" w:eastAsia="Courier New" w:hAnsi="Courier New" w:cs="Courier New" w:hint="default"/>
      </w:rPr>
    </w:lvl>
    <w:lvl w:ilvl="8" w:tplc="14090005" w:tentative="1">
      <w:start w:val="1"/>
      <w:numFmt w:val="bullet"/>
      <w:lvlText w:val=""/>
      <w:lvlJc w:val="left"/>
      <w:pPr>
        <w:ind w:left="6120" w:hanging="360"/>
      </w:pPr>
      <w:rPr>
        <w:rFonts w:ascii="Wingdings" w:eastAsia="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eastAsia="Courier New" w:hAnsi="Courier New" w:cs="Courier New"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eastAsia="Courier New" w:hAnsi="Courier New" w:cs="Courier New"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eastAsia="Courier New" w:hAnsi="Courier New" w:cs="Courier New"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D3A"/>
    <w:rsid w:val="002B7953"/>
    <w:rsid w:val="002C488B"/>
    <w:rsid w:val="002C534B"/>
    <w:rsid w:val="002D2EBC"/>
    <w:rsid w:val="002D5DA2"/>
    <w:rsid w:val="0031247F"/>
    <w:rsid w:val="00314F23"/>
    <w:rsid w:val="00347171"/>
    <w:rsid w:val="0037533A"/>
    <w:rsid w:val="00384346"/>
    <w:rsid w:val="003904BB"/>
    <w:rsid w:val="003B099B"/>
    <w:rsid w:val="003C1765"/>
    <w:rsid w:val="003D64B0"/>
    <w:rsid w:val="003F1CDF"/>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42021"/>
    <w:rsid w:val="00753218"/>
    <w:rsid w:val="007759C4"/>
    <w:rsid w:val="00776DAE"/>
    <w:rsid w:val="007C1C29"/>
    <w:rsid w:val="007C68ED"/>
    <w:rsid w:val="007D318A"/>
    <w:rsid w:val="0080494D"/>
    <w:rsid w:val="00835F42"/>
    <w:rsid w:val="008A2B8D"/>
    <w:rsid w:val="00910CD9"/>
    <w:rsid w:val="00915229"/>
    <w:rsid w:val="00917215"/>
    <w:rsid w:val="00921449"/>
    <w:rsid w:val="00932D30"/>
    <w:rsid w:val="009532D7"/>
    <w:rsid w:val="009742FF"/>
    <w:rsid w:val="009743CB"/>
    <w:rsid w:val="0099297D"/>
    <w:rsid w:val="009B32C0"/>
    <w:rsid w:val="009B6DF7"/>
    <w:rsid w:val="009F7904"/>
    <w:rsid w:val="00A10A05"/>
    <w:rsid w:val="00A331B9"/>
    <w:rsid w:val="00A66923"/>
    <w:rsid w:val="00AA7828"/>
    <w:rsid w:val="00AD4890"/>
    <w:rsid w:val="00AE461E"/>
    <w:rsid w:val="00B12F08"/>
    <w:rsid w:val="00B2604C"/>
    <w:rsid w:val="00B324FA"/>
    <w:rsid w:val="00B40C38"/>
    <w:rsid w:val="00B45D59"/>
    <w:rsid w:val="00B64FEA"/>
    <w:rsid w:val="00B95A24"/>
    <w:rsid w:val="00BA3E22"/>
    <w:rsid w:val="00BC414C"/>
    <w:rsid w:val="00C36AC7"/>
    <w:rsid w:val="00C723EA"/>
    <w:rsid w:val="00C92B07"/>
    <w:rsid w:val="00C962E5"/>
    <w:rsid w:val="00CB4EC1"/>
    <w:rsid w:val="00D045BF"/>
    <w:rsid w:val="00D13D11"/>
    <w:rsid w:val="00D503D1"/>
    <w:rsid w:val="00D51CE1"/>
    <w:rsid w:val="00D64356"/>
    <w:rsid w:val="00D8400E"/>
    <w:rsid w:val="00DB7CEC"/>
    <w:rsid w:val="00DF58B0"/>
    <w:rsid w:val="00E1366D"/>
    <w:rsid w:val="00E20FF8"/>
    <w:rsid w:val="00E23541"/>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EastAsia" w:hAnsiTheme="minorHAnsi" w:cstheme="minorBidi"/>
      <w:sz w:val="20"/>
      <w:szCs w:val="20"/>
      <w:lang w:val="en-NZ"/>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val="en" w:eastAsia="zh-CN"/>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heme="minorEastAsia" w:hAnsiTheme="minorHAnsi" w:cstheme="minorHAnsi"/>
      <w:lang w:val="en-GB"/>
    </w:rPr>
  </w:style>
  <w:style w:type="character" w:customStyle="1" w:styleId="BulletChar">
    <w:name w:val="Bullet Char"/>
    <w:link w:val="Bullet"/>
    <w:locked/>
    <w:rsid w:val="00294A7D"/>
    <w:rPr>
      <w:rFonts w:cstheme="minorHAnsi"/>
      <w:lang w:val="en-GB" w:eastAsia="zh-CN"/>
    </w:rPr>
  </w:style>
  <w:style w:type="paragraph" w:customStyle="1" w:styleId="Second-levelbullets">
    <w:name w:val="Second-level bullets"/>
    <w:basedOn w:val="Bullet"/>
    <w:uiPriority w:val="3"/>
    <w:qFormat/>
    <w:rsid w:val="00294A7D"/>
    <w:pPr>
      <w:numPr>
        <w:ilvl w:val="1"/>
      </w:numPr>
      <w:tabs>
        <w:tab w:val="num" w:pos="360"/>
        <w:tab w:val="num" w:pos="1440"/>
      </w:tabs>
      <w:ind w:left="851"/>
    </w:pPr>
  </w:style>
  <w:style w:type="paragraph" w:styleId="Revision">
    <w:name w:val="Revision"/>
    <w:hidden/>
    <w:uiPriority w:val="99"/>
    <w:semiHidden/>
    <w:rsid w:val="002C534B"/>
    <w:pPr>
      <w:spacing w:after="0" w:line="240" w:lineRule="auto"/>
    </w:pPr>
    <w:rPr>
      <w:rFonts w:ascii="Arial" w:eastAsia="Arial" w:hAnsi="Arial" w:cs="Arial"/>
      <w:lang w:val="en"/>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val="en" w:eastAsia="zh-CN"/>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val="en" w:eastAsia="zh-CN"/>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val="en" w:eastAsia="zh-CN"/>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MOHECM-952532665-22193</_dlc_DocId>
    <_dlc_DocIdUrl xmlns="c5b47098-0215-444c-9096-523bda4ac5c6">
      <Url>https://mohgovtnz.sharepoint.com/sites/moh-ecm-MentHealSPL/_layouts/15/DocIdRedir.aspx?ID=MOHECM-952532665-22193</Url>
      <Description>MOHECM-952532665-22193</Description>
    </_dlc_DocIdUrl>
  </documentManagement>
</p:properties>
</file>

<file path=customXml/itemProps1.xml><?xml version="1.0" encoding="utf-8"?>
<ds:datastoreItem xmlns:ds="http://schemas.openxmlformats.org/officeDocument/2006/customXml" ds:itemID="{FF28A6E2-25F6-4588-A9CC-A177A1494038}"/>
</file>

<file path=customXml/itemProps2.xml><?xml version="1.0" encoding="utf-8"?>
<ds:datastoreItem xmlns:ds="http://schemas.openxmlformats.org/officeDocument/2006/customXml" ds:itemID="{7A941EDD-8962-459B-989E-9D84CDB7BE75}"/>
</file>

<file path=customXml/itemProps3.xml><?xml version="1.0" encoding="utf-8"?>
<ds:datastoreItem xmlns:ds="http://schemas.openxmlformats.org/officeDocument/2006/customXml" ds:itemID="{0CECF8B5-2131-476A-810C-292D89D5699C}"/>
</file>

<file path=customXml/itemProps4.xml><?xml version="1.0" encoding="utf-8"?>
<ds:datastoreItem xmlns:ds="http://schemas.openxmlformats.org/officeDocument/2006/customXml" ds:itemID="{452BC434-B093-48A4-B1C3-AD97AACD5350}"/>
</file>

<file path=docProps/app.xml><?xml version="1.0" encoding="utf-8"?>
<Properties xmlns="http://schemas.openxmlformats.org/officeDocument/2006/extended-properties" xmlns:vt="http://schemas.openxmlformats.org/officeDocument/2006/docPropsVTypes">
  <Template>Normal</Template>
  <TotalTime>17</TotalTime>
  <Pages>4</Pages>
  <Words>1233</Words>
  <Characters>1543</Characters>
  <Application>Microsoft Office Word</Application>
  <DocSecurity>0</DocSecurity>
  <Lines>220</Lines>
  <Paragraphs>277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Jing Chen</cp:lastModifiedBy>
  <cp:revision>9</cp:revision>
  <dcterms:created xsi:type="dcterms:W3CDTF">2024-08-21T07:40:00Z</dcterms:created>
  <dcterms:modified xsi:type="dcterms:W3CDTF">2024-08-26T23:19:00Z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74597d3f-ff2c-47e8-a909-260d399edced</vt:lpwstr>
  </property>
  <property fmtid="{D5CDD505-2E9C-101B-9397-08002B2CF9AE}" pid="4" name="MediaServiceImageTags">
    <vt:lpwstr/>
  </property>
</Properties>
</file>