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784901" w14:textId="2F2C0DED" w:rsidR="00294A7D" w:rsidRPr="00353F83" w:rsidRDefault="00F602AB" w:rsidP="00294A7D">
      <w:pPr>
        <w:spacing w:before="120" w:after="120" w:line="240" w:lineRule="auto"/>
        <w:rPr>
          <w:rFonts w:ascii="Segoe UI" w:eastAsiaTheme="minorEastAsia" w:hAnsi="Segoe UI" w:cs="Segoe UI"/>
          <w:b/>
          <w:bCs/>
          <w:sz w:val="28"/>
          <w:szCs w:val="28"/>
          <w:lang w:val="co-FR"/>
        </w:rPr>
      </w:pPr>
      <w:r w:rsidRPr="00353F83">
        <w:rPr>
          <w:rFonts w:ascii="Segoe UI" w:hAnsi="Segoe UI"/>
          <w:b/>
          <w:sz w:val="28"/>
          <w:lang w:val="co-FR"/>
        </w:rPr>
        <w:t>Tham vấn về Chiến lược Phòng ngừa và Giảm thiểu Tác hại của Cờ bạc giai đoạn 2025/26 đến 2027/28</w:t>
      </w:r>
    </w:p>
    <w:p w14:paraId="0CD91980" w14:textId="689ACFD0" w:rsidR="00294A7D" w:rsidRPr="00353F83" w:rsidRDefault="00294A7D" w:rsidP="00294A7D">
      <w:pPr>
        <w:spacing w:before="120" w:after="120" w:line="240" w:lineRule="auto"/>
        <w:rPr>
          <w:rFonts w:ascii="Segoe UI" w:eastAsia="Segoe UI" w:hAnsi="Segoe UI" w:cs="Segoe UI"/>
          <w:b/>
          <w:bCs/>
          <w:lang w:val="co-FR"/>
        </w:rPr>
      </w:pPr>
      <w:r w:rsidRPr="00353F83">
        <w:rPr>
          <w:rFonts w:ascii="Segoe UI" w:hAnsi="Segoe UI"/>
          <w:b/>
          <w:lang w:val="co-FR"/>
        </w:rPr>
        <w:t>Giới thiệu</w:t>
      </w:r>
    </w:p>
    <w:p w14:paraId="0B95A1D4" w14:textId="4FD4D874" w:rsidR="00294A7D" w:rsidRPr="00353F83" w:rsidRDefault="00294A7D" w:rsidP="00294A7D">
      <w:pPr>
        <w:spacing w:before="120" w:after="120" w:line="240" w:lineRule="auto"/>
        <w:rPr>
          <w:rFonts w:ascii="Segoe UI" w:eastAsia="Segoe UI" w:hAnsi="Segoe UI" w:cs="Segoe UI"/>
          <w:lang w:val="co-FR"/>
        </w:rPr>
      </w:pPr>
      <w:r w:rsidRPr="00353F83">
        <w:rPr>
          <w:rFonts w:ascii="Segoe UI" w:hAnsi="Segoe UI"/>
          <w:lang w:val="co-FR"/>
        </w:rPr>
        <w:t xml:space="preserve">Tác hại của cờ bạc là một vấn đề sức khỏe cộng đồng đáng kể đối với các cộng đồng của chúng ta, cũng như đối với các cá nhân và gia đình. Khoảng một trên năm người ở New Zealand gặp phải tác hại </w:t>
      </w:r>
      <w:r w:rsidR="0071799E" w:rsidRPr="00353F83">
        <w:rPr>
          <w:rFonts w:ascii="Segoe UI" w:hAnsi="Segoe UI"/>
          <w:lang w:val="co-FR"/>
        </w:rPr>
        <w:t>t</w:t>
      </w:r>
      <w:r w:rsidR="0071799E" w:rsidRPr="00353F83">
        <w:rPr>
          <w:rFonts w:ascii="Cambria" w:hAnsi="Cambria"/>
          <w:lang w:val="co-FR"/>
        </w:rPr>
        <w:t>ừ</w:t>
      </w:r>
      <w:r w:rsidRPr="00353F83">
        <w:rPr>
          <w:rFonts w:ascii="Segoe UI" w:hAnsi="Segoe UI"/>
          <w:lang w:val="co-FR"/>
        </w:rPr>
        <w:t xml:space="preserve"> việc cờ bạc của chính họ hoặc của người khác.</w:t>
      </w:r>
    </w:p>
    <w:p w14:paraId="3BC18B99" w14:textId="77777777" w:rsidR="00294A7D" w:rsidRPr="00353F83" w:rsidRDefault="00294A7D" w:rsidP="00294A7D">
      <w:pPr>
        <w:spacing w:before="120" w:after="120" w:line="240" w:lineRule="auto"/>
        <w:rPr>
          <w:rFonts w:ascii="Segoe UI" w:eastAsia="Segoe UI" w:hAnsi="Segoe UI" w:cs="Segoe UI"/>
          <w:lang w:val="co-FR"/>
        </w:rPr>
      </w:pPr>
    </w:p>
    <w:p w14:paraId="066DFC3D" w14:textId="0C2D9F66" w:rsidR="00294A7D" w:rsidRPr="00353F83" w:rsidRDefault="00294A7D" w:rsidP="00294A7D">
      <w:pPr>
        <w:spacing w:before="120" w:after="120" w:line="240" w:lineRule="auto"/>
        <w:rPr>
          <w:rFonts w:ascii="Segoe UI" w:eastAsia="Segoe UI" w:hAnsi="Segoe UI" w:cs="Segoe UI"/>
          <w:lang w:val="co-FR"/>
        </w:rPr>
      </w:pPr>
      <w:r w:rsidRPr="00353F83">
        <w:rPr>
          <w:rFonts w:ascii="Segoe UI" w:hAnsi="Segoe UI"/>
          <w:lang w:val="co-FR"/>
        </w:rPr>
        <w:t>Tác hại này không được cảm nhận đồng đều trong các cộng đồng của chúng ta, vì người Māori, người Đảo, người châu Á và người trẻ tuổi chịu nhiều tác hại từ cờ bạc hơn các nhóm dân số khác.</w:t>
      </w:r>
    </w:p>
    <w:p w14:paraId="75CE93E8" w14:textId="77777777" w:rsidR="00294A7D" w:rsidRPr="00353F83" w:rsidRDefault="00294A7D" w:rsidP="00294A7D">
      <w:pPr>
        <w:spacing w:before="120" w:after="120" w:line="240" w:lineRule="auto"/>
        <w:rPr>
          <w:rFonts w:ascii="Segoe UI" w:eastAsia="Segoe UI" w:hAnsi="Segoe UI" w:cs="Segoe UI"/>
          <w:lang w:val="co-FR"/>
        </w:rPr>
      </w:pPr>
    </w:p>
    <w:p w14:paraId="447268CE" w14:textId="4B9A9B48" w:rsidR="00294A7D" w:rsidRPr="00353F83" w:rsidRDefault="00294A7D" w:rsidP="00294A7D">
      <w:pPr>
        <w:spacing w:before="120" w:after="120" w:line="240" w:lineRule="auto"/>
        <w:rPr>
          <w:rFonts w:ascii="Segoe UI" w:eastAsia="Segoe UI" w:hAnsi="Segoe UI" w:cs="Segoe UI"/>
          <w:lang w:val="co-FR"/>
        </w:rPr>
      </w:pPr>
      <w:r w:rsidRPr="00353F83">
        <w:rPr>
          <w:rFonts w:ascii="Segoe UI" w:hAnsi="Segoe UI"/>
          <w:lang w:val="co-FR"/>
        </w:rPr>
        <w:t xml:space="preserve">Theo Đạo luật cờ bạc năm 2003, Bộ Y tế có trách nhiệm ba năm một lần tham vấn về một chiến lược được đề xuất, bao gồm các dịch vụ, nhằm ngăn ngừa và giảm thiểu tác hại do cờ bạc gây ra cho con người, gia đình và cộng đồng. Trong khuôn khổ đó, Bộ </w:t>
      </w:r>
      <w:r w:rsidR="0071799E" w:rsidRPr="00353F83">
        <w:rPr>
          <w:rFonts w:ascii="Segoe UI" w:hAnsi="Segoe UI"/>
          <w:lang w:val="co-FR"/>
        </w:rPr>
        <w:t xml:space="preserve">đang </w:t>
      </w:r>
      <w:r w:rsidRPr="00353F83">
        <w:rPr>
          <w:rFonts w:ascii="Segoe UI" w:hAnsi="Segoe UI"/>
          <w:lang w:val="co-FR"/>
        </w:rPr>
        <w:t xml:space="preserve">tham vấn về các phương án đánh thuế </w:t>
      </w:r>
      <w:r w:rsidR="00611445" w:rsidRPr="00353F83">
        <w:rPr>
          <w:rFonts w:ascii="Segoe UI" w:hAnsi="Segoe UI"/>
          <w:lang w:val="co-FR"/>
        </w:rPr>
        <w:t xml:space="preserve">các nhà điều hành cờ bạc </w:t>
      </w:r>
      <w:r w:rsidRPr="00353F83">
        <w:rPr>
          <w:rFonts w:ascii="Segoe UI" w:hAnsi="Segoe UI"/>
          <w:lang w:val="co-FR"/>
        </w:rPr>
        <w:t>để bù đắp cho chi phí xây dựng và triển khai chiến lược</w:t>
      </w:r>
      <w:r w:rsidR="0071799E" w:rsidRPr="00353F83">
        <w:rPr>
          <w:rFonts w:ascii="Segoe UI" w:hAnsi="Segoe UI"/>
          <w:lang w:val="co-FR"/>
        </w:rPr>
        <w:t xml:space="preserve"> đó</w:t>
      </w:r>
      <w:r w:rsidRPr="00353F83">
        <w:rPr>
          <w:rFonts w:ascii="Segoe UI" w:hAnsi="Segoe UI"/>
          <w:lang w:val="co-FR"/>
        </w:rPr>
        <w:t xml:space="preserve">. </w:t>
      </w:r>
    </w:p>
    <w:p w14:paraId="639FCF0C" w14:textId="04D6F6F3" w:rsidR="00294A7D" w:rsidRPr="00353F83" w:rsidRDefault="00294A7D" w:rsidP="00294A7D">
      <w:pPr>
        <w:spacing w:before="120" w:after="120" w:line="240" w:lineRule="auto"/>
        <w:rPr>
          <w:rStyle w:val="normaltextrun"/>
          <w:rFonts w:ascii="Segoe UI" w:eastAsia="Segoe UI" w:hAnsi="Segoe UI" w:cs="Segoe UI"/>
          <w:color w:val="000000" w:themeColor="text1"/>
          <w:lang w:val="co-FR"/>
        </w:rPr>
      </w:pPr>
    </w:p>
    <w:p w14:paraId="2DA76E35" w14:textId="5CEBC5DF" w:rsidR="00294A7D" w:rsidRPr="00353F83" w:rsidRDefault="00294A7D" w:rsidP="00294A7D">
      <w:pPr>
        <w:spacing w:before="120" w:after="120" w:line="240" w:lineRule="auto"/>
        <w:rPr>
          <w:rFonts w:ascii="Segoe UI" w:eastAsia="Segoe UI" w:hAnsi="Segoe UI" w:cs="Segoe UI"/>
          <w:b/>
          <w:bCs/>
          <w:lang w:val="co-FR"/>
        </w:rPr>
      </w:pPr>
      <w:r w:rsidRPr="00353F83">
        <w:rPr>
          <w:rStyle w:val="normaltextrun"/>
          <w:rFonts w:ascii="Segoe UI" w:hAnsi="Segoe UI"/>
          <w:b/>
          <w:color w:val="000000" w:themeColor="text1"/>
          <w:lang w:val="co-FR"/>
        </w:rPr>
        <w:t>Bộ hiện đang tham vấn về Chiến lược Phòng ngừa và Giảm thiểu Tác hại của Cờ bạc giai đoạn 2025/26 đến 2027/28</w:t>
      </w:r>
    </w:p>
    <w:p w14:paraId="5C12D83F" w14:textId="77777777" w:rsidR="00294A7D" w:rsidRPr="00353F83" w:rsidRDefault="00294A7D" w:rsidP="00294A7D">
      <w:pPr>
        <w:spacing w:before="120" w:after="120" w:line="240" w:lineRule="auto"/>
        <w:rPr>
          <w:rFonts w:ascii="Segoe UI" w:eastAsia="Segoe UI" w:hAnsi="Segoe UI" w:cs="Segoe UI"/>
          <w:b/>
          <w:bCs/>
          <w:lang w:val="co-FR"/>
        </w:rPr>
      </w:pPr>
    </w:p>
    <w:p w14:paraId="742B8CF6" w14:textId="381C1ABB" w:rsidR="00294A7D" w:rsidRPr="00353F83" w:rsidRDefault="00294A7D" w:rsidP="00294A7D">
      <w:pPr>
        <w:spacing w:before="120" w:after="120" w:line="240" w:lineRule="auto"/>
        <w:rPr>
          <w:rFonts w:ascii="Segoe UI" w:eastAsiaTheme="minorEastAsia" w:hAnsi="Segoe UI" w:cs="Segoe UI"/>
          <w:lang w:val="co-FR"/>
        </w:rPr>
      </w:pPr>
      <w:r w:rsidRPr="00353F83">
        <w:rPr>
          <w:rFonts w:ascii="Segoe UI" w:hAnsi="Segoe UI"/>
          <w:lang w:val="co-FR"/>
        </w:rPr>
        <w:t>Đây là cơ hội để bày tỏ ý kiến của bạn về dự thảo kế hoạch chiến lược (những gì chúng ta sẽ đạt được), dự thảo kế hoạch dịch vụ (cách thức chúng ta sẽ đạt được nó) và dự thảo mức tài trợ kinh phí và mức thuế (cách thức nó sẽ được tài trợ kinh phí).</w:t>
      </w:r>
    </w:p>
    <w:p w14:paraId="07210F78" w14:textId="77777777" w:rsidR="00294A7D" w:rsidRPr="00353F83" w:rsidRDefault="00294A7D" w:rsidP="00294A7D">
      <w:pPr>
        <w:spacing w:before="120" w:after="120" w:line="240" w:lineRule="auto"/>
        <w:rPr>
          <w:rFonts w:ascii="Segoe UI" w:eastAsiaTheme="minorEastAsia" w:hAnsi="Segoe UI" w:cs="Segoe UI"/>
          <w:lang w:val="co-FR"/>
        </w:rPr>
      </w:pPr>
    </w:p>
    <w:p w14:paraId="45CBA94F" w14:textId="099CEC6A" w:rsidR="00294A7D" w:rsidRPr="00353F83" w:rsidRDefault="0071799E" w:rsidP="00294A7D">
      <w:pPr>
        <w:spacing w:before="120" w:after="120" w:line="240" w:lineRule="auto"/>
        <w:rPr>
          <w:rFonts w:ascii="Segoe UI" w:eastAsiaTheme="minorEastAsia" w:hAnsi="Segoe UI" w:cs="Segoe UI"/>
          <w:lang w:val="co-FR"/>
        </w:rPr>
      </w:pPr>
      <w:r w:rsidRPr="00353F83">
        <w:rPr>
          <w:rFonts w:ascii="Segoe UI" w:hAnsi="Segoe UI"/>
          <w:lang w:val="co-FR"/>
        </w:rPr>
        <w:t xml:space="preserve">Các phản </w:t>
      </w:r>
      <w:r w:rsidR="00294A7D" w:rsidRPr="00353F83">
        <w:rPr>
          <w:rFonts w:ascii="Segoe UI" w:hAnsi="Segoe UI"/>
          <w:lang w:val="co-FR"/>
        </w:rPr>
        <w:t>hồi</w:t>
      </w:r>
      <w:r w:rsidRPr="00353F83">
        <w:rPr>
          <w:rFonts w:ascii="Segoe UI" w:hAnsi="Segoe UI"/>
          <w:lang w:val="co-FR"/>
        </w:rPr>
        <w:t xml:space="preserve"> có đ</w:t>
      </w:r>
      <w:r w:rsidRPr="00353F83">
        <w:rPr>
          <w:rFonts w:ascii="Cambria" w:hAnsi="Cambria"/>
          <w:lang w:val="co-FR"/>
        </w:rPr>
        <w:t xml:space="preserve">ược từ lần </w:t>
      </w:r>
      <w:r w:rsidR="00294A7D" w:rsidRPr="00353F83">
        <w:rPr>
          <w:rFonts w:ascii="Segoe UI" w:hAnsi="Segoe UI"/>
          <w:lang w:val="co-FR"/>
        </w:rPr>
        <w:t>tham vấn này sẽ là một phần của thông tin được gửi tới Ủy ban cờ bạc, cơ quan này sẽ tiến hành tham vấn của riêng họ và đưa ra các khuyến nghị cho Chính phủ như là một phần của giai đoạn tiếp theo của công việc này. Chiến lược và mức thuế mới sẽ có hiệu lực từ ngày 1/7/2025.</w:t>
      </w:r>
    </w:p>
    <w:p w14:paraId="35EBF610" w14:textId="77777777" w:rsidR="00294A7D" w:rsidRPr="00353F83" w:rsidRDefault="00294A7D" w:rsidP="00294A7D">
      <w:pPr>
        <w:spacing w:before="120" w:after="120" w:line="240" w:lineRule="auto"/>
        <w:rPr>
          <w:rFonts w:ascii="Segoe UI" w:eastAsiaTheme="minorEastAsia" w:hAnsi="Segoe UI" w:cs="Segoe UI"/>
          <w:lang w:val="co-FR"/>
        </w:rPr>
      </w:pPr>
    </w:p>
    <w:p w14:paraId="312B23ED" w14:textId="3C0CB9DD" w:rsidR="00294A7D" w:rsidRPr="00353F83" w:rsidRDefault="00294A7D" w:rsidP="00294A7D">
      <w:pPr>
        <w:spacing w:before="120" w:after="120" w:line="240" w:lineRule="auto"/>
        <w:rPr>
          <w:rFonts w:ascii="Segoe UI" w:eastAsiaTheme="minorEastAsia" w:hAnsi="Segoe UI" w:cs="Segoe UI"/>
          <w:lang w:val="co-FR"/>
        </w:rPr>
      </w:pPr>
      <w:r w:rsidRPr="00353F83">
        <w:rPr>
          <w:rFonts w:ascii="Segoe UI" w:hAnsi="Segoe UI"/>
          <w:lang w:val="co-FR"/>
        </w:rPr>
        <w:t>Chiến lược mới này dựa trên các chiến lược trước đây nhằm ngăn ngừa và giảm thiểu tác hại của cờ bạc và phù hợp với các mục tiêu và ưu tiên sức khỏe của Chính phủ về sức khỏe tâm thần và nghiện ngập, với mục tiêu chung là tuổi thọ và chất lượng cuộc sống của người New Zealand không bị ảnh hưởng bởi tác hại của cờ bạc.</w:t>
      </w:r>
    </w:p>
    <w:p w14:paraId="4930B2BA" w14:textId="77777777" w:rsidR="00294A7D" w:rsidRPr="00353F83" w:rsidRDefault="00294A7D" w:rsidP="00294A7D">
      <w:pPr>
        <w:spacing w:before="120" w:after="120" w:line="240" w:lineRule="auto"/>
        <w:rPr>
          <w:rFonts w:ascii="Segoe UI" w:eastAsiaTheme="minorEastAsia" w:hAnsi="Segoe UI" w:cs="Segoe UI"/>
          <w:lang w:val="co-FR"/>
        </w:rPr>
      </w:pPr>
    </w:p>
    <w:p w14:paraId="42FB45EA" w14:textId="0488F158" w:rsidR="004A0655" w:rsidRPr="00353F83" w:rsidRDefault="00294A7D" w:rsidP="004E0896">
      <w:pPr>
        <w:spacing w:before="120" w:after="120" w:line="240" w:lineRule="auto"/>
        <w:rPr>
          <w:rFonts w:ascii="Segoe UI" w:eastAsiaTheme="minorEastAsia" w:hAnsi="Segoe UI" w:cs="Segoe UI"/>
          <w:lang w:val="co-FR"/>
        </w:rPr>
      </w:pPr>
      <w:r w:rsidRPr="00353F83">
        <w:rPr>
          <w:rFonts w:ascii="Segoe UI" w:hAnsi="Segoe UI"/>
          <w:lang w:val="co-FR"/>
        </w:rPr>
        <w:t xml:space="preserve">Trong ba năm tới, trọng tâm chính được đề xuất là cải thiện khả năng tiếp cận các dịch vụ phòng ngừa tác hại của cờ bạc, can thiệp sớm và hỗ trợ hiệu quả cho những người có nguy cơ cao nhất bị tác hại </w:t>
      </w:r>
      <w:r w:rsidR="00B2136F" w:rsidRPr="00353F83">
        <w:rPr>
          <w:rFonts w:ascii="Segoe UI" w:hAnsi="Segoe UI"/>
          <w:lang w:val="co-FR"/>
        </w:rPr>
        <w:t>c</w:t>
      </w:r>
      <w:r w:rsidR="00B2136F" w:rsidRPr="00353F83">
        <w:rPr>
          <w:rFonts w:ascii="Cambria" w:hAnsi="Cambria"/>
          <w:lang w:val="co-FR"/>
        </w:rPr>
        <w:t>ủa</w:t>
      </w:r>
      <w:r w:rsidRPr="00353F83">
        <w:rPr>
          <w:rFonts w:ascii="Segoe UI" w:hAnsi="Segoe UI"/>
          <w:lang w:val="co-FR"/>
        </w:rPr>
        <w:t xml:space="preserve"> cờ bạc, đồng thời phát triển và hỗ trợ nguồn nhân lực phòng chống tác hại của cờ bạc – cả nhân viên lâm sàng và đồng đẳng.</w:t>
      </w:r>
    </w:p>
    <w:p w14:paraId="0EDF7D19" w14:textId="733D1C29" w:rsidR="004C1264" w:rsidRPr="00353F83" w:rsidRDefault="00294A7D" w:rsidP="00294A7D">
      <w:pPr>
        <w:spacing w:before="120" w:after="120" w:line="240" w:lineRule="auto"/>
        <w:rPr>
          <w:rStyle w:val="normaltextrun"/>
          <w:rFonts w:ascii="Segoe UI" w:hAnsi="Segoe UI" w:cs="Segoe UI"/>
          <w:b/>
          <w:bCs/>
          <w:lang w:val="co-FR"/>
        </w:rPr>
      </w:pPr>
      <w:r w:rsidRPr="00353F83">
        <w:rPr>
          <w:rFonts w:ascii="Segoe UI" w:hAnsi="Segoe UI"/>
          <w:b/>
          <w:lang w:val="co-FR"/>
        </w:rPr>
        <w:t>Kế hoạch chiến lược (những gì chúng ta sẽ đạt được)</w:t>
      </w:r>
    </w:p>
    <w:p w14:paraId="008C70D5" w14:textId="1D43525C" w:rsidR="00294A7D" w:rsidRPr="00353F83" w:rsidRDefault="00294A7D" w:rsidP="00294A7D">
      <w:pPr>
        <w:spacing w:before="120" w:after="120" w:line="240" w:lineRule="auto"/>
        <w:rPr>
          <w:rFonts w:ascii="Segoe UI" w:eastAsiaTheme="minorEastAsia" w:hAnsi="Segoe UI" w:cs="Segoe UI"/>
          <w:lang w:val="co-FR"/>
        </w:rPr>
      </w:pPr>
      <w:r w:rsidRPr="00353F83">
        <w:rPr>
          <w:rFonts w:ascii="Segoe UI" w:hAnsi="Segoe UI"/>
          <w:lang w:val="co-FR"/>
        </w:rPr>
        <w:lastRenderedPageBreak/>
        <w:t>Dự thảo chiến lược phản ánh các ưu tiên của Chính phủ về sức khỏe tâm thần và nghiện ngập. Liên quan đến tác hại của cờ bạc, những ưu tiên đó bao gồm:</w:t>
      </w:r>
    </w:p>
    <w:p w14:paraId="26D14185" w14:textId="42834357" w:rsidR="00294A7D" w:rsidRPr="00353F83" w:rsidRDefault="00294A7D" w:rsidP="00490F05">
      <w:pPr>
        <w:numPr>
          <w:ilvl w:val="0"/>
          <w:numId w:val="19"/>
        </w:numPr>
        <w:spacing w:before="120" w:after="120" w:line="240" w:lineRule="auto"/>
        <w:ind w:left="426"/>
        <w:rPr>
          <w:rFonts w:ascii="Segoe UI" w:eastAsiaTheme="minorEastAsia" w:hAnsi="Segoe UI" w:cs="Segoe UI"/>
          <w:lang w:val="co-FR"/>
        </w:rPr>
      </w:pPr>
      <w:r w:rsidRPr="00353F83">
        <w:rPr>
          <w:rFonts w:ascii="Segoe UI" w:hAnsi="Segoe UI"/>
          <w:lang w:val="co-FR"/>
        </w:rPr>
        <w:t xml:space="preserve">tăng cường tiếp cận hỗ trợ chống </w:t>
      </w:r>
      <w:r w:rsidR="00B2136F" w:rsidRPr="00353F83">
        <w:rPr>
          <w:rFonts w:ascii="Segoe UI" w:hAnsi="Segoe UI"/>
          <w:lang w:val="co-FR"/>
        </w:rPr>
        <w:t>l</w:t>
      </w:r>
      <w:r w:rsidR="00B2136F" w:rsidRPr="00353F83">
        <w:rPr>
          <w:rFonts w:ascii="Cambria" w:hAnsi="Cambria"/>
          <w:lang w:val="co-FR"/>
        </w:rPr>
        <w:t xml:space="preserve">ại </w:t>
      </w:r>
      <w:r w:rsidRPr="00353F83">
        <w:rPr>
          <w:rFonts w:ascii="Segoe UI" w:hAnsi="Segoe UI"/>
          <w:lang w:val="co-FR"/>
        </w:rPr>
        <w:t>tác hại của cờ bạc</w:t>
      </w:r>
    </w:p>
    <w:p w14:paraId="44CB5040" w14:textId="56D79242" w:rsidR="00294A7D" w:rsidRPr="00353F83" w:rsidRDefault="00294A7D" w:rsidP="00121D30">
      <w:pPr>
        <w:numPr>
          <w:ilvl w:val="0"/>
          <w:numId w:val="19"/>
        </w:numPr>
        <w:spacing w:before="120" w:after="120" w:line="240" w:lineRule="auto"/>
        <w:ind w:left="426"/>
        <w:rPr>
          <w:rFonts w:ascii="Segoe UI" w:eastAsiaTheme="minorEastAsia" w:hAnsi="Segoe UI" w:cs="Segoe UI"/>
          <w:lang w:val="co-FR"/>
        </w:rPr>
      </w:pPr>
      <w:r w:rsidRPr="00353F83">
        <w:rPr>
          <w:rFonts w:ascii="Segoe UI" w:hAnsi="Segoe UI"/>
          <w:lang w:val="co-FR"/>
        </w:rPr>
        <w:t>tăng cường nguồn nhân lực chống lại tác hại của cờ bạc</w:t>
      </w:r>
    </w:p>
    <w:p w14:paraId="46D290C9" w14:textId="2712C053" w:rsidR="00294A7D" w:rsidRPr="00353F83" w:rsidRDefault="00294A7D" w:rsidP="00121D30">
      <w:pPr>
        <w:numPr>
          <w:ilvl w:val="0"/>
          <w:numId w:val="19"/>
        </w:numPr>
        <w:spacing w:before="120" w:after="120" w:line="240" w:lineRule="auto"/>
        <w:ind w:left="426"/>
        <w:rPr>
          <w:rFonts w:ascii="Segoe UI" w:eastAsiaTheme="minorEastAsia" w:hAnsi="Segoe UI" w:cs="Segoe UI"/>
          <w:lang w:val="co-FR"/>
        </w:rPr>
      </w:pPr>
      <w:r w:rsidRPr="00353F83">
        <w:rPr>
          <w:rFonts w:ascii="Segoe UI" w:hAnsi="Segoe UI"/>
          <w:lang w:val="co-FR"/>
        </w:rPr>
        <w:t>tăng cường tập trung vào việc phòng ngừa và can thiệp sớm tác hại của cờ bạc</w:t>
      </w:r>
    </w:p>
    <w:p w14:paraId="170955F9" w14:textId="1568FB88" w:rsidR="00294A7D" w:rsidRPr="00353F83" w:rsidRDefault="00294A7D" w:rsidP="00121D30">
      <w:pPr>
        <w:numPr>
          <w:ilvl w:val="0"/>
          <w:numId w:val="19"/>
        </w:numPr>
        <w:spacing w:before="120" w:after="120" w:line="240" w:lineRule="auto"/>
        <w:ind w:left="426"/>
        <w:rPr>
          <w:rFonts w:ascii="Segoe UI" w:eastAsiaTheme="minorEastAsia" w:hAnsi="Segoe UI" w:cs="Segoe UI"/>
          <w:lang w:val="co-FR"/>
        </w:rPr>
      </w:pPr>
      <w:r w:rsidRPr="00353F83">
        <w:rPr>
          <w:rFonts w:ascii="Segoe UI" w:hAnsi="Segoe UI"/>
          <w:lang w:val="co-FR"/>
        </w:rPr>
        <w:t>nâng cao hiệu quả hỗ trợ phòng chống tác hại của cờ bạc.</w:t>
      </w:r>
    </w:p>
    <w:p w14:paraId="5C33FAF6" w14:textId="77777777" w:rsidR="00294A7D" w:rsidRPr="00353F83" w:rsidRDefault="00294A7D" w:rsidP="00294A7D">
      <w:pPr>
        <w:spacing w:after="120" w:line="240" w:lineRule="auto"/>
        <w:ind w:left="360"/>
        <w:rPr>
          <w:rStyle w:val="normaltextrun"/>
          <w:rFonts w:ascii="Calibri" w:eastAsia="Calibri" w:hAnsi="Calibri" w:cs="Calibri"/>
          <w:color w:val="000000" w:themeColor="text1"/>
          <w:lang w:val="co-FR"/>
        </w:rPr>
      </w:pPr>
    </w:p>
    <w:p w14:paraId="512F9079" w14:textId="77865FE7" w:rsidR="00294A7D" w:rsidRPr="00353F83" w:rsidRDefault="00294A7D" w:rsidP="000724A7">
      <w:pPr>
        <w:spacing w:before="120" w:after="120" w:line="240" w:lineRule="auto"/>
        <w:rPr>
          <w:rFonts w:ascii="Segoe UI" w:eastAsiaTheme="minorEastAsia" w:hAnsi="Segoe UI" w:cs="Segoe UI"/>
          <w:lang w:val="co-FR"/>
        </w:rPr>
      </w:pPr>
      <w:r w:rsidRPr="00353F83">
        <w:rPr>
          <w:rFonts w:ascii="Segoe UI" w:hAnsi="Segoe UI"/>
          <w:lang w:val="co-FR"/>
        </w:rPr>
        <w:t>Những ưu tiên này sẽ góp phần tạo nên những kết quả sau đây để hỗ trợ những người bị ảnh hưởng nhiều nhất bởi tác hại của cờ bạc:</w:t>
      </w:r>
    </w:p>
    <w:p w14:paraId="28C65B62" w14:textId="3BA10423" w:rsidR="00294A7D" w:rsidRPr="00353F83" w:rsidRDefault="00294A7D" w:rsidP="00490F05">
      <w:pPr>
        <w:pStyle w:val="Bullet"/>
        <w:numPr>
          <w:ilvl w:val="1"/>
          <w:numId w:val="24"/>
        </w:numPr>
        <w:ind w:left="426"/>
        <w:rPr>
          <w:rFonts w:ascii="Segoe UI" w:eastAsia="Lucida Sans Unicode" w:hAnsi="Segoe UI" w:cs="Segoe UI"/>
          <w:lang w:val="co-FR"/>
        </w:rPr>
      </w:pPr>
      <w:r w:rsidRPr="00353F83">
        <w:rPr>
          <w:rFonts w:ascii="Segoe UI" w:hAnsi="Segoe UI"/>
          <w:lang w:val="co-FR"/>
        </w:rPr>
        <w:t>Có đầy đủ các dịch vụ và hỗ trợ để ngăn ngừa và giảm thiểu tác hại của cờ bạc – từ phòng ngừa cho đến can thiệp sớm cho đến hỗ trợ chuyên biệt.</w:t>
      </w:r>
    </w:p>
    <w:p w14:paraId="5CAC87E1" w14:textId="77777777" w:rsidR="00294A7D" w:rsidRPr="00353F83" w:rsidRDefault="00294A7D" w:rsidP="00121D30">
      <w:pPr>
        <w:pStyle w:val="Bullet"/>
        <w:numPr>
          <w:ilvl w:val="1"/>
          <w:numId w:val="24"/>
        </w:numPr>
        <w:ind w:left="426"/>
        <w:rPr>
          <w:rFonts w:ascii="Segoe UI" w:eastAsia="Lucida Sans Unicode" w:hAnsi="Segoe UI" w:cs="Segoe UI"/>
          <w:lang w:val="co-FR"/>
        </w:rPr>
      </w:pPr>
      <w:r w:rsidRPr="00353F83">
        <w:rPr>
          <w:rFonts w:ascii="Segoe UI" w:hAnsi="Segoe UI"/>
          <w:lang w:val="co-FR"/>
        </w:rPr>
        <w:t>Các chuẩn mực xã hội và văn hóa ngăn ngừa và giảm thiểu tác hại của cờ bạc.</w:t>
      </w:r>
    </w:p>
    <w:p w14:paraId="61E5B54D" w14:textId="77777777" w:rsidR="00294A7D" w:rsidRPr="00353F83" w:rsidRDefault="00294A7D" w:rsidP="00121D30">
      <w:pPr>
        <w:pStyle w:val="Bullet"/>
        <w:numPr>
          <w:ilvl w:val="1"/>
          <w:numId w:val="24"/>
        </w:numPr>
        <w:ind w:left="426"/>
        <w:rPr>
          <w:rFonts w:ascii="Segoe UI" w:eastAsia="Lucida Sans Unicode" w:hAnsi="Segoe UI" w:cs="Segoe UI"/>
          <w:lang w:val="co-FR"/>
        </w:rPr>
      </w:pPr>
      <w:r w:rsidRPr="00353F83">
        <w:rPr>
          <w:rFonts w:ascii="Segoe UI" w:hAnsi="Segoe UI"/>
          <w:lang w:val="co-FR"/>
        </w:rPr>
        <w:t>Sự lãnh đạo mạnh mẽ và trách nhiệm giải trình của hệ thống phòng ngừa tác hại của cờ bạc, với quá trình ra quyết định càng gần với các cộng đồng càng tốt.</w:t>
      </w:r>
    </w:p>
    <w:p w14:paraId="446940C3" w14:textId="2D9F9CA9" w:rsidR="00294A7D" w:rsidRPr="00353F83" w:rsidRDefault="00294A7D" w:rsidP="00121D30">
      <w:pPr>
        <w:pStyle w:val="Bullet"/>
        <w:numPr>
          <w:ilvl w:val="1"/>
          <w:numId w:val="24"/>
        </w:numPr>
        <w:ind w:left="426"/>
        <w:rPr>
          <w:rFonts w:eastAsia="Lucida Sans Unicode"/>
          <w:lang w:val="co-FR"/>
        </w:rPr>
      </w:pPr>
      <w:r w:rsidRPr="00353F83">
        <w:rPr>
          <w:rFonts w:ascii="Segoe UI" w:hAnsi="Segoe UI"/>
          <w:lang w:val="co-FR"/>
        </w:rPr>
        <w:t xml:space="preserve">Có một hệ thống tập trung vào những người có nguy cơ bị tổn hại </w:t>
      </w:r>
      <w:r w:rsidR="00B2136F" w:rsidRPr="00353F83">
        <w:rPr>
          <w:rFonts w:ascii="Segoe UI" w:hAnsi="Segoe UI"/>
          <w:lang w:val="co-FR"/>
        </w:rPr>
        <w:t>t</w:t>
      </w:r>
      <w:r w:rsidR="00B2136F" w:rsidRPr="00353F83">
        <w:rPr>
          <w:rFonts w:ascii="Cambria" w:hAnsi="Cambria"/>
          <w:lang w:val="co-FR"/>
        </w:rPr>
        <w:t>ừ</w:t>
      </w:r>
      <w:r w:rsidR="00B2136F" w:rsidRPr="00353F83">
        <w:rPr>
          <w:rFonts w:ascii="Segoe UI" w:hAnsi="Segoe UI"/>
          <w:lang w:val="co-FR"/>
        </w:rPr>
        <w:t xml:space="preserve"> </w:t>
      </w:r>
      <w:r w:rsidRPr="00353F83">
        <w:rPr>
          <w:rFonts w:ascii="Segoe UI" w:hAnsi="Segoe UI"/>
          <w:lang w:val="co-FR"/>
        </w:rPr>
        <w:t>cờ bạc cao nhất.</w:t>
      </w:r>
    </w:p>
    <w:p w14:paraId="1D6825AB" w14:textId="77777777" w:rsidR="009742FF" w:rsidRPr="00353F83" w:rsidRDefault="009742FF" w:rsidP="000724A7">
      <w:pPr>
        <w:spacing w:before="120" w:after="120" w:line="240" w:lineRule="auto"/>
        <w:rPr>
          <w:rFonts w:ascii="Segoe UI" w:eastAsiaTheme="minorEastAsia" w:hAnsi="Segoe UI" w:cs="Segoe UI"/>
          <w:b/>
          <w:bCs/>
          <w:lang w:val="co-FR"/>
        </w:rPr>
      </w:pPr>
    </w:p>
    <w:p w14:paraId="0BA50145" w14:textId="3839D333" w:rsidR="000724A7" w:rsidRPr="00353F83" w:rsidRDefault="00294A7D" w:rsidP="000724A7">
      <w:pPr>
        <w:spacing w:before="120" w:after="120" w:line="240" w:lineRule="auto"/>
        <w:rPr>
          <w:rFonts w:ascii="Segoe UI" w:eastAsiaTheme="minorEastAsia" w:hAnsi="Segoe UI" w:cs="Segoe UI"/>
          <w:b/>
          <w:bCs/>
          <w:lang w:val="co-FR"/>
        </w:rPr>
      </w:pPr>
      <w:r w:rsidRPr="00353F83">
        <w:rPr>
          <w:rFonts w:ascii="Segoe UI" w:hAnsi="Segoe UI"/>
          <w:b/>
          <w:lang w:val="co-FR"/>
        </w:rPr>
        <w:t>Kế hoạch dịch vụ (cách thức chúng ta sẽ đạt được nó)</w:t>
      </w:r>
    </w:p>
    <w:p w14:paraId="369E4F4C" w14:textId="78DA666D" w:rsidR="00294A7D" w:rsidRPr="00353F83" w:rsidRDefault="00294A7D" w:rsidP="000724A7">
      <w:pPr>
        <w:spacing w:before="120" w:after="120" w:line="240" w:lineRule="auto"/>
        <w:rPr>
          <w:rFonts w:ascii="Segoe UI" w:eastAsiaTheme="minorEastAsia" w:hAnsi="Segoe UI" w:cs="Segoe UI"/>
          <w:lang w:val="co-FR"/>
        </w:rPr>
      </w:pPr>
      <w:r w:rsidRPr="00353F83">
        <w:rPr>
          <w:rFonts w:ascii="Segoe UI" w:hAnsi="Segoe UI"/>
          <w:lang w:val="co-FR"/>
        </w:rPr>
        <w:t>Kế hoạch Dịch vụ sẽ cung cấp một chuỗi các dịch vụ y tế công cộng và lâm sàng được hỗ trợ bởi nghiên cứu và đánh giá chặt chẽ.</w:t>
      </w:r>
    </w:p>
    <w:p w14:paraId="3C1B45AC" w14:textId="5B00AFA6" w:rsidR="00294A7D" w:rsidRPr="00353F83" w:rsidRDefault="00294A7D" w:rsidP="000724A7">
      <w:pPr>
        <w:spacing w:before="120" w:after="120" w:line="240" w:lineRule="auto"/>
        <w:rPr>
          <w:rFonts w:ascii="Segoe UI" w:eastAsiaTheme="minorEastAsia" w:hAnsi="Segoe UI" w:cs="Segoe UI"/>
          <w:lang w:val="co-FR"/>
        </w:rPr>
      </w:pPr>
      <w:r w:rsidRPr="00353F83">
        <w:rPr>
          <w:rFonts w:ascii="Segoe UI" w:hAnsi="Segoe UI"/>
          <w:lang w:val="co-FR"/>
        </w:rPr>
        <w:t>Tài liệu tham vấn bao gồm dự thảo kế hoạch dịch vụ trong ba năm và nêu chi tiết chi phí và ngân sách cho các dịch vụ đó trong ba năm tiếp theo.</w:t>
      </w:r>
    </w:p>
    <w:p w14:paraId="7D4C9A3E" w14:textId="166A3E43" w:rsidR="00294A7D" w:rsidRPr="00353F83" w:rsidRDefault="00294A7D" w:rsidP="000724A7">
      <w:pPr>
        <w:spacing w:before="120" w:after="120" w:line="240" w:lineRule="auto"/>
        <w:rPr>
          <w:rFonts w:ascii="Segoe UI" w:eastAsiaTheme="minorEastAsia" w:hAnsi="Segoe UI" w:cs="Segoe UI"/>
          <w:lang w:val="co-FR"/>
        </w:rPr>
      </w:pPr>
      <w:r w:rsidRPr="00353F83">
        <w:rPr>
          <w:rFonts w:ascii="Segoe UI" w:hAnsi="Segoe UI"/>
          <w:lang w:val="co-FR"/>
        </w:rPr>
        <w:t>Khoản kinh phí này được xây dựng dựa trên các dịch vụ cốt lõi hiện tại, tập trung vào việc:</w:t>
      </w:r>
    </w:p>
    <w:p w14:paraId="7EC636A7" w14:textId="04E360D1" w:rsidR="00294A7D" w:rsidRPr="00353F83" w:rsidRDefault="00294A7D" w:rsidP="0044283E">
      <w:pPr>
        <w:numPr>
          <w:ilvl w:val="0"/>
          <w:numId w:val="20"/>
        </w:numPr>
        <w:spacing w:before="120" w:after="120" w:line="240" w:lineRule="auto"/>
        <w:ind w:left="426"/>
        <w:rPr>
          <w:rFonts w:ascii="Segoe UI" w:eastAsiaTheme="minorEastAsia" w:hAnsi="Segoe UI" w:cs="Segoe UI"/>
          <w:lang w:val="co-FR"/>
        </w:rPr>
      </w:pPr>
      <w:r w:rsidRPr="00353F83">
        <w:rPr>
          <w:rFonts w:ascii="Segoe UI" w:hAnsi="Segoe UI"/>
          <w:lang w:val="co-FR"/>
        </w:rPr>
        <w:t>Tăng cường khả năng tiếp cận bằng cách mở rộng việc cung cấp dịch vụ lâm sàng, cả về loại hình dịch vụ / dân số được phục vụ (ví dụ: hỗ trợ cường độ cao bổ sung) và về địa điểm (bổ sung một số khu vực hiện không có dịch vụ trực tiếp).</w:t>
      </w:r>
    </w:p>
    <w:p w14:paraId="152BA7DF" w14:textId="2205E88D" w:rsidR="00294A7D" w:rsidRPr="00353F83" w:rsidRDefault="00294A7D" w:rsidP="0044283E">
      <w:pPr>
        <w:numPr>
          <w:ilvl w:val="0"/>
          <w:numId w:val="20"/>
        </w:numPr>
        <w:spacing w:before="120" w:after="120" w:line="240" w:lineRule="auto"/>
        <w:ind w:left="426"/>
        <w:rPr>
          <w:rFonts w:ascii="Segoe UI" w:eastAsiaTheme="minorEastAsia" w:hAnsi="Segoe UI" w:cs="Segoe UI"/>
          <w:lang w:val="co-FR"/>
        </w:rPr>
      </w:pPr>
      <w:r w:rsidRPr="00353F83">
        <w:rPr>
          <w:rFonts w:ascii="Segoe UI" w:hAnsi="Segoe UI"/>
          <w:lang w:val="co-FR"/>
        </w:rPr>
        <w:t>Phát triển nguồn nhân lực bằng cách hỗ trợ những người mới vào nghề và giữ chân nhân sự hiện có (cho cả nhân viên đồng đẳng và lâm sàng).</w:t>
      </w:r>
    </w:p>
    <w:p w14:paraId="46D3CB96" w14:textId="57B72CA8" w:rsidR="00294A7D" w:rsidRPr="00353F83" w:rsidRDefault="00294A7D" w:rsidP="0044283E">
      <w:pPr>
        <w:numPr>
          <w:ilvl w:val="0"/>
          <w:numId w:val="20"/>
        </w:numPr>
        <w:spacing w:before="120" w:after="120" w:line="240" w:lineRule="auto"/>
        <w:ind w:left="426"/>
        <w:rPr>
          <w:rFonts w:ascii="Segoe UI" w:eastAsiaTheme="minorEastAsia" w:hAnsi="Segoe UI" w:cs="Segoe UI"/>
          <w:lang w:val="co-FR"/>
        </w:rPr>
      </w:pPr>
      <w:r w:rsidRPr="00353F83">
        <w:rPr>
          <w:rFonts w:ascii="Segoe UI" w:hAnsi="Segoe UI"/>
          <w:lang w:val="co-FR"/>
        </w:rPr>
        <w:t>Phòng ngừa tác hại và can thiệp sớm bằng cách thực hiện một loạt các hoạt động nâng cao sức khỏe tập trung vào cộng đồng.</w:t>
      </w:r>
    </w:p>
    <w:p w14:paraId="46360E76" w14:textId="29391528" w:rsidR="00294A7D" w:rsidRPr="00353F83" w:rsidRDefault="00294A7D" w:rsidP="0044283E">
      <w:pPr>
        <w:numPr>
          <w:ilvl w:val="0"/>
          <w:numId w:val="20"/>
        </w:numPr>
        <w:spacing w:before="120" w:after="120" w:line="240" w:lineRule="auto"/>
        <w:ind w:left="426"/>
        <w:rPr>
          <w:rFonts w:ascii="Segoe UI" w:eastAsiaTheme="minorEastAsia" w:hAnsi="Segoe UI" w:cs="Segoe UI"/>
          <w:lang w:val="co-FR"/>
        </w:rPr>
      </w:pPr>
      <w:r w:rsidRPr="00353F83">
        <w:rPr>
          <w:rFonts w:ascii="Segoe UI" w:hAnsi="Segoe UI"/>
          <w:lang w:val="co-FR"/>
        </w:rPr>
        <w:t>Nâng cao hiệu quả bằng cách đưa vào vận hành một loạt các dự án nghiên cứu và đánh giá, bao gồm đánh giá tất cả các dịch vụ lâm sàng và đánh giá tác động của chính Chiến lược này.</w:t>
      </w:r>
    </w:p>
    <w:p w14:paraId="567B233D" w14:textId="77777777" w:rsidR="004C1264" w:rsidRPr="00353F83" w:rsidRDefault="004C1264" w:rsidP="000724A7">
      <w:pPr>
        <w:spacing w:before="120" w:after="120" w:line="240" w:lineRule="auto"/>
        <w:rPr>
          <w:rFonts w:ascii="Segoe UI" w:eastAsiaTheme="minorEastAsia" w:hAnsi="Segoe UI" w:cs="Segoe UI"/>
          <w:lang w:val="co-FR"/>
        </w:rPr>
      </w:pPr>
    </w:p>
    <w:p w14:paraId="22D59DF6" w14:textId="2511F36F" w:rsidR="00294A7D" w:rsidRPr="00353F83" w:rsidRDefault="00294A7D" w:rsidP="53636AF8">
      <w:pPr>
        <w:spacing w:before="120" w:after="120" w:line="240" w:lineRule="auto"/>
        <w:rPr>
          <w:rFonts w:ascii="Segoe UI" w:eastAsiaTheme="minorEastAsia" w:hAnsi="Segoe UI" w:cs="Segoe UI"/>
          <w:lang w:val="co-FR"/>
        </w:rPr>
      </w:pPr>
      <w:r w:rsidRPr="00353F83">
        <w:rPr>
          <w:rFonts w:ascii="Segoe UI" w:hAnsi="Segoe UI"/>
          <w:lang w:val="co-FR"/>
        </w:rPr>
        <w:t>Kế hoạch dịch vụ phác thảo một gói đầu tư có chi phí là 87,718 triệu đô la trong ba năm. Số tiền này nhiều hơn 11,595 triệu đô la so với ngân sách chiến lược hiện tại và bao gồm việc tái đầu tư số tiền dự kiến là 3,412 triệu còn thiếu trong giai đoạn chiến lược hiện tại.</w:t>
      </w:r>
    </w:p>
    <w:p w14:paraId="2C269585" w14:textId="77777777" w:rsidR="000724A7" w:rsidRPr="00353F83" w:rsidRDefault="000724A7" w:rsidP="000724A7">
      <w:pPr>
        <w:spacing w:before="120" w:after="120" w:line="240" w:lineRule="auto"/>
        <w:rPr>
          <w:rFonts w:ascii="Segoe UI" w:eastAsiaTheme="minorEastAsia" w:hAnsi="Segoe UI" w:cs="Segoe UI"/>
          <w:lang w:val="co-FR"/>
        </w:rPr>
      </w:pPr>
    </w:p>
    <w:p w14:paraId="781998B7" w14:textId="3CB4A5CB" w:rsidR="00294A7D" w:rsidRPr="00353F83" w:rsidRDefault="00294A7D" w:rsidP="000724A7">
      <w:pPr>
        <w:spacing w:before="120" w:after="120" w:line="240" w:lineRule="auto"/>
        <w:rPr>
          <w:rFonts w:ascii="Segoe UI" w:eastAsiaTheme="minorEastAsia" w:hAnsi="Segoe UI" w:cs="Segoe UI"/>
          <w:lang w:val="co-FR"/>
        </w:rPr>
      </w:pPr>
      <w:r w:rsidRPr="00353F83">
        <w:rPr>
          <w:rFonts w:ascii="Segoe UI" w:hAnsi="Segoe UI"/>
          <w:lang w:val="co-FR"/>
        </w:rPr>
        <w:lastRenderedPageBreak/>
        <w:t>Trong số kinh phí bổ sung này, khoảng một nửa dành cho các dịch vụ và biện pháp can thiệp mới để ứng phó với những thay đổi trong môi trường cờ bạc (như quảng bá dịch vụ, phát triển nguồn nhân lực và hệ thống loại trừ cờ bạc trực tuyến) và một nửa dành để giải quyết nhiều áp lực về chi phí và khối lượng (bao gồm mở rộng dịch vụ và ứng phó với áp lực tiền lương).</w:t>
      </w:r>
    </w:p>
    <w:p w14:paraId="4EF7BFDE" w14:textId="77777777" w:rsidR="007232A6" w:rsidRPr="00353F83" w:rsidRDefault="007232A6" w:rsidP="000724A7">
      <w:pPr>
        <w:spacing w:before="120" w:after="120" w:line="240" w:lineRule="auto"/>
        <w:rPr>
          <w:rFonts w:ascii="Segoe UI" w:eastAsiaTheme="minorEastAsia" w:hAnsi="Segoe UI" w:cs="Segoe UI"/>
          <w:lang w:val="co-FR"/>
        </w:rPr>
      </w:pPr>
    </w:p>
    <w:p w14:paraId="4E082CF8" w14:textId="16BE927A" w:rsidR="00A66923" w:rsidRPr="00353F83" w:rsidRDefault="00A66923" w:rsidP="00A66923">
      <w:pPr>
        <w:keepNext/>
        <w:spacing w:before="120" w:after="120" w:line="240" w:lineRule="auto"/>
        <w:rPr>
          <w:rFonts w:ascii="Segoe UI" w:eastAsia="Lucida Sans Unicode" w:hAnsi="Segoe UI" w:cs="Times New Roman"/>
          <w:b/>
          <w:lang w:val="co-FR"/>
        </w:rPr>
      </w:pPr>
      <w:r w:rsidRPr="00353F83">
        <w:rPr>
          <w:rFonts w:ascii="Segoe UI" w:hAnsi="Segoe UI"/>
          <w:b/>
          <w:lang w:val="co-FR"/>
        </w:rPr>
        <w:t xml:space="preserve">Tóm tắt kế hoạch dịch vụ và ngân sách để ngăn ngừa và giảm thiểu tác hại của cờ bạc </w:t>
      </w:r>
      <w:r w:rsidR="00103C90" w:rsidRPr="00353F83">
        <w:rPr>
          <w:rFonts w:ascii="Segoe UI" w:hAnsi="Segoe UI"/>
          <w:b/>
          <w:lang w:val="co-FR"/>
        </w:rPr>
        <w:br/>
      </w:r>
      <w:r w:rsidRPr="00353F83">
        <w:rPr>
          <w:rFonts w:ascii="Segoe UI" w:hAnsi="Segoe UI"/>
          <w:b/>
          <w:lang w:val="co-FR"/>
        </w:rPr>
        <w:t>(đvt: triệu đô la – chưa bao gồm GST), giai đoạn 2025/26 đến 2027/28</w:t>
      </w:r>
    </w:p>
    <w:tbl>
      <w:tblPr>
        <w:tblStyle w:val="TableGrid"/>
        <w:tblW w:w="8935"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Look w:val="04A0" w:firstRow="1" w:lastRow="0" w:firstColumn="1" w:lastColumn="0" w:noHBand="0" w:noVBand="1"/>
      </w:tblPr>
      <w:tblGrid>
        <w:gridCol w:w="3271"/>
        <w:gridCol w:w="1525"/>
        <w:gridCol w:w="1306"/>
        <w:gridCol w:w="1527"/>
        <w:gridCol w:w="1306"/>
      </w:tblGrid>
      <w:tr w:rsidR="00A66923" w:rsidRPr="00353F83" w14:paraId="2FF1C62C" w14:textId="77777777" w:rsidTr="00A66923">
        <w:trPr>
          <w:trHeight w:val="408"/>
          <w:tblHeader/>
        </w:trPr>
        <w:tc>
          <w:tcPr>
            <w:tcW w:w="3271" w:type="dxa"/>
            <w:tcBorders>
              <w:top w:val="nil"/>
              <w:bottom w:val="nil"/>
            </w:tcBorders>
            <w:shd w:val="clear" w:color="auto" w:fill="D9D9D9" w:themeFill="background1" w:themeFillShade="D9"/>
          </w:tcPr>
          <w:p w14:paraId="2AB20182" w14:textId="77777777" w:rsidR="00A66923" w:rsidRPr="00353F83" w:rsidRDefault="00A66923" w:rsidP="00A66923">
            <w:pPr>
              <w:spacing w:before="40" w:after="40" w:line="240" w:lineRule="auto"/>
              <w:rPr>
                <w:rFonts w:ascii="Segoe UI" w:eastAsia="Times New Roman" w:hAnsi="Segoe UI" w:cs="Times New Roman"/>
                <w:b/>
                <w:bCs/>
                <w:lang w:val="co-FR"/>
              </w:rPr>
            </w:pPr>
            <w:r w:rsidRPr="00353F83">
              <w:rPr>
                <w:rFonts w:ascii="Segoe UI" w:hAnsi="Segoe UI"/>
                <w:b/>
                <w:lang w:val="co-FR"/>
              </w:rPr>
              <w:t>Ưu tiên</w:t>
            </w:r>
          </w:p>
        </w:tc>
        <w:tc>
          <w:tcPr>
            <w:tcW w:w="1525" w:type="dxa"/>
            <w:tcBorders>
              <w:top w:val="nil"/>
              <w:bottom w:val="nil"/>
            </w:tcBorders>
            <w:shd w:val="clear" w:color="auto" w:fill="D9D9D9" w:themeFill="background1" w:themeFillShade="D9"/>
          </w:tcPr>
          <w:p w14:paraId="09F0A2C9" w14:textId="77777777" w:rsidR="00A66923" w:rsidRPr="00353F83" w:rsidRDefault="00A66923" w:rsidP="00A66923">
            <w:pPr>
              <w:spacing w:before="40" w:after="40" w:line="240" w:lineRule="auto"/>
              <w:jc w:val="right"/>
              <w:rPr>
                <w:rFonts w:ascii="Segoe UI" w:eastAsia="Times New Roman" w:hAnsi="Segoe UI" w:cs="Times New Roman"/>
                <w:b/>
                <w:bCs/>
                <w:lang w:val="co-FR"/>
              </w:rPr>
            </w:pPr>
            <w:r w:rsidRPr="00353F83">
              <w:rPr>
                <w:rFonts w:ascii="Segoe UI" w:hAnsi="Segoe UI"/>
                <w:b/>
                <w:lang w:val="co-FR"/>
              </w:rPr>
              <w:t>2025/26</w:t>
            </w:r>
          </w:p>
        </w:tc>
        <w:tc>
          <w:tcPr>
            <w:tcW w:w="1306" w:type="dxa"/>
            <w:tcBorders>
              <w:top w:val="nil"/>
              <w:bottom w:val="nil"/>
            </w:tcBorders>
            <w:shd w:val="clear" w:color="auto" w:fill="D9D9D9" w:themeFill="background1" w:themeFillShade="D9"/>
          </w:tcPr>
          <w:p w14:paraId="6FA1A23A" w14:textId="77777777" w:rsidR="00A66923" w:rsidRPr="00353F83" w:rsidRDefault="00A66923" w:rsidP="00A66923">
            <w:pPr>
              <w:spacing w:before="40" w:after="40" w:line="240" w:lineRule="auto"/>
              <w:jc w:val="right"/>
              <w:rPr>
                <w:rFonts w:ascii="Segoe UI" w:eastAsia="Times New Roman" w:hAnsi="Segoe UI" w:cs="Times New Roman"/>
                <w:b/>
                <w:bCs/>
                <w:lang w:val="co-FR"/>
              </w:rPr>
            </w:pPr>
            <w:r w:rsidRPr="00353F83">
              <w:rPr>
                <w:rFonts w:ascii="Segoe UI" w:hAnsi="Segoe UI"/>
                <w:b/>
                <w:lang w:val="co-FR"/>
              </w:rPr>
              <w:t>2026/27</w:t>
            </w:r>
          </w:p>
        </w:tc>
        <w:tc>
          <w:tcPr>
            <w:tcW w:w="1527" w:type="dxa"/>
            <w:tcBorders>
              <w:top w:val="nil"/>
              <w:bottom w:val="nil"/>
            </w:tcBorders>
            <w:shd w:val="clear" w:color="auto" w:fill="D9D9D9" w:themeFill="background1" w:themeFillShade="D9"/>
          </w:tcPr>
          <w:p w14:paraId="26D98787" w14:textId="77777777" w:rsidR="00A66923" w:rsidRPr="00353F83" w:rsidRDefault="00A66923" w:rsidP="00A66923">
            <w:pPr>
              <w:spacing w:before="40" w:after="40" w:line="240" w:lineRule="auto"/>
              <w:jc w:val="right"/>
              <w:rPr>
                <w:rFonts w:ascii="Segoe UI" w:eastAsia="Times New Roman" w:hAnsi="Segoe UI" w:cs="Times New Roman"/>
                <w:b/>
                <w:bCs/>
                <w:lang w:val="co-FR"/>
              </w:rPr>
            </w:pPr>
            <w:r w:rsidRPr="00353F83">
              <w:rPr>
                <w:rFonts w:ascii="Segoe UI" w:hAnsi="Segoe UI"/>
                <w:b/>
                <w:lang w:val="co-FR"/>
              </w:rPr>
              <w:t>2027/28</w:t>
            </w:r>
          </w:p>
        </w:tc>
        <w:tc>
          <w:tcPr>
            <w:tcW w:w="1306" w:type="dxa"/>
            <w:tcBorders>
              <w:top w:val="nil"/>
              <w:bottom w:val="nil"/>
            </w:tcBorders>
            <w:shd w:val="clear" w:color="auto" w:fill="D9D9D9" w:themeFill="background1" w:themeFillShade="D9"/>
          </w:tcPr>
          <w:p w14:paraId="023114A6" w14:textId="77777777" w:rsidR="00A66923" w:rsidRPr="00353F83" w:rsidRDefault="00A66923" w:rsidP="00A66923">
            <w:pPr>
              <w:spacing w:before="40" w:after="40" w:line="240" w:lineRule="auto"/>
              <w:jc w:val="right"/>
              <w:rPr>
                <w:rFonts w:ascii="Segoe UI" w:eastAsia="Times New Roman" w:hAnsi="Segoe UI" w:cs="Times New Roman"/>
                <w:b/>
                <w:bCs/>
                <w:lang w:val="co-FR"/>
              </w:rPr>
            </w:pPr>
            <w:r w:rsidRPr="00353F83">
              <w:rPr>
                <w:rFonts w:ascii="Segoe UI" w:hAnsi="Segoe UI"/>
                <w:b/>
                <w:lang w:val="co-FR"/>
              </w:rPr>
              <w:t>Tổng cộng</w:t>
            </w:r>
          </w:p>
        </w:tc>
      </w:tr>
      <w:tr w:rsidR="00A66923" w:rsidRPr="00353F83" w14:paraId="4B845CA2" w14:textId="77777777" w:rsidTr="00A66923">
        <w:trPr>
          <w:trHeight w:val="408"/>
        </w:trPr>
        <w:tc>
          <w:tcPr>
            <w:tcW w:w="3271" w:type="dxa"/>
            <w:tcBorders>
              <w:top w:val="nil"/>
            </w:tcBorders>
            <w:vAlign w:val="center"/>
          </w:tcPr>
          <w:p w14:paraId="694C63B8" w14:textId="77777777" w:rsidR="00A66923" w:rsidRPr="00353F83" w:rsidRDefault="00A66923" w:rsidP="00A66923">
            <w:pPr>
              <w:spacing w:before="40" w:after="40" w:line="240" w:lineRule="auto"/>
              <w:rPr>
                <w:rFonts w:ascii="Segoe UI" w:eastAsia="Times New Roman" w:hAnsi="Segoe UI" w:cs="Times New Roman"/>
                <w:b/>
                <w:bCs/>
                <w:lang w:val="co-FR"/>
              </w:rPr>
            </w:pPr>
            <w:r w:rsidRPr="00353F83">
              <w:rPr>
                <w:rFonts w:ascii="Segoe UI" w:hAnsi="Segoe UI"/>
                <w:b/>
                <w:lang w:val="co-FR"/>
              </w:rPr>
              <w:t xml:space="preserve">Tăng cường tiếp cận hỗ trợ chống lại tác hại của cờ bạc </w:t>
            </w:r>
          </w:p>
        </w:tc>
        <w:tc>
          <w:tcPr>
            <w:tcW w:w="1525" w:type="dxa"/>
            <w:tcBorders>
              <w:top w:val="nil"/>
            </w:tcBorders>
            <w:vAlign w:val="center"/>
          </w:tcPr>
          <w:p w14:paraId="329A839A" w14:textId="77777777" w:rsidR="00A66923" w:rsidRPr="00353F83" w:rsidRDefault="00A66923" w:rsidP="00A66923">
            <w:pPr>
              <w:spacing w:before="40" w:after="40" w:line="240" w:lineRule="auto"/>
              <w:jc w:val="right"/>
              <w:rPr>
                <w:rFonts w:ascii="Segoe UI" w:eastAsia="Times New Roman" w:hAnsi="Segoe UI" w:cs="Times New Roman"/>
                <w:lang w:val="co-FR"/>
              </w:rPr>
            </w:pPr>
            <w:r w:rsidRPr="00353F83">
              <w:rPr>
                <w:rFonts w:ascii="Segoe UI" w:hAnsi="Segoe UI"/>
                <w:lang w:val="co-FR"/>
              </w:rPr>
              <w:t>11,258</w:t>
            </w:r>
          </w:p>
        </w:tc>
        <w:tc>
          <w:tcPr>
            <w:tcW w:w="1306" w:type="dxa"/>
            <w:tcBorders>
              <w:top w:val="nil"/>
            </w:tcBorders>
            <w:vAlign w:val="center"/>
          </w:tcPr>
          <w:p w14:paraId="6CB78B27" w14:textId="77777777" w:rsidR="00A66923" w:rsidRPr="00353F83" w:rsidRDefault="00A66923" w:rsidP="00A66923">
            <w:pPr>
              <w:spacing w:before="40" w:after="40" w:line="240" w:lineRule="auto"/>
              <w:jc w:val="right"/>
              <w:rPr>
                <w:rFonts w:ascii="Segoe UI" w:eastAsia="Times New Roman" w:hAnsi="Segoe UI" w:cs="Times New Roman"/>
                <w:lang w:val="co-FR"/>
              </w:rPr>
            </w:pPr>
            <w:r w:rsidRPr="00353F83">
              <w:rPr>
                <w:rFonts w:ascii="Segoe UI" w:hAnsi="Segoe UI"/>
                <w:lang w:val="co-FR"/>
              </w:rPr>
              <w:t>12,023</w:t>
            </w:r>
          </w:p>
        </w:tc>
        <w:tc>
          <w:tcPr>
            <w:tcW w:w="1527" w:type="dxa"/>
            <w:tcBorders>
              <w:top w:val="nil"/>
            </w:tcBorders>
            <w:vAlign w:val="center"/>
          </w:tcPr>
          <w:p w14:paraId="586239B3" w14:textId="77777777" w:rsidR="00A66923" w:rsidRPr="00353F83" w:rsidRDefault="00A66923" w:rsidP="00A66923">
            <w:pPr>
              <w:spacing w:before="40" w:after="40" w:line="240" w:lineRule="auto"/>
              <w:jc w:val="right"/>
              <w:rPr>
                <w:rFonts w:ascii="Segoe UI" w:eastAsia="Times New Roman" w:hAnsi="Segoe UI" w:cs="Times New Roman"/>
                <w:lang w:val="co-FR"/>
              </w:rPr>
            </w:pPr>
            <w:r w:rsidRPr="00353F83">
              <w:rPr>
                <w:rFonts w:ascii="Segoe UI" w:hAnsi="Segoe UI"/>
                <w:lang w:val="co-FR"/>
              </w:rPr>
              <w:t>12,588</w:t>
            </w:r>
          </w:p>
        </w:tc>
        <w:tc>
          <w:tcPr>
            <w:tcW w:w="1306" w:type="dxa"/>
            <w:tcBorders>
              <w:top w:val="nil"/>
            </w:tcBorders>
            <w:vAlign w:val="center"/>
          </w:tcPr>
          <w:p w14:paraId="4B4C5C79" w14:textId="77777777" w:rsidR="00A66923" w:rsidRPr="00353F83" w:rsidRDefault="00A66923" w:rsidP="00A66923">
            <w:pPr>
              <w:spacing w:before="40" w:after="40" w:line="240" w:lineRule="auto"/>
              <w:jc w:val="right"/>
              <w:rPr>
                <w:rFonts w:ascii="Segoe UI" w:eastAsia="Times New Roman" w:hAnsi="Segoe UI" w:cs="Times New Roman"/>
                <w:lang w:val="co-FR"/>
              </w:rPr>
            </w:pPr>
            <w:r w:rsidRPr="00353F83">
              <w:rPr>
                <w:rFonts w:ascii="Segoe UI" w:hAnsi="Segoe UI"/>
                <w:lang w:val="co-FR"/>
              </w:rPr>
              <w:t>35,868</w:t>
            </w:r>
          </w:p>
        </w:tc>
      </w:tr>
      <w:tr w:rsidR="00A66923" w:rsidRPr="00353F83" w14:paraId="7A04D3E4" w14:textId="77777777" w:rsidTr="00A66923">
        <w:trPr>
          <w:trHeight w:val="408"/>
        </w:trPr>
        <w:tc>
          <w:tcPr>
            <w:tcW w:w="3271" w:type="dxa"/>
            <w:vAlign w:val="center"/>
          </w:tcPr>
          <w:p w14:paraId="2FE2820D" w14:textId="77777777" w:rsidR="00A66923" w:rsidRPr="00353F83" w:rsidRDefault="00A66923" w:rsidP="00A66923">
            <w:pPr>
              <w:spacing w:before="40" w:after="40" w:line="240" w:lineRule="auto"/>
              <w:rPr>
                <w:rFonts w:ascii="Segoe UI" w:eastAsia="Times New Roman" w:hAnsi="Segoe UI" w:cs="Times New Roman"/>
                <w:b/>
                <w:bCs/>
                <w:lang w:val="co-FR"/>
              </w:rPr>
            </w:pPr>
            <w:r w:rsidRPr="00353F83">
              <w:rPr>
                <w:rFonts w:ascii="Segoe UI" w:hAnsi="Segoe UI"/>
                <w:b/>
                <w:lang w:val="co-FR"/>
              </w:rPr>
              <w:t>Tăng cường nguồn nhân lực chống lại tác hại của cờ bạc</w:t>
            </w:r>
          </w:p>
        </w:tc>
        <w:tc>
          <w:tcPr>
            <w:tcW w:w="1525" w:type="dxa"/>
            <w:vAlign w:val="center"/>
          </w:tcPr>
          <w:p w14:paraId="1FA40657" w14:textId="77777777" w:rsidR="00A66923" w:rsidRPr="00353F83" w:rsidRDefault="00A66923" w:rsidP="00A66923">
            <w:pPr>
              <w:spacing w:before="40" w:after="40" w:line="240" w:lineRule="auto"/>
              <w:jc w:val="right"/>
              <w:rPr>
                <w:rFonts w:ascii="Segoe UI" w:eastAsia="Times New Roman" w:hAnsi="Segoe UI" w:cs="Times New Roman"/>
                <w:lang w:val="co-FR"/>
              </w:rPr>
            </w:pPr>
            <w:r w:rsidRPr="00353F83">
              <w:rPr>
                <w:rFonts w:ascii="Segoe UI" w:hAnsi="Segoe UI"/>
                <w:lang w:val="co-FR"/>
              </w:rPr>
              <w:t>1,154</w:t>
            </w:r>
          </w:p>
        </w:tc>
        <w:tc>
          <w:tcPr>
            <w:tcW w:w="1306" w:type="dxa"/>
            <w:vAlign w:val="center"/>
          </w:tcPr>
          <w:p w14:paraId="7293F45F" w14:textId="77777777" w:rsidR="00A66923" w:rsidRPr="00353F83" w:rsidRDefault="00A66923" w:rsidP="00A66923">
            <w:pPr>
              <w:spacing w:before="40" w:after="40" w:line="240" w:lineRule="auto"/>
              <w:jc w:val="right"/>
              <w:rPr>
                <w:rFonts w:ascii="Segoe UI" w:eastAsia="Times New Roman" w:hAnsi="Segoe UI" w:cs="Times New Roman"/>
                <w:lang w:val="co-FR"/>
              </w:rPr>
            </w:pPr>
            <w:r w:rsidRPr="00353F83">
              <w:rPr>
                <w:rFonts w:ascii="Segoe UI" w:hAnsi="Segoe UI"/>
                <w:lang w:val="co-FR"/>
              </w:rPr>
              <w:t>1,504</w:t>
            </w:r>
          </w:p>
        </w:tc>
        <w:tc>
          <w:tcPr>
            <w:tcW w:w="1527" w:type="dxa"/>
            <w:vAlign w:val="center"/>
          </w:tcPr>
          <w:p w14:paraId="3112C644" w14:textId="77777777" w:rsidR="00A66923" w:rsidRPr="00353F83" w:rsidRDefault="00A66923" w:rsidP="00A66923">
            <w:pPr>
              <w:spacing w:before="40" w:after="40" w:line="240" w:lineRule="auto"/>
              <w:jc w:val="right"/>
              <w:rPr>
                <w:rFonts w:ascii="Segoe UI" w:eastAsia="Times New Roman" w:hAnsi="Segoe UI" w:cs="Times New Roman"/>
                <w:lang w:val="co-FR"/>
              </w:rPr>
            </w:pPr>
            <w:r w:rsidRPr="00353F83">
              <w:rPr>
                <w:rFonts w:ascii="Segoe UI" w:hAnsi="Segoe UI"/>
                <w:lang w:val="co-FR"/>
              </w:rPr>
              <w:t>1,499</w:t>
            </w:r>
          </w:p>
        </w:tc>
        <w:tc>
          <w:tcPr>
            <w:tcW w:w="1306" w:type="dxa"/>
            <w:vAlign w:val="center"/>
          </w:tcPr>
          <w:p w14:paraId="384CEBF4" w14:textId="77777777" w:rsidR="00A66923" w:rsidRPr="00353F83" w:rsidRDefault="00A66923" w:rsidP="00A66923">
            <w:pPr>
              <w:spacing w:before="40" w:after="40" w:line="240" w:lineRule="auto"/>
              <w:jc w:val="right"/>
              <w:rPr>
                <w:rFonts w:ascii="Segoe UI" w:eastAsia="Times New Roman" w:hAnsi="Segoe UI" w:cs="Times New Roman"/>
                <w:lang w:val="co-FR"/>
              </w:rPr>
            </w:pPr>
            <w:r w:rsidRPr="00353F83">
              <w:rPr>
                <w:rFonts w:ascii="Segoe UI" w:hAnsi="Segoe UI"/>
                <w:lang w:val="co-FR"/>
              </w:rPr>
              <w:t>4,156</w:t>
            </w:r>
          </w:p>
        </w:tc>
      </w:tr>
      <w:tr w:rsidR="00A66923" w:rsidRPr="00353F83" w14:paraId="05CAD21A" w14:textId="77777777" w:rsidTr="00A66923">
        <w:trPr>
          <w:trHeight w:val="408"/>
        </w:trPr>
        <w:tc>
          <w:tcPr>
            <w:tcW w:w="3271" w:type="dxa"/>
            <w:vAlign w:val="center"/>
          </w:tcPr>
          <w:p w14:paraId="2641D362" w14:textId="77777777" w:rsidR="00A66923" w:rsidRPr="00353F83" w:rsidRDefault="00A66923" w:rsidP="00A66923">
            <w:pPr>
              <w:spacing w:before="40" w:after="40" w:line="240" w:lineRule="auto"/>
              <w:rPr>
                <w:rFonts w:ascii="Segoe UI" w:eastAsia="Times New Roman" w:hAnsi="Segoe UI" w:cs="Times New Roman"/>
                <w:b/>
                <w:bCs/>
                <w:lang w:val="co-FR"/>
              </w:rPr>
            </w:pPr>
            <w:r w:rsidRPr="00353F83">
              <w:rPr>
                <w:rFonts w:ascii="Segoe UI" w:hAnsi="Segoe UI"/>
                <w:b/>
                <w:lang w:val="co-FR"/>
              </w:rPr>
              <w:t>Tăng cường tập trung vào việc phòng ngừa và can thiệp sớm tác hại của cờ bạc</w:t>
            </w:r>
          </w:p>
        </w:tc>
        <w:tc>
          <w:tcPr>
            <w:tcW w:w="1525" w:type="dxa"/>
            <w:vAlign w:val="center"/>
          </w:tcPr>
          <w:p w14:paraId="46570C53" w14:textId="77777777" w:rsidR="00A66923" w:rsidRPr="00353F83" w:rsidRDefault="00A66923" w:rsidP="00A66923">
            <w:pPr>
              <w:spacing w:before="40" w:after="40" w:line="240" w:lineRule="auto"/>
              <w:jc w:val="right"/>
              <w:rPr>
                <w:rFonts w:ascii="Segoe UI" w:eastAsia="Times New Roman" w:hAnsi="Segoe UI" w:cs="Times New Roman"/>
                <w:lang w:val="co-FR"/>
              </w:rPr>
            </w:pPr>
            <w:r w:rsidRPr="00353F83">
              <w:rPr>
                <w:rFonts w:ascii="Segoe UI" w:hAnsi="Segoe UI"/>
                <w:lang w:val="co-FR"/>
              </w:rPr>
              <w:t>10,082</w:t>
            </w:r>
          </w:p>
        </w:tc>
        <w:tc>
          <w:tcPr>
            <w:tcW w:w="1306" w:type="dxa"/>
            <w:vAlign w:val="center"/>
          </w:tcPr>
          <w:p w14:paraId="1480AF10" w14:textId="77777777" w:rsidR="00A66923" w:rsidRPr="00353F83" w:rsidRDefault="00A66923" w:rsidP="00A66923">
            <w:pPr>
              <w:spacing w:before="40" w:after="40" w:line="240" w:lineRule="auto"/>
              <w:jc w:val="right"/>
              <w:rPr>
                <w:rFonts w:ascii="Segoe UI" w:eastAsia="Times New Roman" w:hAnsi="Segoe UI" w:cs="Times New Roman"/>
                <w:lang w:val="co-FR"/>
              </w:rPr>
            </w:pPr>
            <w:r w:rsidRPr="00353F83">
              <w:rPr>
                <w:rFonts w:ascii="Segoe UI" w:hAnsi="Segoe UI"/>
                <w:lang w:val="co-FR"/>
              </w:rPr>
              <w:t>10,049</w:t>
            </w:r>
          </w:p>
        </w:tc>
        <w:tc>
          <w:tcPr>
            <w:tcW w:w="1527" w:type="dxa"/>
            <w:vAlign w:val="center"/>
          </w:tcPr>
          <w:p w14:paraId="27C8A34C" w14:textId="77777777" w:rsidR="00A66923" w:rsidRPr="00353F83" w:rsidRDefault="00A66923" w:rsidP="00A66923">
            <w:pPr>
              <w:spacing w:before="40" w:after="40" w:line="240" w:lineRule="auto"/>
              <w:jc w:val="right"/>
              <w:rPr>
                <w:rFonts w:ascii="Segoe UI" w:eastAsia="Times New Roman" w:hAnsi="Segoe UI" w:cs="Times New Roman"/>
                <w:lang w:val="co-FR"/>
              </w:rPr>
            </w:pPr>
            <w:r w:rsidRPr="00353F83">
              <w:rPr>
                <w:rFonts w:ascii="Segoe UI" w:hAnsi="Segoe UI"/>
                <w:lang w:val="co-FR"/>
              </w:rPr>
              <w:t>10,556</w:t>
            </w:r>
          </w:p>
        </w:tc>
        <w:tc>
          <w:tcPr>
            <w:tcW w:w="1306" w:type="dxa"/>
            <w:vAlign w:val="center"/>
          </w:tcPr>
          <w:p w14:paraId="572D7413" w14:textId="77777777" w:rsidR="00A66923" w:rsidRPr="00353F83" w:rsidRDefault="00A66923" w:rsidP="00A66923">
            <w:pPr>
              <w:spacing w:before="40" w:after="40" w:line="240" w:lineRule="auto"/>
              <w:jc w:val="right"/>
              <w:rPr>
                <w:rFonts w:ascii="Segoe UI" w:eastAsia="Times New Roman" w:hAnsi="Segoe UI" w:cs="Times New Roman"/>
                <w:lang w:val="co-FR"/>
              </w:rPr>
            </w:pPr>
            <w:r w:rsidRPr="00353F83">
              <w:rPr>
                <w:rFonts w:ascii="Segoe UI" w:hAnsi="Segoe UI"/>
                <w:lang w:val="co-FR"/>
              </w:rPr>
              <w:t>30,687</w:t>
            </w:r>
          </w:p>
        </w:tc>
      </w:tr>
      <w:tr w:rsidR="00A66923" w:rsidRPr="00353F83" w14:paraId="34CBD73A" w14:textId="77777777" w:rsidTr="00A66923">
        <w:trPr>
          <w:trHeight w:val="408"/>
        </w:trPr>
        <w:tc>
          <w:tcPr>
            <w:tcW w:w="3271" w:type="dxa"/>
            <w:vAlign w:val="center"/>
          </w:tcPr>
          <w:p w14:paraId="50EAD0B6" w14:textId="77777777" w:rsidR="00A66923" w:rsidRPr="00353F83" w:rsidRDefault="00A66923" w:rsidP="00A66923">
            <w:pPr>
              <w:spacing w:before="40" w:after="40" w:line="240" w:lineRule="auto"/>
              <w:rPr>
                <w:rFonts w:ascii="Segoe UI" w:eastAsia="Times New Roman" w:hAnsi="Segoe UI" w:cs="Times New Roman"/>
                <w:b/>
                <w:bCs/>
                <w:lang w:val="co-FR"/>
              </w:rPr>
            </w:pPr>
            <w:r w:rsidRPr="00353F83">
              <w:rPr>
                <w:rFonts w:ascii="Segoe UI" w:hAnsi="Segoe UI"/>
                <w:b/>
                <w:lang w:val="co-FR"/>
              </w:rPr>
              <w:t>Nâng cao hiệu quả hỗ trợ phòng chống tác hại của cờ bạc</w:t>
            </w:r>
          </w:p>
        </w:tc>
        <w:tc>
          <w:tcPr>
            <w:tcW w:w="1525" w:type="dxa"/>
            <w:vAlign w:val="center"/>
          </w:tcPr>
          <w:p w14:paraId="5B55C8D5" w14:textId="77777777" w:rsidR="00A66923" w:rsidRPr="00353F83" w:rsidRDefault="00A66923" w:rsidP="00A66923">
            <w:pPr>
              <w:spacing w:before="40" w:after="40" w:line="240" w:lineRule="auto"/>
              <w:jc w:val="right"/>
              <w:rPr>
                <w:rFonts w:ascii="Segoe UI" w:eastAsia="Times New Roman" w:hAnsi="Segoe UI" w:cs="Times New Roman"/>
                <w:lang w:val="co-FR"/>
              </w:rPr>
            </w:pPr>
            <w:r w:rsidRPr="00353F83">
              <w:rPr>
                <w:rFonts w:ascii="Segoe UI" w:hAnsi="Segoe UI"/>
                <w:lang w:val="co-FR"/>
              </w:rPr>
              <w:t>3,789</w:t>
            </w:r>
          </w:p>
        </w:tc>
        <w:tc>
          <w:tcPr>
            <w:tcW w:w="1306" w:type="dxa"/>
            <w:vAlign w:val="center"/>
          </w:tcPr>
          <w:p w14:paraId="050670BE" w14:textId="77777777" w:rsidR="00A66923" w:rsidRPr="00353F83" w:rsidRDefault="00A66923" w:rsidP="00A66923">
            <w:pPr>
              <w:spacing w:before="40" w:after="40" w:line="240" w:lineRule="auto"/>
              <w:jc w:val="right"/>
              <w:rPr>
                <w:rFonts w:ascii="Segoe UI" w:eastAsia="Times New Roman" w:hAnsi="Segoe UI" w:cs="Times New Roman"/>
                <w:lang w:val="co-FR"/>
              </w:rPr>
            </w:pPr>
            <w:r w:rsidRPr="00353F83">
              <w:rPr>
                <w:rFonts w:ascii="Segoe UI" w:hAnsi="Segoe UI"/>
                <w:lang w:val="co-FR"/>
              </w:rPr>
              <w:t>3,654</w:t>
            </w:r>
          </w:p>
        </w:tc>
        <w:tc>
          <w:tcPr>
            <w:tcW w:w="1527" w:type="dxa"/>
            <w:vAlign w:val="center"/>
          </w:tcPr>
          <w:p w14:paraId="631FE8EF" w14:textId="77777777" w:rsidR="00A66923" w:rsidRPr="00353F83" w:rsidRDefault="00A66923" w:rsidP="00A66923">
            <w:pPr>
              <w:spacing w:before="40" w:after="40" w:line="240" w:lineRule="auto"/>
              <w:jc w:val="right"/>
              <w:rPr>
                <w:rFonts w:ascii="Segoe UI" w:eastAsia="Times New Roman" w:hAnsi="Segoe UI" w:cs="Times New Roman"/>
                <w:lang w:val="co-FR"/>
              </w:rPr>
            </w:pPr>
            <w:r w:rsidRPr="00353F83">
              <w:rPr>
                <w:rFonts w:ascii="Segoe UI" w:hAnsi="Segoe UI"/>
                <w:lang w:val="co-FR"/>
              </w:rPr>
              <w:t>2,604</w:t>
            </w:r>
          </w:p>
        </w:tc>
        <w:tc>
          <w:tcPr>
            <w:tcW w:w="1306" w:type="dxa"/>
            <w:vAlign w:val="center"/>
          </w:tcPr>
          <w:p w14:paraId="5A3816B4" w14:textId="77777777" w:rsidR="00A66923" w:rsidRPr="00353F83" w:rsidRDefault="00A66923" w:rsidP="00A66923">
            <w:pPr>
              <w:spacing w:before="40" w:after="40" w:line="240" w:lineRule="auto"/>
              <w:jc w:val="right"/>
              <w:rPr>
                <w:rFonts w:ascii="Segoe UI" w:eastAsia="Times New Roman" w:hAnsi="Segoe UI" w:cs="Times New Roman"/>
                <w:lang w:val="co-FR"/>
              </w:rPr>
            </w:pPr>
            <w:r w:rsidRPr="00353F83">
              <w:rPr>
                <w:rFonts w:ascii="Segoe UI" w:hAnsi="Segoe UI"/>
                <w:lang w:val="co-FR"/>
              </w:rPr>
              <w:t>10,047</w:t>
            </w:r>
          </w:p>
        </w:tc>
      </w:tr>
      <w:tr w:rsidR="00A66923" w:rsidRPr="00353F83" w14:paraId="1BDD735E" w14:textId="77777777" w:rsidTr="00A66923">
        <w:trPr>
          <w:trHeight w:val="408"/>
        </w:trPr>
        <w:tc>
          <w:tcPr>
            <w:tcW w:w="3271" w:type="dxa"/>
            <w:vAlign w:val="center"/>
          </w:tcPr>
          <w:p w14:paraId="0B0C8BC3" w14:textId="5F49C108" w:rsidR="00A66923" w:rsidRPr="00353F83" w:rsidRDefault="00A66923" w:rsidP="00A66923">
            <w:pPr>
              <w:spacing w:before="40" w:after="40" w:line="240" w:lineRule="auto"/>
              <w:rPr>
                <w:rFonts w:ascii="Segoe UI" w:eastAsia="Times New Roman" w:hAnsi="Segoe UI" w:cs="Times New Roman"/>
                <w:b/>
                <w:bCs/>
                <w:lang w:val="co-FR"/>
              </w:rPr>
            </w:pPr>
            <w:r w:rsidRPr="00353F83">
              <w:rPr>
                <w:rFonts w:ascii="Segoe UI" w:hAnsi="Segoe UI"/>
                <w:b/>
                <w:lang w:val="co-FR"/>
              </w:rPr>
              <w:t xml:space="preserve">Chi phí </w:t>
            </w:r>
            <w:r w:rsidR="005A519A" w:rsidRPr="00353F83">
              <w:rPr>
                <w:rFonts w:ascii="Segoe UI" w:hAnsi="Segoe UI"/>
                <w:b/>
                <w:lang w:val="co-FR"/>
              </w:rPr>
              <w:t>trung gian</w:t>
            </w:r>
          </w:p>
        </w:tc>
        <w:tc>
          <w:tcPr>
            <w:tcW w:w="1525" w:type="dxa"/>
            <w:vAlign w:val="center"/>
          </w:tcPr>
          <w:p w14:paraId="7B5A7A73" w14:textId="77777777" w:rsidR="00A66923" w:rsidRPr="00353F83" w:rsidRDefault="00A66923" w:rsidP="00A66923">
            <w:pPr>
              <w:spacing w:before="40" w:after="40" w:line="240" w:lineRule="auto"/>
              <w:jc w:val="right"/>
              <w:rPr>
                <w:rFonts w:ascii="Segoe UI" w:eastAsia="Times New Roman" w:hAnsi="Segoe UI" w:cs="Times New Roman"/>
                <w:lang w:val="co-FR"/>
              </w:rPr>
            </w:pPr>
            <w:r w:rsidRPr="00353F83">
              <w:rPr>
                <w:rFonts w:ascii="Segoe UI" w:hAnsi="Segoe UI"/>
                <w:lang w:val="co-FR"/>
              </w:rPr>
              <w:t>2,181</w:t>
            </w:r>
          </w:p>
        </w:tc>
        <w:tc>
          <w:tcPr>
            <w:tcW w:w="1306" w:type="dxa"/>
            <w:vAlign w:val="center"/>
          </w:tcPr>
          <w:p w14:paraId="591879F9" w14:textId="77777777" w:rsidR="00A66923" w:rsidRPr="00353F83" w:rsidRDefault="00A66923" w:rsidP="00A66923">
            <w:pPr>
              <w:spacing w:before="40" w:after="40" w:line="240" w:lineRule="auto"/>
              <w:jc w:val="right"/>
              <w:rPr>
                <w:rFonts w:ascii="Segoe UI" w:eastAsia="Times New Roman" w:hAnsi="Segoe UI" w:cs="Times New Roman"/>
                <w:lang w:val="co-FR"/>
              </w:rPr>
            </w:pPr>
            <w:r w:rsidRPr="00353F83">
              <w:rPr>
                <w:rFonts w:ascii="Segoe UI" w:hAnsi="Segoe UI"/>
                <w:lang w:val="co-FR"/>
              </w:rPr>
              <w:t>2,475</w:t>
            </w:r>
          </w:p>
        </w:tc>
        <w:tc>
          <w:tcPr>
            <w:tcW w:w="1527" w:type="dxa"/>
            <w:vAlign w:val="center"/>
          </w:tcPr>
          <w:p w14:paraId="1B0C2A63" w14:textId="77777777" w:rsidR="00A66923" w:rsidRPr="00353F83" w:rsidRDefault="00A66923" w:rsidP="00A66923">
            <w:pPr>
              <w:spacing w:before="40" w:after="40" w:line="240" w:lineRule="auto"/>
              <w:jc w:val="right"/>
              <w:rPr>
                <w:rFonts w:ascii="Segoe UI" w:eastAsia="Times New Roman" w:hAnsi="Segoe UI" w:cs="Times New Roman"/>
                <w:lang w:val="co-FR"/>
              </w:rPr>
            </w:pPr>
            <w:r w:rsidRPr="00353F83">
              <w:rPr>
                <w:rFonts w:ascii="Segoe UI" w:hAnsi="Segoe UI"/>
                <w:lang w:val="co-FR"/>
              </w:rPr>
              <w:t>2,302</w:t>
            </w:r>
          </w:p>
        </w:tc>
        <w:tc>
          <w:tcPr>
            <w:tcW w:w="1306" w:type="dxa"/>
            <w:vAlign w:val="center"/>
          </w:tcPr>
          <w:p w14:paraId="3CC2E524" w14:textId="77777777" w:rsidR="00A66923" w:rsidRPr="00353F83" w:rsidRDefault="00A66923" w:rsidP="00A66923">
            <w:pPr>
              <w:spacing w:before="40" w:after="40" w:line="240" w:lineRule="auto"/>
              <w:jc w:val="right"/>
              <w:rPr>
                <w:rFonts w:ascii="Segoe UI" w:eastAsia="Times New Roman" w:hAnsi="Segoe UI" w:cs="Times New Roman"/>
                <w:lang w:val="co-FR"/>
              </w:rPr>
            </w:pPr>
            <w:r w:rsidRPr="00353F83">
              <w:rPr>
                <w:rFonts w:ascii="Segoe UI" w:hAnsi="Segoe UI"/>
                <w:lang w:val="co-FR"/>
              </w:rPr>
              <w:t>6,958</w:t>
            </w:r>
          </w:p>
        </w:tc>
      </w:tr>
      <w:tr w:rsidR="00A66923" w:rsidRPr="00353F83" w14:paraId="56336D4C" w14:textId="77777777" w:rsidTr="00A66923">
        <w:trPr>
          <w:trHeight w:val="388"/>
        </w:trPr>
        <w:tc>
          <w:tcPr>
            <w:tcW w:w="3271" w:type="dxa"/>
            <w:vAlign w:val="center"/>
          </w:tcPr>
          <w:p w14:paraId="199F9619" w14:textId="77777777" w:rsidR="00A66923" w:rsidRPr="00353F83" w:rsidRDefault="00A66923" w:rsidP="00A66923">
            <w:pPr>
              <w:spacing w:before="40" w:after="40" w:line="240" w:lineRule="auto"/>
              <w:rPr>
                <w:rFonts w:ascii="Segoe UI" w:eastAsia="Times New Roman" w:hAnsi="Segoe UI" w:cs="Times New Roman"/>
                <w:b/>
                <w:bCs/>
                <w:lang w:val="co-FR"/>
              </w:rPr>
            </w:pPr>
            <w:r w:rsidRPr="00353F83">
              <w:rPr>
                <w:rFonts w:ascii="Segoe UI" w:hAnsi="Segoe UI"/>
                <w:b/>
                <w:lang w:val="co-FR"/>
              </w:rPr>
              <w:t xml:space="preserve">Tổng cộng </w:t>
            </w:r>
          </w:p>
        </w:tc>
        <w:tc>
          <w:tcPr>
            <w:tcW w:w="1525" w:type="dxa"/>
            <w:vAlign w:val="center"/>
          </w:tcPr>
          <w:p w14:paraId="1A4DF25C" w14:textId="77777777" w:rsidR="00A66923" w:rsidRPr="00353F83" w:rsidRDefault="00A66923" w:rsidP="00A66923">
            <w:pPr>
              <w:spacing w:before="40" w:after="40" w:line="240" w:lineRule="auto"/>
              <w:jc w:val="right"/>
              <w:rPr>
                <w:rFonts w:ascii="Segoe UI" w:eastAsia="Times New Roman" w:hAnsi="Segoe UI" w:cs="Times New Roman"/>
                <w:b/>
                <w:bCs/>
                <w:lang w:val="co-FR"/>
              </w:rPr>
            </w:pPr>
            <w:r w:rsidRPr="00353F83">
              <w:rPr>
                <w:rFonts w:ascii="Segoe UI" w:hAnsi="Segoe UI"/>
                <w:b/>
                <w:lang w:val="co-FR"/>
              </w:rPr>
              <w:t>28,464</w:t>
            </w:r>
          </w:p>
        </w:tc>
        <w:tc>
          <w:tcPr>
            <w:tcW w:w="1306" w:type="dxa"/>
            <w:vAlign w:val="center"/>
          </w:tcPr>
          <w:p w14:paraId="3B576C85" w14:textId="77777777" w:rsidR="00A66923" w:rsidRPr="00353F83" w:rsidRDefault="00A66923" w:rsidP="00A66923">
            <w:pPr>
              <w:spacing w:before="40" w:after="40" w:line="240" w:lineRule="auto"/>
              <w:jc w:val="right"/>
              <w:rPr>
                <w:rFonts w:ascii="Segoe UI" w:hAnsi="Segoe UI" w:cs="Times New Roman"/>
                <w:b/>
                <w:bCs/>
                <w:lang w:val="co-FR"/>
              </w:rPr>
            </w:pPr>
            <w:r w:rsidRPr="00353F83">
              <w:rPr>
                <w:rFonts w:ascii="Segoe UI" w:hAnsi="Segoe UI"/>
                <w:b/>
                <w:lang w:val="co-FR"/>
              </w:rPr>
              <w:t>29,705</w:t>
            </w:r>
          </w:p>
        </w:tc>
        <w:tc>
          <w:tcPr>
            <w:tcW w:w="1527" w:type="dxa"/>
            <w:vAlign w:val="center"/>
          </w:tcPr>
          <w:p w14:paraId="23EAED87" w14:textId="77777777" w:rsidR="00A66923" w:rsidRPr="00353F83" w:rsidRDefault="00A66923" w:rsidP="00A66923">
            <w:pPr>
              <w:spacing w:before="40" w:after="40" w:line="240" w:lineRule="auto"/>
              <w:jc w:val="right"/>
              <w:rPr>
                <w:rFonts w:ascii="Segoe UI" w:hAnsi="Segoe UI" w:cs="Times New Roman"/>
                <w:b/>
                <w:bCs/>
                <w:lang w:val="co-FR"/>
              </w:rPr>
            </w:pPr>
            <w:r w:rsidRPr="00353F83">
              <w:rPr>
                <w:rFonts w:ascii="Segoe UI" w:hAnsi="Segoe UI"/>
                <w:b/>
                <w:lang w:val="co-FR"/>
              </w:rPr>
              <w:t>29,549</w:t>
            </w:r>
          </w:p>
        </w:tc>
        <w:tc>
          <w:tcPr>
            <w:tcW w:w="1306" w:type="dxa"/>
            <w:vAlign w:val="center"/>
          </w:tcPr>
          <w:p w14:paraId="06A72B43" w14:textId="77777777" w:rsidR="00A66923" w:rsidRPr="00353F83" w:rsidRDefault="00A66923" w:rsidP="00A66923">
            <w:pPr>
              <w:spacing w:before="40" w:after="40" w:line="240" w:lineRule="auto"/>
              <w:jc w:val="right"/>
              <w:rPr>
                <w:rFonts w:ascii="Segoe UI" w:hAnsi="Segoe UI" w:cs="Times New Roman"/>
                <w:b/>
                <w:bCs/>
                <w:lang w:val="co-FR"/>
              </w:rPr>
            </w:pPr>
            <w:r w:rsidRPr="00353F83">
              <w:rPr>
                <w:rFonts w:ascii="Segoe UI" w:hAnsi="Segoe UI"/>
                <w:b/>
                <w:lang w:val="co-FR"/>
              </w:rPr>
              <w:t>87,718</w:t>
            </w:r>
          </w:p>
        </w:tc>
      </w:tr>
    </w:tbl>
    <w:p w14:paraId="0904A716" w14:textId="5CDF3EE3" w:rsidR="00294A7D" w:rsidRPr="00353F83" w:rsidRDefault="00A66923" w:rsidP="00B95A24">
      <w:pPr>
        <w:spacing w:before="80" w:line="240" w:lineRule="auto"/>
        <w:rPr>
          <w:rFonts w:ascii="Segoe UI" w:eastAsia="Lucida Sans Unicode" w:hAnsi="Segoe UI" w:cs="Times New Roman"/>
          <w:sz w:val="20"/>
          <w:szCs w:val="20"/>
          <w:lang w:val="co-FR"/>
        </w:rPr>
      </w:pPr>
      <w:r w:rsidRPr="00353F83">
        <w:rPr>
          <w:rFonts w:asciiTheme="minorHAnsi" w:hAnsiTheme="minorHAnsi"/>
          <w:sz w:val="20"/>
          <w:lang w:val="co-FR"/>
        </w:rPr>
        <w:t>Lưu ý: Cộng ngân sách lại có thể không bằng số tổng do làm tròn số.</w:t>
      </w:r>
    </w:p>
    <w:p w14:paraId="6F4EA86D" w14:textId="77777777" w:rsidR="00B95A24" w:rsidRPr="00353F83" w:rsidRDefault="00B95A24" w:rsidP="00B95A24">
      <w:pPr>
        <w:spacing w:before="80" w:line="240" w:lineRule="auto"/>
        <w:rPr>
          <w:rFonts w:ascii="Segoe UI" w:eastAsia="Lucida Sans Unicode" w:hAnsi="Segoe UI" w:cs="Times New Roman"/>
          <w:sz w:val="20"/>
          <w:szCs w:val="20"/>
          <w:lang w:val="co-FR"/>
        </w:rPr>
      </w:pPr>
    </w:p>
    <w:p w14:paraId="70D29E5C" w14:textId="77777777" w:rsidR="00586882" w:rsidRPr="00353F83" w:rsidRDefault="00586882" w:rsidP="00294A7D">
      <w:pPr>
        <w:spacing w:before="120" w:after="120" w:line="240" w:lineRule="auto"/>
        <w:rPr>
          <w:rFonts w:ascii="Segoe UI" w:eastAsiaTheme="minorEastAsia" w:hAnsi="Segoe UI" w:cs="Segoe UI"/>
          <w:b/>
          <w:bCs/>
          <w:lang w:val="co-FR"/>
        </w:rPr>
      </w:pPr>
    </w:p>
    <w:p w14:paraId="128A9B30" w14:textId="4EA6FFEA" w:rsidR="00294A7D" w:rsidRPr="00353F83" w:rsidRDefault="000724A7" w:rsidP="00294A7D">
      <w:pPr>
        <w:spacing w:before="120" w:after="120" w:line="240" w:lineRule="auto"/>
        <w:rPr>
          <w:rFonts w:ascii="Segoe UI" w:eastAsiaTheme="minorEastAsia" w:hAnsi="Segoe UI" w:cs="Segoe UI"/>
          <w:b/>
          <w:bCs/>
          <w:lang w:val="co-FR"/>
        </w:rPr>
      </w:pPr>
      <w:r w:rsidRPr="00353F83">
        <w:rPr>
          <w:rFonts w:ascii="Segoe UI" w:hAnsi="Segoe UI"/>
          <w:b/>
          <w:lang w:val="co-FR"/>
        </w:rPr>
        <w:t>Thuế cờ bạc (cách thức nó sẽ được tài trợ kinh phí)</w:t>
      </w:r>
    </w:p>
    <w:p w14:paraId="6A7029A5" w14:textId="17802848" w:rsidR="00294A7D" w:rsidRPr="00353F83" w:rsidRDefault="00294A7D" w:rsidP="000724A7">
      <w:pPr>
        <w:spacing w:before="120" w:after="120" w:line="240" w:lineRule="auto"/>
        <w:rPr>
          <w:rFonts w:ascii="Segoe UI" w:eastAsiaTheme="minorEastAsia" w:hAnsi="Segoe UI" w:cs="Segoe UI"/>
          <w:lang w:val="co-FR"/>
        </w:rPr>
      </w:pPr>
      <w:r w:rsidRPr="00353F83">
        <w:rPr>
          <w:rFonts w:ascii="Segoe UI" w:hAnsi="Segoe UI"/>
          <w:lang w:val="co-FR"/>
        </w:rPr>
        <w:t>Kinh phí cho tất cả các hoạt động để ngăn chặn và giảm thiểu tác hại của cờ bạc đến từ Thuế cờ bạc – một khoản tiền được chi trả bởi bốn lĩnh vực cờ bạc chính (nhà điều hành máy chơi game không phải là sòng bạc (pokies), sòng bạc, TAB NZ và Lotto NZ).</w:t>
      </w:r>
    </w:p>
    <w:p w14:paraId="3584265B" w14:textId="45FDC4E0" w:rsidR="006D7D41" w:rsidRPr="00353F83" w:rsidRDefault="006D7D41" w:rsidP="000724A7">
      <w:pPr>
        <w:spacing w:before="120" w:after="120" w:line="240" w:lineRule="auto"/>
        <w:rPr>
          <w:rFonts w:ascii="Segoe UI" w:eastAsiaTheme="minorEastAsia" w:hAnsi="Segoe UI" w:cs="Segoe UI"/>
          <w:lang w:val="co-FR"/>
        </w:rPr>
      </w:pPr>
    </w:p>
    <w:p w14:paraId="6BFA9B65" w14:textId="04F10C04" w:rsidR="00294A7D" w:rsidRPr="00353F83" w:rsidRDefault="00294A7D" w:rsidP="000724A7">
      <w:pPr>
        <w:spacing w:before="120" w:after="120" w:line="240" w:lineRule="auto"/>
        <w:rPr>
          <w:rFonts w:ascii="Segoe UI" w:eastAsiaTheme="minorEastAsia" w:hAnsi="Segoe UI" w:cs="Segoe UI"/>
          <w:lang w:val="co-FR"/>
        </w:rPr>
      </w:pPr>
      <w:r w:rsidRPr="00353F83">
        <w:rPr>
          <w:rFonts w:ascii="Segoe UI" w:hAnsi="Segoe UI"/>
          <w:lang w:val="co-FR"/>
        </w:rPr>
        <w:t>Mức thuế này được thiết lập theo công thức trong Đạo luật cờ bạc năm 2003, công thức này tính ra số tiền mà mỗi lĩnh vực cần phải trả.</w:t>
      </w:r>
    </w:p>
    <w:p w14:paraId="507C316F" w14:textId="4710A3B2" w:rsidR="006D7D41" w:rsidRPr="00353F83" w:rsidRDefault="006D7D41" w:rsidP="00E75E36">
      <w:pPr>
        <w:rPr>
          <w:rFonts w:ascii="Segoe UI" w:hAnsi="Segoe UI" w:cs="Segoe UI"/>
          <w:lang w:val="co-FR"/>
        </w:rPr>
      </w:pPr>
    </w:p>
    <w:p w14:paraId="6D857F30" w14:textId="32437174" w:rsidR="00E75E36" w:rsidRPr="00353F83" w:rsidRDefault="00E75E36" w:rsidP="00E75E36">
      <w:pPr>
        <w:rPr>
          <w:rFonts w:ascii="Segoe UI" w:hAnsi="Segoe UI" w:cs="Segoe UI"/>
          <w:lang w:val="co-FR"/>
        </w:rPr>
      </w:pPr>
      <w:r w:rsidRPr="00353F83">
        <w:rPr>
          <w:rFonts w:ascii="Segoe UI" w:hAnsi="Segoe UI"/>
          <w:lang w:val="co-FR"/>
        </w:rPr>
        <w:t>Công thức này có xét đến số tiền mà người chơi mất trong mỗi lĩnh vực (chi tiêu) và số lượng người tiếp cận các dịch vụ (trình diện), và tính ra mức thuế cho mỗi lĩnh vực trong bốn lĩnh vực. Mức thuế này được xem xét lại ba năm một lần cùng với việc xây dựng chiến lược mới. Kỳ tính thuế tiếp theo là từ ngày 1/7/2025 đến ngày 30/6/2028.</w:t>
      </w:r>
    </w:p>
    <w:p w14:paraId="356D468E" w14:textId="1370150F" w:rsidR="00E75E36" w:rsidRPr="00353F83" w:rsidRDefault="00E75E36" w:rsidP="00E75E36">
      <w:pPr>
        <w:rPr>
          <w:rFonts w:ascii="Segoe UI" w:hAnsi="Segoe UI" w:cs="Segoe UI"/>
          <w:lang w:val="co-FR"/>
        </w:rPr>
      </w:pPr>
    </w:p>
    <w:p w14:paraId="4D00B454" w14:textId="4CF559B8" w:rsidR="00222E52" w:rsidRPr="00353F83" w:rsidRDefault="0099297D" w:rsidP="0037533A">
      <w:pPr>
        <w:rPr>
          <w:rFonts w:ascii="Segoe UI" w:hAnsi="Segoe UI" w:cs="Segoe UI"/>
          <w:lang w:val="co-FR"/>
        </w:rPr>
      </w:pPr>
      <w:r w:rsidRPr="00353F83">
        <w:rPr>
          <w:rFonts w:ascii="Segoe UI" w:hAnsi="Segoe UI"/>
          <w:lang w:val="co-FR"/>
        </w:rPr>
        <w:t xml:space="preserve">Tài liệu tham vấn xem xét bốn phương án tính thuế khác nhau để xác định mức thuế mà mỗi lĩnh vực phải trả. Mức thuế đề xuất cho mỗi lĩnh vực cờ bạc, ngoại trừ TAB NZ, sẽ cao hơn theo bất kỳ phương án tính thuế nào cho giai đoạn 2025/26 đến 2027/28 so với mức thuế </w:t>
      </w:r>
      <w:r w:rsidRPr="00353F83">
        <w:rPr>
          <w:rFonts w:ascii="Segoe UI" w:hAnsi="Segoe UI"/>
          <w:lang w:val="co-FR"/>
        </w:rPr>
        <w:lastRenderedPageBreak/>
        <w:t>hiện tại. Các nhà điều hành máy chơi game không phải là sòng bạc sẽ trả nhiều nhất trong tất cả các phương án.</w:t>
      </w:r>
    </w:p>
    <w:p w14:paraId="0E67B8A4" w14:textId="77777777" w:rsidR="00222E52" w:rsidRPr="00353F83" w:rsidRDefault="00222E52" w:rsidP="004C1264">
      <w:pPr>
        <w:spacing w:before="120" w:after="120" w:line="240" w:lineRule="auto"/>
        <w:rPr>
          <w:rFonts w:ascii="Segoe UI" w:eastAsiaTheme="minorEastAsia" w:hAnsi="Segoe UI" w:cs="Segoe UI"/>
          <w:b/>
          <w:bCs/>
          <w:lang w:val="co-FR"/>
        </w:rPr>
      </w:pPr>
    </w:p>
    <w:p w14:paraId="358491D4" w14:textId="77777777" w:rsidR="00222E52" w:rsidRPr="00353F83" w:rsidRDefault="004C1264" w:rsidP="00222E52">
      <w:pPr>
        <w:spacing w:before="120" w:after="120" w:line="240" w:lineRule="auto"/>
        <w:rPr>
          <w:rFonts w:ascii="Segoe UI" w:eastAsiaTheme="minorEastAsia" w:hAnsi="Segoe UI" w:cs="Segoe UI"/>
          <w:b/>
          <w:bCs/>
          <w:lang w:val="co-FR"/>
        </w:rPr>
      </w:pPr>
      <w:r w:rsidRPr="00353F83">
        <w:rPr>
          <w:rFonts w:ascii="Segoe UI" w:hAnsi="Segoe UI"/>
          <w:b/>
          <w:lang w:val="co-FR"/>
        </w:rPr>
        <w:t>Cách thức để bạn góp ý</w:t>
      </w:r>
    </w:p>
    <w:p w14:paraId="2C91207D" w14:textId="77777777" w:rsidR="00222E52" w:rsidRPr="00353F83" w:rsidRDefault="007C68ED" w:rsidP="00222E52">
      <w:pPr>
        <w:spacing w:before="120" w:after="120" w:line="240" w:lineRule="auto"/>
        <w:rPr>
          <w:rFonts w:ascii="Segoe UI" w:eastAsiaTheme="minorEastAsia" w:hAnsi="Segoe UI" w:cs="Segoe UI"/>
          <w:b/>
          <w:bCs/>
          <w:lang w:val="co-FR"/>
        </w:rPr>
      </w:pPr>
      <w:r w:rsidRPr="00353F83">
        <w:rPr>
          <w:rFonts w:ascii="Segoe UI" w:hAnsi="Segoe UI"/>
          <w:lang w:val="co-FR"/>
        </w:rPr>
        <w:t xml:space="preserve">Chính phủ và Bộ Y tế muốn lắng nghe ý kiến của bạn. </w:t>
      </w:r>
    </w:p>
    <w:p w14:paraId="329F4D81" w14:textId="6E376187" w:rsidR="00222E52" w:rsidRPr="00353F83" w:rsidRDefault="004C1264" w:rsidP="00222E52">
      <w:pPr>
        <w:spacing w:before="120" w:after="120" w:line="240" w:lineRule="auto"/>
        <w:rPr>
          <w:rFonts w:ascii="Segoe UI" w:eastAsiaTheme="minorEastAsia" w:hAnsi="Segoe UI" w:cs="Segoe UI"/>
          <w:b/>
          <w:bCs/>
          <w:lang w:val="co-FR"/>
        </w:rPr>
      </w:pPr>
      <w:r w:rsidRPr="00353F83">
        <w:rPr>
          <w:rFonts w:ascii="Segoe UI" w:hAnsi="Segoe UI"/>
          <w:lang w:val="co-FR"/>
        </w:rPr>
        <w:t xml:space="preserve">Phản hồi của bạn rất quan trọng và sẽ cung cấp thông tin cho Chiến lược Phòng ngừa và Giảm thiểu Tác hại của Cờ bạc bản chính thức giai đoạn 2025/26 đến 2027/28. </w:t>
      </w:r>
    </w:p>
    <w:p w14:paraId="0D802A5B" w14:textId="697474E1" w:rsidR="004C1264" w:rsidRPr="00353F83" w:rsidRDefault="007759C4" w:rsidP="00222E52">
      <w:pPr>
        <w:spacing w:before="120" w:after="120" w:line="240" w:lineRule="auto"/>
        <w:rPr>
          <w:rFonts w:ascii="Segoe UI" w:eastAsiaTheme="minorEastAsia" w:hAnsi="Segoe UI" w:cs="Segoe UI"/>
          <w:b/>
          <w:bCs/>
          <w:lang w:val="co-FR"/>
        </w:rPr>
      </w:pPr>
      <w:r w:rsidRPr="00353F83">
        <w:rPr>
          <w:rFonts w:ascii="Segoe UI" w:hAnsi="Segoe UI"/>
          <w:lang w:val="co-FR"/>
        </w:rPr>
        <w:t>Chúng tôi muốn biết bạn có cho rằng chúng tôi đang tập trung vào đúng vấn đề hay không hoặc chúng tôi có bỏ sót điều gì không.</w:t>
      </w:r>
    </w:p>
    <w:p w14:paraId="01F904B2" w14:textId="7F428183" w:rsidR="002A0BEB" w:rsidRPr="00353F83" w:rsidRDefault="002A0BEB" w:rsidP="004C1264">
      <w:pPr>
        <w:keepNext/>
        <w:keepLines/>
        <w:spacing w:after="160" w:line="259" w:lineRule="auto"/>
        <w:rPr>
          <w:rFonts w:ascii="Segoe UI" w:eastAsiaTheme="minorHAnsi" w:hAnsi="Segoe UI" w:cs="Segoe UI"/>
          <w:lang w:val="co-FR"/>
        </w:rPr>
      </w:pPr>
      <w:r w:rsidRPr="00353F83">
        <w:rPr>
          <w:rFonts w:ascii="Segoe UI" w:hAnsi="Segoe UI"/>
          <w:lang w:val="co-FR"/>
        </w:rPr>
        <w:t>Một số câu hỏi bạn có thể muốn trả lời trong phản hồi của mình:</w:t>
      </w:r>
    </w:p>
    <w:p w14:paraId="65955363" w14:textId="5BB93E4B" w:rsidR="00D13D11" w:rsidRPr="00353F83" w:rsidRDefault="00D13D11" w:rsidP="003C1765">
      <w:pPr>
        <w:pStyle w:val="ListParagraph"/>
        <w:keepNext/>
        <w:keepLines/>
        <w:numPr>
          <w:ilvl w:val="0"/>
          <w:numId w:val="27"/>
        </w:numPr>
        <w:spacing w:after="160" w:line="259" w:lineRule="auto"/>
        <w:rPr>
          <w:rFonts w:ascii="Segoe UI" w:eastAsiaTheme="minorHAnsi" w:hAnsi="Segoe UI" w:cs="Segoe UI"/>
          <w:lang w:val="co-FR"/>
        </w:rPr>
      </w:pPr>
      <w:r w:rsidRPr="00353F83">
        <w:rPr>
          <w:rFonts w:ascii="Segoe UI" w:hAnsi="Segoe UI"/>
          <w:lang w:val="co-FR"/>
        </w:rPr>
        <w:t>Bạn có đồng ý với trọng tâm của kế hoạch chiến lược không? Nếu không thì tại sao không?</w:t>
      </w:r>
    </w:p>
    <w:p w14:paraId="07E786D7" w14:textId="41CE70C4" w:rsidR="008A2B8D" w:rsidRPr="00353F83" w:rsidRDefault="008A2B8D" w:rsidP="003C1765">
      <w:pPr>
        <w:pStyle w:val="ListParagraph"/>
        <w:keepNext/>
        <w:keepLines/>
        <w:numPr>
          <w:ilvl w:val="0"/>
          <w:numId w:val="27"/>
        </w:numPr>
        <w:spacing w:after="160" w:line="259" w:lineRule="auto"/>
        <w:rPr>
          <w:rFonts w:ascii="Segoe UI" w:eastAsiaTheme="minorHAnsi" w:hAnsi="Segoe UI" w:cs="Segoe UI"/>
          <w:lang w:val="co-FR"/>
        </w:rPr>
      </w:pPr>
      <w:r w:rsidRPr="00353F83">
        <w:rPr>
          <w:rFonts w:ascii="Segoe UI" w:hAnsi="Segoe UI"/>
          <w:lang w:val="co-FR"/>
        </w:rPr>
        <w:t>Bạn có đồng ý với trọng tâm của kế hoạch dịch vụ không? Nếu không thì tại sao không?</w:t>
      </w:r>
    </w:p>
    <w:p w14:paraId="6970D7DD" w14:textId="40FC2145" w:rsidR="0061745C" w:rsidRPr="00353F83" w:rsidRDefault="00560CC1" w:rsidP="003C1765">
      <w:pPr>
        <w:pStyle w:val="ListParagraph"/>
        <w:keepNext/>
        <w:keepLines/>
        <w:numPr>
          <w:ilvl w:val="0"/>
          <w:numId w:val="27"/>
        </w:numPr>
        <w:spacing w:after="160" w:line="259" w:lineRule="auto"/>
        <w:rPr>
          <w:rFonts w:ascii="Segoe UI" w:eastAsiaTheme="minorHAnsi" w:hAnsi="Segoe UI" w:cs="Segoe UI"/>
          <w:lang w:val="co-FR"/>
        </w:rPr>
      </w:pPr>
      <w:r w:rsidRPr="00353F83">
        <w:rPr>
          <w:rFonts w:ascii="Segoe UI" w:hAnsi="Segoe UI"/>
          <w:lang w:val="co-FR"/>
        </w:rPr>
        <w:t>Bạn có suy nghĩ gì về thuế cờ bạc không?</w:t>
      </w:r>
    </w:p>
    <w:p w14:paraId="3C530732" w14:textId="109D9C24" w:rsidR="00AE461E" w:rsidRPr="00353F83" w:rsidRDefault="00AE461E" w:rsidP="003C1765">
      <w:pPr>
        <w:pStyle w:val="ListParagraph"/>
        <w:keepNext/>
        <w:keepLines/>
        <w:numPr>
          <w:ilvl w:val="0"/>
          <w:numId w:val="27"/>
        </w:numPr>
        <w:spacing w:after="160" w:line="259" w:lineRule="auto"/>
        <w:rPr>
          <w:rFonts w:ascii="Segoe UI" w:eastAsiaTheme="minorHAnsi" w:hAnsi="Segoe UI" w:cs="Segoe UI"/>
          <w:lang w:val="co-FR"/>
        </w:rPr>
      </w:pPr>
      <w:r w:rsidRPr="00353F83">
        <w:rPr>
          <w:rFonts w:ascii="Segoe UI" w:hAnsi="Segoe UI"/>
          <w:lang w:val="co-FR"/>
        </w:rPr>
        <w:t>Bạn có bình luận nào khác về dự thảo chiến lược này hoặc tác hại của cờ bạc nói chung không?</w:t>
      </w:r>
    </w:p>
    <w:p w14:paraId="1EA4DBF4" w14:textId="6886284A" w:rsidR="002C488B" w:rsidRPr="00353F83" w:rsidRDefault="00295784" w:rsidP="009742FF">
      <w:pPr>
        <w:spacing w:before="120" w:after="120" w:line="240" w:lineRule="auto"/>
        <w:rPr>
          <w:rFonts w:ascii="Segoe UI" w:eastAsiaTheme="minorHAnsi" w:hAnsi="Segoe UI" w:cs="Segoe UI"/>
          <w:lang w:val="co-FR"/>
        </w:rPr>
      </w:pPr>
      <w:r w:rsidRPr="00353F83">
        <w:rPr>
          <w:rFonts w:ascii="Segoe UI" w:hAnsi="Segoe UI"/>
          <w:lang w:val="co-FR"/>
        </w:rPr>
        <w:t>Tài liệu tham vấn bản đầy đủ có thể được tìm thấy trên trang Tham vấn Chiến lược Phòng ngừa và Giảm thiểu Tác hại của Cờ bạc trên trang web của Bộ Y tế.</w:t>
      </w:r>
    </w:p>
    <w:p w14:paraId="77634B57" w14:textId="77777777" w:rsidR="009742FF" w:rsidRPr="00353F83" w:rsidRDefault="009742FF" w:rsidP="009742FF">
      <w:pPr>
        <w:spacing w:before="120" w:after="120" w:line="240" w:lineRule="auto"/>
        <w:rPr>
          <w:rFonts w:ascii="Segoe UI" w:eastAsiaTheme="minorHAnsi" w:hAnsi="Segoe UI" w:cs="Segoe UI"/>
          <w:lang w:val="co-FR"/>
        </w:rPr>
      </w:pPr>
    </w:p>
    <w:p w14:paraId="1D275E11" w14:textId="77777777" w:rsidR="00B95A24" w:rsidRPr="00353F83" w:rsidRDefault="00DF58B0" w:rsidP="00B95A24">
      <w:pPr>
        <w:rPr>
          <w:rFonts w:ascii="Segoe UI" w:eastAsia="Times New Roman" w:hAnsi="Segoe UI" w:cs="Times New Roman"/>
          <w:b/>
          <w:bCs/>
          <w:lang w:val="co-FR"/>
        </w:rPr>
      </w:pPr>
      <w:r w:rsidRPr="00353F83">
        <w:rPr>
          <w:rFonts w:ascii="Segoe UI" w:hAnsi="Segoe UI"/>
          <w:b/>
          <w:lang w:val="co-FR"/>
        </w:rPr>
        <w:t>Tham vấn kết thúc vào ngày 6/10/2024.</w:t>
      </w:r>
    </w:p>
    <w:p w14:paraId="4B9A4F58" w14:textId="77777777" w:rsidR="00B95A24" w:rsidRPr="00353F83" w:rsidRDefault="00B95A24" w:rsidP="00B95A24">
      <w:pPr>
        <w:rPr>
          <w:rFonts w:ascii="Segoe UI" w:eastAsia="Times New Roman" w:hAnsi="Segoe UI" w:cs="Times New Roman"/>
          <w:b/>
          <w:bCs/>
          <w:lang w:val="co-FR"/>
        </w:rPr>
      </w:pPr>
    </w:p>
    <w:p w14:paraId="08E5AEA4" w14:textId="0A5074B7" w:rsidR="004C1264" w:rsidRPr="00353F83" w:rsidRDefault="004C1264" w:rsidP="00B95A24">
      <w:pPr>
        <w:rPr>
          <w:rFonts w:ascii="Segoe UI" w:eastAsia="Times New Roman" w:hAnsi="Segoe UI" w:cs="Times New Roman"/>
          <w:b/>
          <w:bCs/>
          <w:lang w:val="co-FR"/>
        </w:rPr>
      </w:pPr>
      <w:r w:rsidRPr="00353F83">
        <w:rPr>
          <w:rFonts w:ascii="Segoe UI" w:hAnsi="Segoe UI"/>
          <w:lang w:val="co-FR"/>
        </w:rPr>
        <w:t>Bạn có thể cung cấp phản hồi bằng cách:</w:t>
      </w:r>
    </w:p>
    <w:p w14:paraId="6E698B4A" w14:textId="77777777" w:rsidR="004C1264" w:rsidRPr="00353F83" w:rsidRDefault="004C1264" w:rsidP="0044283E">
      <w:pPr>
        <w:pStyle w:val="ListParagraph"/>
        <w:keepLines/>
        <w:numPr>
          <w:ilvl w:val="0"/>
          <w:numId w:val="25"/>
        </w:numPr>
        <w:spacing w:after="160" w:line="240" w:lineRule="auto"/>
        <w:ind w:left="425" w:hanging="357"/>
        <w:contextualSpacing w:val="0"/>
        <w:rPr>
          <w:rFonts w:ascii="Segoe UI" w:eastAsia="Times New Roman" w:hAnsi="Segoe UI" w:cs="Segoe UI"/>
          <w:lang w:val="co-FR"/>
        </w:rPr>
      </w:pPr>
      <w:r w:rsidRPr="00353F83">
        <w:rPr>
          <w:rFonts w:ascii="Segoe UI" w:hAnsi="Segoe UI"/>
          <w:lang w:val="co-FR"/>
        </w:rPr>
        <w:t xml:space="preserve">nộp phúc trình trực tuyến tại </w:t>
      </w:r>
      <w:hyperlink r:id="rId7" w:history="1">
        <w:r w:rsidRPr="00353F83">
          <w:rPr>
            <w:rFonts w:ascii="Segoe UI" w:hAnsi="Segoe UI"/>
            <w:b/>
            <w:color w:val="595959" w:themeColor="text1" w:themeTint="A6"/>
            <w:lang w:val="co-FR"/>
          </w:rPr>
          <w:t>https://consult.health.govt.nz</w:t>
        </w:r>
      </w:hyperlink>
    </w:p>
    <w:p w14:paraId="31F300E8" w14:textId="3CC0CB90" w:rsidR="004C1264" w:rsidRPr="00353F83" w:rsidRDefault="004C1264" w:rsidP="0044283E">
      <w:pPr>
        <w:pStyle w:val="ListParagraph"/>
        <w:keepLines/>
        <w:numPr>
          <w:ilvl w:val="0"/>
          <w:numId w:val="25"/>
        </w:numPr>
        <w:spacing w:after="160" w:line="240" w:lineRule="auto"/>
        <w:ind w:left="425" w:hanging="357"/>
        <w:contextualSpacing w:val="0"/>
        <w:rPr>
          <w:rFonts w:ascii="Segoe UI" w:eastAsia="Times New Roman" w:hAnsi="Segoe UI" w:cs="Segoe UI"/>
          <w:lang w:val="co-FR"/>
        </w:rPr>
      </w:pPr>
      <w:r w:rsidRPr="00353F83">
        <w:rPr>
          <w:rFonts w:ascii="Segoe UI" w:hAnsi="Segoe UI"/>
          <w:lang w:val="co-FR"/>
        </w:rPr>
        <w:t xml:space="preserve">tham dự một cuộc họp tham vấn – thông tin về cuộc họp sẽ có tại </w:t>
      </w:r>
      <w:hyperlink r:id="rId8" w:history="1">
        <w:r w:rsidRPr="00353F83">
          <w:rPr>
            <w:rFonts w:ascii="Segoe UI" w:hAnsi="Segoe UI"/>
            <w:b/>
            <w:color w:val="595959" w:themeColor="text1" w:themeTint="A6"/>
            <w:lang w:val="co-FR"/>
          </w:rPr>
          <w:t>https://consult.health.govt.nz</w:t>
        </w:r>
      </w:hyperlink>
    </w:p>
    <w:p w14:paraId="302F20AA" w14:textId="6759B423" w:rsidR="00A10A05" w:rsidRPr="00353F83" w:rsidRDefault="00A10A05" w:rsidP="0044283E">
      <w:pPr>
        <w:pStyle w:val="ListParagraph"/>
        <w:keepLines/>
        <w:numPr>
          <w:ilvl w:val="0"/>
          <w:numId w:val="25"/>
        </w:numPr>
        <w:spacing w:after="160"/>
        <w:ind w:left="425" w:hanging="357"/>
        <w:contextualSpacing w:val="0"/>
        <w:rPr>
          <w:rFonts w:ascii="Segoe UI" w:eastAsia="Times New Roman" w:hAnsi="Segoe UI" w:cs="Segoe UI"/>
          <w:lang w:val="co-FR"/>
        </w:rPr>
      </w:pPr>
      <w:r w:rsidRPr="00353F83">
        <w:rPr>
          <w:rFonts w:ascii="Segoe UI" w:hAnsi="Segoe UI"/>
          <w:lang w:val="co-FR"/>
        </w:rPr>
        <w:t xml:space="preserve">gửi email suy nghĩ của bạn đến </w:t>
      </w:r>
      <w:hyperlink r:id="rId9" w:history="1">
        <w:r w:rsidRPr="00353F83">
          <w:rPr>
            <w:rStyle w:val="Hyperlink"/>
            <w:rFonts w:ascii="Segoe UI" w:hAnsi="Segoe UI"/>
            <w:b/>
            <w:lang w:val="co-FR"/>
          </w:rPr>
          <w:t>gamblingharm@health.govt.nz</w:t>
        </w:r>
      </w:hyperlink>
      <w:r w:rsidRPr="00353F83">
        <w:rPr>
          <w:rFonts w:ascii="Segoe UI" w:hAnsi="Segoe UI"/>
          <w:lang w:val="co-FR"/>
        </w:rPr>
        <w:t>.</w:t>
      </w:r>
    </w:p>
    <w:p w14:paraId="12C94DD3" w14:textId="77777777" w:rsidR="00A10A05" w:rsidRPr="00353F83" w:rsidRDefault="00A10A05" w:rsidP="00A10A05">
      <w:pPr>
        <w:pStyle w:val="ListParagraph"/>
        <w:keepLines/>
        <w:spacing w:after="160" w:line="240" w:lineRule="auto"/>
        <w:rPr>
          <w:rFonts w:ascii="Segoe UI" w:eastAsia="Times New Roman" w:hAnsi="Segoe UI" w:cs="Segoe UI"/>
          <w:lang w:val="co-FR"/>
        </w:rPr>
      </w:pPr>
    </w:p>
    <w:sectPr w:rsidR="00A10A05" w:rsidRPr="00353F83">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9CE3C" w14:textId="77777777" w:rsidR="00A01C01" w:rsidRDefault="00A01C01" w:rsidP="00917215">
      <w:pPr>
        <w:spacing w:line="240" w:lineRule="auto"/>
      </w:pPr>
      <w:r>
        <w:separator/>
      </w:r>
    </w:p>
  </w:endnote>
  <w:endnote w:type="continuationSeparator" w:id="0">
    <w:p w14:paraId="2EA6B050" w14:textId="77777777" w:rsidR="00A01C01" w:rsidRDefault="00A01C01" w:rsidP="00917215">
      <w:pPr>
        <w:spacing w:line="240" w:lineRule="auto"/>
      </w:pPr>
      <w:r>
        <w:continuationSeparator/>
      </w:r>
    </w:p>
  </w:endnote>
  <w:endnote w:type="continuationNotice" w:id="1">
    <w:p w14:paraId="2475ECD6" w14:textId="77777777" w:rsidR="00A01C01" w:rsidRDefault="00A01C0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8754235"/>
      <w:docPartObj>
        <w:docPartGallery w:val="Page Numbers (Bottom of Page)"/>
        <w:docPartUnique/>
      </w:docPartObj>
    </w:sdtPr>
    <w:sdtEndPr/>
    <w:sdtContent>
      <w:p w14:paraId="006145A1" w14:textId="4453DFD8" w:rsidR="00B2604C" w:rsidRDefault="00B2604C">
        <w:pPr>
          <w:pStyle w:val="Footer"/>
          <w:jc w:val="right"/>
        </w:pPr>
        <w:r>
          <w:fldChar w:fldCharType="begin"/>
        </w:r>
        <w:r>
          <w:instrText xml:space="preserve"> PAGE   \* MERGEFORMAT </w:instrText>
        </w:r>
        <w:r>
          <w:fldChar w:fldCharType="separate"/>
        </w:r>
        <w:r>
          <w:t>2</w:t>
        </w:r>
        <w:r>
          <w:fldChar w:fldCharType="end"/>
        </w:r>
      </w:p>
    </w:sdtContent>
  </w:sdt>
  <w:p w14:paraId="032A9849" w14:textId="77777777" w:rsidR="00917215" w:rsidRDefault="00917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4D9ABA" w14:textId="77777777" w:rsidR="00A01C01" w:rsidRDefault="00A01C01" w:rsidP="00917215">
      <w:pPr>
        <w:spacing w:line="240" w:lineRule="auto"/>
      </w:pPr>
      <w:r>
        <w:separator/>
      </w:r>
    </w:p>
  </w:footnote>
  <w:footnote w:type="continuationSeparator" w:id="0">
    <w:p w14:paraId="571B7095" w14:textId="77777777" w:rsidR="00A01C01" w:rsidRDefault="00A01C01" w:rsidP="00917215">
      <w:pPr>
        <w:spacing w:line="240" w:lineRule="auto"/>
      </w:pPr>
      <w:r>
        <w:continuationSeparator/>
      </w:r>
    </w:p>
  </w:footnote>
  <w:footnote w:type="continuationNotice" w:id="1">
    <w:p w14:paraId="677A7266" w14:textId="77777777" w:rsidR="00A01C01" w:rsidRDefault="00A01C01">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835FE"/>
    <w:multiLevelType w:val="multilevel"/>
    <w:tmpl w:val="FAA67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E11719"/>
    <w:multiLevelType w:val="multilevel"/>
    <w:tmpl w:val="7AEE7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B5689E"/>
    <w:multiLevelType w:val="multilevel"/>
    <w:tmpl w:val="6CAC6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167917"/>
    <w:multiLevelType w:val="multilevel"/>
    <w:tmpl w:val="707E2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946BC4"/>
    <w:multiLevelType w:val="multilevel"/>
    <w:tmpl w:val="2E223B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0735BF"/>
    <w:multiLevelType w:val="multilevel"/>
    <w:tmpl w:val="40B48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C21840"/>
    <w:multiLevelType w:val="multilevel"/>
    <w:tmpl w:val="E6BEC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DC78FD"/>
    <w:multiLevelType w:val="multilevel"/>
    <w:tmpl w:val="B772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3623B7"/>
    <w:multiLevelType w:val="multilevel"/>
    <w:tmpl w:val="A912A1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E46DF4"/>
    <w:multiLevelType w:val="multilevel"/>
    <w:tmpl w:val="D512C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1804B7"/>
    <w:multiLevelType w:val="multilevel"/>
    <w:tmpl w:val="0812D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E4BA7E"/>
    <w:multiLevelType w:val="multilevel"/>
    <w:tmpl w:val="B232D8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452E46"/>
    <w:multiLevelType w:val="hybridMultilevel"/>
    <w:tmpl w:val="BF9A0448"/>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C8E111F"/>
    <w:multiLevelType w:val="multilevel"/>
    <w:tmpl w:val="2646A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5D76B2"/>
    <w:multiLevelType w:val="multilevel"/>
    <w:tmpl w:val="D820C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86E5B67"/>
    <w:multiLevelType w:val="multilevel"/>
    <w:tmpl w:val="4A68E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AAD0D0E"/>
    <w:multiLevelType w:val="multilevel"/>
    <w:tmpl w:val="F0D25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49B04E2"/>
    <w:multiLevelType w:val="hybridMultilevel"/>
    <w:tmpl w:val="221E658C"/>
    <w:lvl w:ilvl="0" w:tplc="68B08BF2">
      <w:start w:val="1"/>
      <w:numFmt w:val="bullet"/>
      <w:pStyle w:val="Bullet"/>
      <w:lvlText w:val=""/>
      <w:lvlJc w:val="left"/>
      <w:pPr>
        <w:ind w:left="360" w:hanging="360"/>
      </w:pPr>
      <w:rPr>
        <w:rFonts w:ascii="Symbol" w:hAnsi="Symbol" w:hint="default"/>
      </w:rPr>
    </w:lvl>
    <w:lvl w:ilvl="1" w:tplc="06901BF6">
      <w:start w:val="1"/>
      <w:numFmt w:val="bullet"/>
      <w:pStyle w:val="Second-levelbullets"/>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5D985DE0"/>
    <w:multiLevelType w:val="multilevel"/>
    <w:tmpl w:val="6E5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565CD5"/>
    <w:multiLevelType w:val="multilevel"/>
    <w:tmpl w:val="3056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154106C"/>
    <w:multiLevelType w:val="hybridMultilevel"/>
    <w:tmpl w:val="8304AB58"/>
    <w:lvl w:ilvl="0" w:tplc="14090003">
      <w:start w:val="1"/>
      <w:numFmt w:val="bullet"/>
      <w:lvlText w:val="o"/>
      <w:lvlJc w:val="left"/>
      <w:pPr>
        <w:ind w:left="1440" w:hanging="360"/>
      </w:pPr>
      <w:rPr>
        <w:rFonts w:ascii="Courier New" w:hAnsi="Courier New" w:cs="Courier New"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1" w15:restartNumberingAfterBreak="0">
    <w:nsid w:val="624D763C"/>
    <w:multiLevelType w:val="hybridMultilevel"/>
    <w:tmpl w:val="72F4925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75C02ADE"/>
    <w:multiLevelType w:val="multilevel"/>
    <w:tmpl w:val="678E0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78F03BB"/>
    <w:multiLevelType w:val="hybridMultilevel"/>
    <w:tmpl w:val="F2F40B88"/>
    <w:lvl w:ilvl="0" w:tplc="14090003">
      <w:start w:val="1"/>
      <w:numFmt w:val="bullet"/>
      <w:lvlText w:val="o"/>
      <w:lvlJc w:val="left"/>
      <w:pPr>
        <w:ind w:left="1440" w:hanging="360"/>
      </w:pPr>
      <w:rPr>
        <w:rFonts w:ascii="Courier New" w:hAnsi="Courier New" w:cs="Courier New"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4" w15:restartNumberingAfterBreak="0">
    <w:nsid w:val="7AFC6716"/>
    <w:multiLevelType w:val="multilevel"/>
    <w:tmpl w:val="F5D46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B860D60"/>
    <w:multiLevelType w:val="multilevel"/>
    <w:tmpl w:val="A99AE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CFD4F64"/>
    <w:multiLevelType w:val="hybridMultilevel"/>
    <w:tmpl w:val="C6449548"/>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895972039">
    <w:abstractNumId w:val="6"/>
  </w:num>
  <w:num w:numId="2" w16cid:durableId="491681890">
    <w:abstractNumId w:val="0"/>
  </w:num>
  <w:num w:numId="3" w16cid:durableId="397752385">
    <w:abstractNumId w:val="14"/>
  </w:num>
  <w:num w:numId="4" w16cid:durableId="47187735">
    <w:abstractNumId w:val="10"/>
  </w:num>
  <w:num w:numId="5" w16cid:durableId="460853252">
    <w:abstractNumId w:val="5"/>
  </w:num>
  <w:num w:numId="6" w16cid:durableId="231932641">
    <w:abstractNumId w:val="2"/>
  </w:num>
  <w:num w:numId="7" w16cid:durableId="1401487976">
    <w:abstractNumId w:val="24"/>
  </w:num>
  <w:num w:numId="8" w16cid:durableId="158277757">
    <w:abstractNumId w:val="25"/>
  </w:num>
  <w:num w:numId="9" w16cid:durableId="757211851">
    <w:abstractNumId w:val="9"/>
  </w:num>
  <w:num w:numId="10" w16cid:durableId="505630623">
    <w:abstractNumId w:val="8"/>
  </w:num>
  <w:num w:numId="11" w16cid:durableId="982076780">
    <w:abstractNumId w:val="13"/>
  </w:num>
  <w:num w:numId="12" w16cid:durableId="1713336608">
    <w:abstractNumId w:val="22"/>
  </w:num>
  <w:num w:numId="13" w16cid:durableId="1048916814">
    <w:abstractNumId w:val="16"/>
  </w:num>
  <w:num w:numId="14" w16cid:durableId="1587376812">
    <w:abstractNumId w:val="18"/>
  </w:num>
  <w:num w:numId="15" w16cid:durableId="1794010613">
    <w:abstractNumId w:val="1"/>
  </w:num>
  <w:num w:numId="16" w16cid:durableId="699741277">
    <w:abstractNumId w:val="19"/>
  </w:num>
  <w:num w:numId="17" w16cid:durableId="870067127">
    <w:abstractNumId w:val="3"/>
  </w:num>
  <w:num w:numId="18" w16cid:durableId="137382133">
    <w:abstractNumId w:val="7"/>
  </w:num>
  <w:num w:numId="19" w16cid:durableId="1914970494">
    <w:abstractNumId w:val="23"/>
  </w:num>
  <w:num w:numId="20" w16cid:durableId="992831301">
    <w:abstractNumId w:val="20"/>
  </w:num>
  <w:num w:numId="21" w16cid:durableId="130832517">
    <w:abstractNumId w:val="11"/>
  </w:num>
  <w:num w:numId="22" w16cid:durableId="200481189">
    <w:abstractNumId w:val="4"/>
  </w:num>
  <w:num w:numId="23" w16cid:durableId="1056667283">
    <w:abstractNumId w:val="17"/>
  </w:num>
  <w:num w:numId="24" w16cid:durableId="426583580">
    <w:abstractNumId w:val="15"/>
  </w:num>
  <w:num w:numId="25" w16cid:durableId="1093283180">
    <w:abstractNumId w:val="26"/>
  </w:num>
  <w:num w:numId="26" w16cid:durableId="1627541614">
    <w:abstractNumId w:val="21"/>
  </w:num>
  <w:num w:numId="27" w16cid:durableId="15790997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A7D"/>
    <w:rsid w:val="00001882"/>
    <w:rsid w:val="00005BF1"/>
    <w:rsid w:val="00006A72"/>
    <w:rsid w:val="00043148"/>
    <w:rsid w:val="00067D25"/>
    <w:rsid w:val="000724A7"/>
    <w:rsid w:val="000B5F19"/>
    <w:rsid w:val="000B7920"/>
    <w:rsid w:val="000C0EDF"/>
    <w:rsid w:val="000E0924"/>
    <w:rsid w:val="000E69AB"/>
    <w:rsid w:val="00103C90"/>
    <w:rsid w:val="001139AB"/>
    <w:rsid w:val="00121D30"/>
    <w:rsid w:val="00142A16"/>
    <w:rsid w:val="00154F1B"/>
    <w:rsid w:val="00166758"/>
    <w:rsid w:val="00171CB3"/>
    <w:rsid w:val="00174B5F"/>
    <w:rsid w:val="00182640"/>
    <w:rsid w:val="001A3DCC"/>
    <w:rsid w:val="001A7717"/>
    <w:rsid w:val="001C06F9"/>
    <w:rsid w:val="001C4CBA"/>
    <w:rsid w:val="00222E52"/>
    <w:rsid w:val="00230769"/>
    <w:rsid w:val="00234818"/>
    <w:rsid w:val="00272FFB"/>
    <w:rsid w:val="00294A7D"/>
    <w:rsid w:val="00295784"/>
    <w:rsid w:val="002963B8"/>
    <w:rsid w:val="002A0BEB"/>
    <w:rsid w:val="002B1D3A"/>
    <w:rsid w:val="002B7953"/>
    <w:rsid w:val="002C488B"/>
    <w:rsid w:val="002C534B"/>
    <w:rsid w:val="002D2EBC"/>
    <w:rsid w:val="002D5DA2"/>
    <w:rsid w:val="002F1AC9"/>
    <w:rsid w:val="0031247F"/>
    <w:rsid w:val="00314F23"/>
    <w:rsid w:val="00347171"/>
    <w:rsid w:val="00353F83"/>
    <w:rsid w:val="0037533A"/>
    <w:rsid w:val="00384346"/>
    <w:rsid w:val="003904BB"/>
    <w:rsid w:val="003B099B"/>
    <w:rsid w:val="003C1765"/>
    <w:rsid w:val="003D64B0"/>
    <w:rsid w:val="003F1CDF"/>
    <w:rsid w:val="00440359"/>
    <w:rsid w:val="0044283E"/>
    <w:rsid w:val="00454D46"/>
    <w:rsid w:val="00466712"/>
    <w:rsid w:val="004750C3"/>
    <w:rsid w:val="00490F05"/>
    <w:rsid w:val="004A0655"/>
    <w:rsid w:val="004A1446"/>
    <w:rsid w:val="004C1264"/>
    <w:rsid w:val="004E0896"/>
    <w:rsid w:val="00504123"/>
    <w:rsid w:val="00512B97"/>
    <w:rsid w:val="00560CC1"/>
    <w:rsid w:val="00561207"/>
    <w:rsid w:val="005704A7"/>
    <w:rsid w:val="00570E36"/>
    <w:rsid w:val="00586882"/>
    <w:rsid w:val="005A519A"/>
    <w:rsid w:val="005B343E"/>
    <w:rsid w:val="005C37A1"/>
    <w:rsid w:val="005D6E5B"/>
    <w:rsid w:val="00605CAF"/>
    <w:rsid w:val="00611445"/>
    <w:rsid w:val="0061745C"/>
    <w:rsid w:val="00655769"/>
    <w:rsid w:val="00666C54"/>
    <w:rsid w:val="0067031D"/>
    <w:rsid w:val="00680AEE"/>
    <w:rsid w:val="00684E10"/>
    <w:rsid w:val="00690BA4"/>
    <w:rsid w:val="00693A94"/>
    <w:rsid w:val="006C1E05"/>
    <w:rsid w:val="006D7D41"/>
    <w:rsid w:val="00711FD2"/>
    <w:rsid w:val="0071799E"/>
    <w:rsid w:val="007232A6"/>
    <w:rsid w:val="00733F03"/>
    <w:rsid w:val="00753218"/>
    <w:rsid w:val="007759C4"/>
    <w:rsid w:val="00776DAE"/>
    <w:rsid w:val="007C1C29"/>
    <w:rsid w:val="007C68ED"/>
    <w:rsid w:val="007D318A"/>
    <w:rsid w:val="0080494D"/>
    <w:rsid w:val="00835F42"/>
    <w:rsid w:val="008A2B8D"/>
    <w:rsid w:val="00910CD9"/>
    <w:rsid w:val="00915229"/>
    <w:rsid w:val="00917215"/>
    <w:rsid w:val="00921449"/>
    <w:rsid w:val="009532D7"/>
    <w:rsid w:val="009742FF"/>
    <w:rsid w:val="009743CB"/>
    <w:rsid w:val="0099297D"/>
    <w:rsid w:val="009B32C0"/>
    <w:rsid w:val="009B6DF7"/>
    <w:rsid w:val="009F7904"/>
    <w:rsid w:val="00A01C01"/>
    <w:rsid w:val="00A10A05"/>
    <w:rsid w:val="00A331B9"/>
    <w:rsid w:val="00A66923"/>
    <w:rsid w:val="00AA7828"/>
    <w:rsid w:val="00AD4890"/>
    <w:rsid w:val="00AE461E"/>
    <w:rsid w:val="00B12F08"/>
    <w:rsid w:val="00B2136F"/>
    <w:rsid w:val="00B2604C"/>
    <w:rsid w:val="00B324FA"/>
    <w:rsid w:val="00B40C38"/>
    <w:rsid w:val="00B45D59"/>
    <w:rsid w:val="00B64FEA"/>
    <w:rsid w:val="00B95A24"/>
    <w:rsid w:val="00BA3E22"/>
    <w:rsid w:val="00BC414C"/>
    <w:rsid w:val="00C36AC7"/>
    <w:rsid w:val="00C52D76"/>
    <w:rsid w:val="00C723EA"/>
    <w:rsid w:val="00C92B07"/>
    <w:rsid w:val="00C962E5"/>
    <w:rsid w:val="00CB4EC1"/>
    <w:rsid w:val="00D045BF"/>
    <w:rsid w:val="00D13D11"/>
    <w:rsid w:val="00D503D1"/>
    <w:rsid w:val="00D51CE1"/>
    <w:rsid w:val="00D64356"/>
    <w:rsid w:val="00D8400E"/>
    <w:rsid w:val="00DB7CEC"/>
    <w:rsid w:val="00DF58B0"/>
    <w:rsid w:val="00E1366D"/>
    <w:rsid w:val="00E20FF8"/>
    <w:rsid w:val="00E23541"/>
    <w:rsid w:val="00E556C7"/>
    <w:rsid w:val="00E61B4C"/>
    <w:rsid w:val="00E70AB4"/>
    <w:rsid w:val="00E75E36"/>
    <w:rsid w:val="00E80622"/>
    <w:rsid w:val="00E93F1E"/>
    <w:rsid w:val="00EC77CE"/>
    <w:rsid w:val="00ED2065"/>
    <w:rsid w:val="00ED6DC3"/>
    <w:rsid w:val="00EE6675"/>
    <w:rsid w:val="00F119A2"/>
    <w:rsid w:val="00F33D09"/>
    <w:rsid w:val="00F43C87"/>
    <w:rsid w:val="00F4425B"/>
    <w:rsid w:val="00F51140"/>
    <w:rsid w:val="00F602AB"/>
    <w:rsid w:val="00FB7F2A"/>
    <w:rsid w:val="00FD0183"/>
    <w:rsid w:val="070D5316"/>
    <w:rsid w:val="150CE7F6"/>
    <w:rsid w:val="1D4DC6BD"/>
    <w:rsid w:val="267B3ADC"/>
    <w:rsid w:val="2BEC96C5"/>
    <w:rsid w:val="2BF52AB0"/>
    <w:rsid w:val="2EA1191A"/>
    <w:rsid w:val="2FFF90DA"/>
    <w:rsid w:val="330D80B7"/>
    <w:rsid w:val="33B3CB49"/>
    <w:rsid w:val="37641BA2"/>
    <w:rsid w:val="3A3BA48B"/>
    <w:rsid w:val="3DBD251F"/>
    <w:rsid w:val="4082F99B"/>
    <w:rsid w:val="42C2691B"/>
    <w:rsid w:val="436DA200"/>
    <w:rsid w:val="4A256744"/>
    <w:rsid w:val="4BADD8C0"/>
    <w:rsid w:val="50CB3552"/>
    <w:rsid w:val="53636AF8"/>
    <w:rsid w:val="54EFFE9B"/>
    <w:rsid w:val="56897A3B"/>
    <w:rsid w:val="579EB476"/>
    <w:rsid w:val="5D6E6DB8"/>
    <w:rsid w:val="5F492578"/>
    <w:rsid w:val="6955B1F3"/>
    <w:rsid w:val="74353D5E"/>
    <w:rsid w:val="761F4C07"/>
    <w:rsid w:val="7B6E402F"/>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FED14"/>
  <w15:chartTrackingRefBased/>
  <w15:docId w15:val="{EEC17E01-4527-49D4-BC82-BA2CC42C8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A7D"/>
    <w:pPr>
      <w:spacing w:after="0" w:line="276" w:lineRule="auto"/>
    </w:pPr>
    <w:rPr>
      <w:rFonts w:ascii="Arial" w:eastAsia="Arial" w:hAnsi="Arial" w:cs="Arial"/>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SJ No.Paras,Bullet Normal,List Paragraph1,Recommendation,standard lewis,Level 3,Bullet Heading,Colorful List - Accent 11,AP Bullet Normal,List Paragraph numbered,List Bullet indent,List 1,Other List,Unordered List Paragraph"/>
    <w:basedOn w:val="Normal"/>
    <w:link w:val="ListParagraphChar"/>
    <w:uiPriority w:val="34"/>
    <w:qFormat/>
    <w:rsid w:val="00294A7D"/>
    <w:pPr>
      <w:ind w:left="720"/>
      <w:contextualSpacing/>
    </w:pPr>
  </w:style>
  <w:style w:type="character" w:styleId="CommentReference">
    <w:name w:val="annotation reference"/>
    <w:basedOn w:val="DefaultParagraphFont"/>
    <w:uiPriority w:val="99"/>
    <w:semiHidden/>
    <w:unhideWhenUsed/>
    <w:rsid w:val="00294A7D"/>
    <w:rPr>
      <w:sz w:val="16"/>
      <w:szCs w:val="16"/>
    </w:rPr>
  </w:style>
  <w:style w:type="paragraph" w:styleId="CommentText">
    <w:name w:val="annotation text"/>
    <w:basedOn w:val="Normal"/>
    <w:link w:val="CommentTextChar"/>
    <w:uiPriority w:val="99"/>
    <w:unhideWhenUsed/>
    <w:rsid w:val="00294A7D"/>
    <w:pPr>
      <w:spacing w:after="160" w:line="240" w:lineRule="auto"/>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294A7D"/>
    <w:rPr>
      <w:sz w:val="20"/>
      <w:szCs w:val="20"/>
    </w:rPr>
  </w:style>
  <w:style w:type="character" w:customStyle="1" w:styleId="ListParagraphChar">
    <w:name w:val="List Paragraph Char"/>
    <w:aliases w:val="Bullets Char,SJ No.Paras Char,Bullet Normal Char,List Paragraph1 Char,Recommendation Char,standard lewis Char,Level 3 Char,Bullet Heading Char,Colorful List - Accent 11 Char,AP Bullet Normal Char,List Paragraph numbered Char"/>
    <w:link w:val="ListParagraph"/>
    <w:uiPriority w:val="34"/>
    <w:qFormat/>
    <w:locked/>
    <w:rsid w:val="00294A7D"/>
    <w:rPr>
      <w:rFonts w:ascii="Arial" w:eastAsia="Arial" w:hAnsi="Arial" w:cs="Arial"/>
      <w:lang w:val="vi-VN" w:eastAsia="en-NZ"/>
    </w:rPr>
  </w:style>
  <w:style w:type="character" w:customStyle="1" w:styleId="normaltextrun">
    <w:name w:val="normaltextrun"/>
    <w:basedOn w:val="DefaultParagraphFont"/>
    <w:uiPriority w:val="1"/>
    <w:rsid w:val="00294A7D"/>
    <w:rPr>
      <w:rFonts w:asciiTheme="minorHAnsi" w:eastAsiaTheme="minorEastAsia" w:hAnsiTheme="minorHAnsi" w:cstheme="minorBidi"/>
      <w:sz w:val="22"/>
      <w:szCs w:val="22"/>
    </w:rPr>
  </w:style>
  <w:style w:type="paragraph" w:customStyle="1" w:styleId="Bullet">
    <w:name w:val="Bullet"/>
    <w:basedOn w:val="Normal"/>
    <w:link w:val="BulletChar"/>
    <w:qFormat/>
    <w:rsid w:val="00294A7D"/>
    <w:pPr>
      <w:keepLines/>
      <w:numPr>
        <w:numId w:val="23"/>
      </w:numPr>
      <w:spacing w:after="160" w:line="240" w:lineRule="auto"/>
    </w:pPr>
    <w:rPr>
      <w:rFonts w:asciiTheme="minorHAnsi" w:eastAsia="Times New Roman" w:hAnsiTheme="minorHAnsi" w:cstheme="minorHAnsi"/>
      <w:lang w:eastAsia="ja-JP"/>
    </w:rPr>
  </w:style>
  <w:style w:type="character" w:customStyle="1" w:styleId="BulletChar">
    <w:name w:val="Bullet Char"/>
    <w:link w:val="Bullet"/>
    <w:locked/>
    <w:rsid w:val="00294A7D"/>
    <w:rPr>
      <w:rFonts w:eastAsia="Times New Roman" w:cstheme="minorHAnsi"/>
      <w:lang w:val="vi-VN" w:eastAsia="ja-JP"/>
    </w:rPr>
  </w:style>
  <w:style w:type="paragraph" w:customStyle="1" w:styleId="Second-levelbullets">
    <w:name w:val="Second-level bullets"/>
    <w:basedOn w:val="Bullet"/>
    <w:uiPriority w:val="3"/>
    <w:qFormat/>
    <w:rsid w:val="00294A7D"/>
    <w:pPr>
      <w:numPr>
        <w:ilvl w:val="1"/>
      </w:numPr>
      <w:tabs>
        <w:tab w:val="num" w:pos="360"/>
        <w:tab w:val="num" w:pos="1440"/>
      </w:tabs>
      <w:ind w:left="851"/>
    </w:pPr>
    <w:rPr>
      <w:rFonts w:eastAsia="Segoe UI"/>
    </w:rPr>
  </w:style>
  <w:style w:type="paragraph" w:styleId="Revision">
    <w:name w:val="Revision"/>
    <w:hidden/>
    <w:uiPriority w:val="99"/>
    <w:semiHidden/>
    <w:rsid w:val="002C534B"/>
    <w:pPr>
      <w:spacing w:after="0" w:line="240" w:lineRule="auto"/>
    </w:pPr>
    <w:rPr>
      <w:rFonts w:ascii="Arial" w:eastAsia="Arial" w:hAnsi="Arial" w:cs="Arial"/>
      <w:lang w:eastAsia="en-NZ"/>
    </w:rPr>
  </w:style>
  <w:style w:type="paragraph" w:styleId="CommentSubject">
    <w:name w:val="annotation subject"/>
    <w:basedOn w:val="CommentText"/>
    <w:next w:val="CommentText"/>
    <w:link w:val="CommentSubjectChar"/>
    <w:uiPriority w:val="99"/>
    <w:semiHidden/>
    <w:unhideWhenUsed/>
    <w:rsid w:val="00F43C87"/>
    <w:pPr>
      <w:spacing w:after="0"/>
    </w:pPr>
    <w:rPr>
      <w:rFonts w:ascii="Arial" w:eastAsia="Arial" w:hAnsi="Arial" w:cs="Arial"/>
      <w:b/>
      <w:bCs/>
      <w:lang w:eastAsia="en-NZ"/>
    </w:rPr>
  </w:style>
  <w:style w:type="character" w:customStyle="1" w:styleId="CommentSubjectChar">
    <w:name w:val="Comment Subject Char"/>
    <w:basedOn w:val="CommentTextChar"/>
    <w:link w:val="CommentSubject"/>
    <w:uiPriority w:val="99"/>
    <w:semiHidden/>
    <w:rsid w:val="00F43C87"/>
    <w:rPr>
      <w:rFonts w:ascii="Arial" w:eastAsia="Arial" w:hAnsi="Arial" w:cs="Arial"/>
      <w:b/>
      <w:bCs/>
      <w:sz w:val="20"/>
      <w:szCs w:val="20"/>
      <w:lang w:val="vi-VN" w:eastAsia="en-NZ"/>
    </w:rPr>
  </w:style>
  <w:style w:type="character" w:styleId="Mention">
    <w:name w:val="Mention"/>
    <w:basedOn w:val="DefaultParagraphFont"/>
    <w:uiPriority w:val="99"/>
    <w:unhideWhenUsed/>
    <w:rsid w:val="00F43C87"/>
    <w:rPr>
      <w:color w:val="2B579A"/>
      <w:shd w:val="clear" w:color="auto" w:fill="E1DFDD"/>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A10A05"/>
    <w:rPr>
      <w:color w:val="605E5C"/>
      <w:shd w:val="clear" w:color="auto" w:fill="E1DFDD"/>
    </w:rPr>
  </w:style>
  <w:style w:type="paragraph" w:styleId="Header">
    <w:name w:val="header"/>
    <w:basedOn w:val="Normal"/>
    <w:link w:val="HeaderChar"/>
    <w:uiPriority w:val="99"/>
    <w:unhideWhenUsed/>
    <w:rsid w:val="00917215"/>
    <w:pPr>
      <w:tabs>
        <w:tab w:val="center" w:pos="4513"/>
        <w:tab w:val="right" w:pos="9026"/>
      </w:tabs>
      <w:spacing w:line="240" w:lineRule="auto"/>
    </w:pPr>
  </w:style>
  <w:style w:type="character" w:customStyle="1" w:styleId="HeaderChar">
    <w:name w:val="Header Char"/>
    <w:basedOn w:val="DefaultParagraphFont"/>
    <w:link w:val="Header"/>
    <w:uiPriority w:val="99"/>
    <w:rsid w:val="00917215"/>
    <w:rPr>
      <w:rFonts w:ascii="Arial" w:eastAsia="Arial" w:hAnsi="Arial" w:cs="Arial"/>
      <w:lang w:val="vi-VN" w:eastAsia="en-NZ"/>
    </w:rPr>
  </w:style>
  <w:style w:type="paragraph" w:styleId="Footer">
    <w:name w:val="footer"/>
    <w:basedOn w:val="Normal"/>
    <w:link w:val="FooterChar"/>
    <w:uiPriority w:val="99"/>
    <w:unhideWhenUsed/>
    <w:rsid w:val="00917215"/>
    <w:pPr>
      <w:tabs>
        <w:tab w:val="center" w:pos="4513"/>
        <w:tab w:val="right" w:pos="9026"/>
      </w:tabs>
      <w:spacing w:line="240" w:lineRule="auto"/>
    </w:pPr>
  </w:style>
  <w:style w:type="character" w:customStyle="1" w:styleId="FooterChar">
    <w:name w:val="Footer Char"/>
    <w:basedOn w:val="DefaultParagraphFont"/>
    <w:link w:val="Footer"/>
    <w:uiPriority w:val="99"/>
    <w:rsid w:val="00917215"/>
    <w:rPr>
      <w:rFonts w:ascii="Arial" w:eastAsia="Arial" w:hAnsi="Arial" w:cs="Arial"/>
      <w:lang w:val="vi-VN" w:eastAsia="en-NZ"/>
    </w:rPr>
  </w:style>
  <w:style w:type="table" w:styleId="TableGrid">
    <w:name w:val="Table Grid"/>
    <w:basedOn w:val="TableNormal"/>
    <w:rsid w:val="00A66923"/>
    <w:pPr>
      <w:spacing w:after="0" w:line="264"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11445"/>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11445"/>
    <w:rPr>
      <w:rFonts w:ascii="Times New Roman" w:eastAsia="Arial" w:hAnsi="Times New Roman" w:cs="Times New Roman"/>
      <w:sz w:val="18"/>
      <w:szCs w:val="18"/>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707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lt.health.govt.nz"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consult.health.govt.nz" TargetMode="Externa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amblingharm@health.govt.nz"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A28230263C7D7A4FB197614F88F6A462" ma:contentTypeVersion="249" ma:contentTypeDescription="Create a new document." ma:contentTypeScope="" ma:versionID="bee1d29c67ab6bb5282dd1013999878d">
  <xsd:schema xmlns:xsd="http://www.w3.org/2001/XMLSchema" xmlns:xs="http://www.w3.org/2001/XMLSchema" xmlns:p="http://schemas.microsoft.com/office/2006/metadata/properties" xmlns:ns2="c5b47098-0215-444c-9096-523bda4ac5c6" xmlns:ns3="4f9c820c-e7e2-444d-97ee-45f2b3485c1d" xmlns:ns4="15ffb055-6eb4-45a1-bc20-bf2ac0d420da" xmlns:ns5="725c79e5-42ce-4aa0-ac78-b6418001f0d2" xmlns:ns6="c91a514c-9034-4fa3-897a-8352025b26ed" xmlns:ns7="d0b61010-d6f3-4072-b934-7bbb13e97771" xmlns:ns8="184c05c4-c568-455d-94a4-7e009b164348" xmlns:ns9="54904628-6268-4ac5-9416-97794f1d508d" targetNamespace="http://schemas.microsoft.com/office/2006/metadata/properties" ma:root="true" ma:fieldsID="870b4d023e6b60fe012b63a4806e0a7a" ns2:_="" ns3:_="" ns4:_="" ns5:_="" ns6:_="" ns7:_="" ns8:_="" ns9:_="">
    <xsd:import namespace="c5b47098-0215-444c-9096-523bda4ac5c6"/>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54904628-6268-4ac5-9416-97794f1d508d"/>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OCR" minOccurs="0"/>
                <xsd:element ref="ns9:MediaServiceDateTaken" minOccurs="0"/>
                <xsd:element ref="ns9:MediaServiceLocation" minOccurs="0"/>
                <xsd:element ref="ns9:MediaLengthInSeconds" minOccurs="0"/>
                <xsd:element ref="ns9:MediaServiceObjectDetectorVersions" minOccurs="0"/>
                <xsd:element ref="ns9: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b47098-0215-444c-9096-523bda4ac5c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4" nillable="true" ma:displayName="Shared With Details" ma:internalName="SharedWithDetails" ma:readOnly="true">
      <xsd:simpleType>
        <xsd:restriction base="dms:Note">
          <xsd:maxLength value="255"/>
        </xsd:restriction>
      </xsd:simpleType>
    </xsd:element>
    <xsd:element name="TaxCatchAll" ma:index="57" nillable="true" ma:displayName="Taxonomy Catch All Column" ma:hidden="true" ma:list="{ca88c282-f265-4c5d-a6ef-f1d25373d578}" ma:internalName="TaxCatchAll" ma:showField="CatchAllData" ma:web="c5b47098-0215-444c-9096-523bda4ac5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Strategy Policy and Legislative Development" ma:hidden="true" ma:internalName="FunctionGroup" ma:readOnly="false">
      <xsd:simpleType>
        <xsd:restriction base="dms:Text">
          <xsd:maxLength value="255"/>
        </xsd:restriction>
      </xsd:simpleType>
    </xsd:element>
    <xsd:element name="Function" ma:index="22" nillable="true" ma:displayName="Function" ma:default="Mental Health and Addiction Programme"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ma:readOnly="fals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Mental Health and Addiction Programme"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ma:readOnly="false">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54904628-6268-4ac5-9416-97794f1d508d" elementFormDefault="qualified">
    <xsd:import namespace="http://schemas.microsoft.com/office/2006/documentManagement/types"/>
    <xsd:import namespace="http://schemas.microsoft.com/office/infopath/2007/PartnerControls"/>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element name="lcf76f155ced4ddcb4097134ff3c332f" ma:index="56"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58" nillable="true" ma:displayName="MediaServiceGenerationTime" ma:hidden="true" ma:internalName="MediaServiceGenerationTime" ma:readOnly="true">
      <xsd:simpleType>
        <xsd:restriction base="dms:Text"/>
      </xsd:simpleType>
    </xsd:element>
    <xsd:element name="MediaServiceEventHashCode" ma:index="59" nillable="true" ma:displayName="MediaServiceEventHashCode" ma:hidden="true" ma:internalName="MediaServiceEventHashCode" ma:readOnly="true">
      <xsd:simpleType>
        <xsd:restriction base="dms:Text"/>
      </xsd:simpleType>
    </xsd:element>
    <xsd:element name="MediaServiceOCR" ma:index="60" nillable="true" ma:displayName="Extracted Text" ma:internalName="MediaServiceOCR" ma:readOnly="true">
      <xsd:simpleType>
        <xsd:restriction base="dms:Note">
          <xsd:maxLength value="255"/>
        </xsd:restriction>
      </xsd:simpleType>
    </xsd:element>
    <xsd:element name="MediaServiceDateTaken" ma:index="61" nillable="true" ma:displayName="MediaServiceDateTaken" ma:hidden="true" ma:indexed="true" ma:internalName="MediaServiceDateTaken" ma:readOnly="true">
      <xsd:simpleType>
        <xsd:restriction base="dms:Text"/>
      </xsd:simpleType>
    </xsd:element>
    <xsd:element name="MediaServiceLocation" ma:index="62" nillable="true" ma:displayName="Location" ma:indexed="true" ma:internalName="MediaServiceLocation" ma:readOnly="true">
      <xsd:simpleType>
        <xsd:restriction base="dms:Text"/>
      </xsd:simpleType>
    </xsd:element>
    <xsd:element name="MediaLengthInSeconds" ma:index="63" nillable="true" ma:displayName="MediaLengthInSeconds" ma:hidden="true" ma:internalName="MediaLengthInSeconds" ma:readOnly="true">
      <xsd:simpleType>
        <xsd:restriction base="dms:Unknown"/>
      </xsd:simpleType>
    </xsd:element>
    <xsd:element name="MediaServiceObjectDetectorVersions" ma:index="64" nillable="true" ma:displayName="MediaServiceObjectDetectorVersions" ma:hidden="true" ma:indexed="true" ma:internalName="MediaServiceObjectDetectorVersions" ma:readOnly="true">
      <xsd:simpleType>
        <xsd:restriction base="dms:Text"/>
      </xsd:simpleType>
    </xsd:element>
    <xsd:element name="MediaServiceSearchProperties" ma:index="6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TaxCatchAll xmlns="c5b47098-0215-444c-9096-523bda4ac5c6" xsi:nil="true"/>
    <AggregationStatus xmlns="4f9c820c-e7e2-444d-97ee-45f2b3485c1d">Normal</AggregationStatus>
    <OverrideLabel xmlns="d0b61010-d6f3-4072-b934-7bbb13e97771" xsi:nil="true"/>
    <lcf76f155ced4ddcb4097134ff3c332f xmlns="54904628-6268-4ac5-9416-97794f1d508d">
      <Terms xmlns="http://schemas.microsoft.com/office/infopath/2007/PartnerControls"/>
    </lcf76f155ced4ddcb4097134ff3c332f>
    <CategoryValue xmlns="4f9c820c-e7e2-444d-97ee-45f2b3485c1d">Strategy</CategoryValue>
    <PRADate2 xmlns="4f9c820c-e7e2-444d-97ee-45f2b3485c1d" xsi:nil="true"/>
    <zLegacyJSON xmlns="184c05c4-c568-455d-94a4-7e009b164348" xsi:nil="true"/>
    <Case xmlns="4f9c820c-e7e2-444d-97ee-45f2b3485c1d">NA</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Mental Health and Addiction Programme</Team>
    <Project xmlns="4f9c820c-e7e2-444d-97ee-45f2b3485c1d">NA</Project>
    <HasNHI xmlns="184c05c4-c568-455d-94a4-7e009b164348">false</HasNHI>
    <FunctionGroup xmlns="4f9c820c-e7e2-444d-97ee-45f2b3485c1d">Strategy Policy and Legislative Development</FunctionGroup>
    <Function xmlns="4f9c820c-e7e2-444d-97ee-45f2b3485c1d">Mental Health and Addiction Programme</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Preventing &amp; Minimising Gambling Harm</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Strategy and policy</CategoryName>
    <PRADateTrigger xmlns="4f9c820c-e7e2-444d-97ee-45f2b3485c1d" xsi:nil="true"/>
    <PRAText2 xmlns="4f9c820c-e7e2-444d-97ee-45f2b3485c1d" xsi:nil="true"/>
    <zLegacyID xmlns="184c05c4-c568-455d-94a4-7e009b164348" xsi:nil="true"/>
    <_dlc_DocId xmlns="c5b47098-0215-444c-9096-523bda4ac5c6">MOHECM-952532665-22197</_dlc_DocId>
    <_dlc_DocIdUrl xmlns="c5b47098-0215-444c-9096-523bda4ac5c6">
      <Url>https://mohgovtnz.sharepoint.com/sites/moh-ecm-MentHealSPL/_layouts/15/DocIdRedir.aspx?ID=MOHECM-952532665-22197</Url>
      <Description>MOHECM-952532665-22197</Description>
    </_dlc_DocIdUrl>
  </documentManagement>
</p:properties>
</file>

<file path=customXml/itemProps1.xml><?xml version="1.0" encoding="utf-8"?>
<ds:datastoreItem xmlns:ds="http://schemas.openxmlformats.org/officeDocument/2006/customXml" ds:itemID="{66650352-B0E2-4624-AC36-95F07552804A}"/>
</file>

<file path=customXml/itemProps2.xml><?xml version="1.0" encoding="utf-8"?>
<ds:datastoreItem xmlns:ds="http://schemas.openxmlformats.org/officeDocument/2006/customXml" ds:itemID="{A0BFA3C8-D098-44AE-BA22-254ED627C0BA}"/>
</file>

<file path=customXml/itemProps3.xml><?xml version="1.0" encoding="utf-8"?>
<ds:datastoreItem xmlns:ds="http://schemas.openxmlformats.org/officeDocument/2006/customXml" ds:itemID="{BC4907D4-B0BB-4A82-A832-67C8B58D2528}"/>
</file>

<file path=customXml/itemProps4.xml><?xml version="1.0" encoding="utf-8"?>
<ds:datastoreItem xmlns:ds="http://schemas.openxmlformats.org/officeDocument/2006/customXml" ds:itemID="{39A9F179-A2D6-41DA-BC86-63DE3F6A4787}"/>
</file>

<file path=docProps/app.xml><?xml version="1.0" encoding="utf-8"?>
<Properties xmlns="http://schemas.openxmlformats.org/officeDocument/2006/extended-properties" xmlns:vt="http://schemas.openxmlformats.org/officeDocument/2006/docPropsVTypes">
  <Template>Normal.dotm</Template>
  <TotalTime>55</TotalTime>
  <Pages>4</Pages>
  <Words>1222</Words>
  <Characters>6969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Willis</dc:creator>
  <cp:keywords/>
  <dc:description/>
  <cp:lastModifiedBy>Allira Hanczakowski</cp:lastModifiedBy>
  <cp:revision>12</cp:revision>
  <dcterms:created xsi:type="dcterms:W3CDTF">2024-08-21T07:40:00Z</dcterms:created>
  <dcterms:modified xsi:type="dcterms:W3CDTF">2024-08-26T23:13:00Z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0x010100A28230263C7D7A4FB197614F88F6A462</vt:lpwstr>
  </property>
  <property fmtid="{D5CDD505-2E9C-101B-9397-08002B2CF9AE}" pid="3" name="_dlc_DocIdItemGuid">
    <vt:lpwstr>449f5bc9-4f0a-4ff3-b8b8-b6fd86033af8</vt:lpwstr>
  </property>
  <property fmtid="{D5CDD505-2E9C-101B-9397-08002B2CF9AE}" pid="4" name="MediaServiceImageTags">
    <vt:lpwstr/>
  </property>
</Properties>
</file>