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80F4" w14:textId="77777777" w:rsidR="00CE362F" w:rsidRDefault="00CE362F" w:rsidP="00CE362F">
      <w:pPr>
        <w:pStyle w:val="Title"/>
      </w:pPr>
    </w:p>
    <w:p w14:paraId="5C81B1FB" w14:textId="77777777" w:rsidR="00CE362F" w:rsidRDefault="00CE362F" w:rsidP="00CE362F">
      <w:pPr>
        <w:pStyle w:val="Title"/>
      </w:pPr>
    </w:p>
    <w:p w14:paraId="7695E3DE" w14:textId="77777777" w:rsidR="00CE362F" w:rsidRPr="006E17A9" w:rsidRDefault="00CE362F" w:rsidP="00CE362F">
      <w:pPr>
        <w:pStyle w:val="Title"/>
        <w:tabs>
          <w:tab w:val="left" w:pos="1985"/>
        </w:tabs>
        <w:rPr>
          <w:sz w:val="56"/>
          <w:szCs w:val="18"/>
        </w:rPr>
      </w:pPr>
      <w:r w:rsidRPr="006E17A9">
        <w:rPr>
          <w:sz w:val="56"/>
          <w:szCs w:val="18"/>
        </w:rPr>
        <w:t>Final report summary</w:t>
      </w:r>
    </w:p>
    <w:p w14:paraId="6F53A059" w14:textId="77777777" w:rsidR="00CE362F" w:rsidRDefault="00CE362F" w:rsidP="00CE362F">
      <w:pPr>
        <w:pStyle w:val="Subhead"/>
        <w:spacing w:after="840"/>
      </w:pPr>
      <w:r w:rsidRPr="00F94476">
        <w:t>COVID-19 and National Immunisation Programme research</w:t>
      </w:r>
    </w:p>
    <w:p w14:paraId="763B7B54" w14:textId="75682778" w:rsidR="00CE362F" w:rsidRDefault="00CE362F" w:rsidP="00CE362F">
      <w:pPr>
        <w:pStyle w:val="Subhead"/>
        <w:spacing w:after="840"/>
      </w:pPr>
      <w:r w:rsidRPr="00D762B4">
        <w:rPr>
          <w:b/>
        </w:rPr>
        <w:t>Submitted by</w:t>
      </w:r>
      <w:r w:rsidRPr="00D762B4">
        <w:br/>
      </w:r>
      <w:sdt>
        <w:sdtPr>
          <w:alias w:val="Organisation names"/>
          <w:tag w:val="Organisation names"/>
          <w:id w:val="-1840685219"/>
          <w:placeholder>
            <w:docPart w:val="A587741BB4B941EB999007A21806FA1B"/>
          </w:placeholder>
          <w:dropDownList>
            <w:listItem w:value="Choose an item."/>
            <w:listItem w:displayText="Auckland UniServices Ltd" w:value="Auckland UniServices Ltd"/>
            <w:listItem w:displayText="Auckland University of Technology" w:value="Auckland University of Technology"/>
            <w:listItem w:displayText="ESR" w:value="ESR"/>
            <w:listItem w:displayText="Manawa Ora - Centre for Health" w:value="Manawa Ora - Centre for Health"/>
            <w:listItem w:displayText="Moana Research" w:value="Moana Research"/>
            <w:listItem w:displayText="NIWA" w:value="NIWA"/>
            <w:listItem w:displayText="Te Atawhai o Te Ao" w:value="Te Atawhai o Te Ao"/>
            <w:listItem w:displayText="Te Hauora o Tūranganui a Kiwa " w:value="Te Hauora o Tūranganui a Kiwa "/>
            <w:listItem w:displayText="Te Whatu Ora Health New Zealand" w:value="Te Whatu Ora Health New Zealand"/>
            <w:listItem w:displayText="University of Otago" w:value="University of Otago"/>
            <w:listItem w:displayText="Victoria University of Wellington" w:value="Victoria University of Wellington"/>
          </w:dropDownList>
        </w:sdtPr>
        <w:sdtEndPr/>
        <w:sdtContent>
          <w:r w:rsidR="005053EB">
            <w:t>Auckland UniServices Ltd</w:t>
          </w:r>
        </w:sdtContent>
      </w:sdt>
    </w:p>
    <w:p w14:paraId="62F72F3D" w14:textId="77777777" w:rsidR="00CE362F" w:rsidRDefault="00CE362F" w:rsidP="00CE362F">
      <w:pPr>
        <w:pStyle w:val="Subhead"/>
        <w:spacing w:after="840"/>
        <w:rPr>
          <w:b/>
        </w:rPr>
      </w:pPr>
    </w:p>
    <w:p w14:paraId="3FDC1C63" w14:textId="020C7E93" w:rsidR="00CE362F" w:rsidRDefault="00CE362F" w:rsidP="00CE362F">
      <w:pPr>
        <w:pStyle w:val="Subhead"/>
        <w:spacing w:after="840"/>
      </w:pPr>
      <w:r>
        <w:rPr>
          <w:b/>
        </w:rPr>
        <w:t>Project title</w:t>
      </w:r>
      <w:r w:rsidRPr="00D762B4">
        <w:rPr>
          <w:b/>
        </w:rPr>
        <w:t xml:space="preserve"> </w:t>
      </w:r>
      <w:r w:rsidRPr="00D762B4">
        <w:br/>
      </w:r>
      <w:sdt>
        <w:sdtPr>
          <w:id w:val="1774748417"/>
          <w:placeholder>
            <w:docPart w:val="A587741BB4B941EB999007A21806FA1B"/>
          </w:placeholder>
          <w:dropDownList>
            <w:listItem w:value="Choose an item."/>
            <w:listItem w:displayText="PROP-002 Impact of the COVID-19 Delta-Omicron outbreak on the health and psychosocial wellbeing of New Zealanders living in aged residential care" w:value="PROP-002 Impact of the COVID-19 Delta-Omicron outbreak on the health and psychosocial wellbeing of New Zealanders living in aged residential care"/>
            <w:listItem w:displayText="PROP-007 Pacific Contribution to the NZ Covid-19 Response – Strengths, Weaknesses and Missed Opportunities" w:value="PROP-007 Pacific Contribution to the NZ Covid-19 Response – Strengths, Weaknesses and Missed Opportunities"/>
            <w:listItem w:displayText="PROP-011 The Burden of Long Covid in Aotearoa New Zealand: Establishing a Registry" w:value="PROP-011 The Burden of Long Covid in Aotearoa New Zealand: Establishing a Registry"/>
            <w:listItem w:displayText="PROP-017 Impact of COVID-19 on childhood vaccine uptake and ways forward for equitable immunisation services" w:value="PROP-017 Impact of COVID-19 on childhood vaccine uptake and ways forward for equitable immunisation services"/>
            <w:listItem w:displayText="PROP-019 The Niue community’s experiences during the COVID-19 pandemic: an application of the Matalili Framework to inform future COVID-19 and vaccination initiatives in Aotearoa New Zealand." w:value="PROP-019 The Niue community’s experiences during the COVID-19 pandemic: an application of the Matalili Framework to inform future COVID-19 and vaccination initiatives in Aotearoa New Zealand."/>
            <w:listItem w:displayText="PROP-020 The role of vaccine mandates in New Zealand’s COVID-19 response" w:value="PROP-020 The role of vaccine mandates in New Zealand’s COVID-19 response"/>
            <w:listItem w:displayText="PROP-028 The impact of COVID-19 vaccination on disease burden and transmission and its vaccine effectiveness among participants of SHIVERS/WellKiwis community and household cohorts" w:value="PROP-028 The impact of COVID-19 vaccination on disease burden and transmission and its vaccine effectiveness among participants of SHIVERS/WellKiwis community and household cohorts"/>
            <w:listItem w:displayText="PROP-031 Whānau, hapū and iwi responses to the vaccination rollout" w:value="PROP-031 Whānau, hapū and iwi responses to the vaccination rollout"/>
            <w:listItem w:displayText="PROP-036 Clearing the air: Reducing COVID-19 transmission through increased ventilation" w:value="PROP-036 Clearing the air: Reducing COVID-19 transmission through increased ventilation"/>
            <w:listItem w:displayText="PROP-041 Impact of COVID-19 on Pacific peoples vaccination beliefs and behaviours, including Pacific COVID-19 + Well Child immunisation rates" w:value="PROP-041 Impact of COVID-19 on Pacific peoples vaccination beliefs and behaviours, including Pacific COVID-19 + Well Child immunisation rates"/>
            <w:listItem w:displayText="PROP-046 Post-Marketing safety monitoring of COVID -19 vaccines in NZ populations – A gold standard approach" w:value="PROP-046 Post-Marketing safety monitoring of COVID -19 vaccines in NZ populations – A gold standard approach"/>
            <w:listItem w:displayText="PROP-047 Examining vaccine effectiveness of two and three doses of Comirnaty mRNA vaccine during the 2022 Omicron wave in Aotearoa" w:value="PROP-047 Examining vaccine effectiveness of two and three doses of Comirnaty mRNA vaccine during the 2022 Omicron wave in Aotearoa"/>
            <w:listItem w:displayText="PROP-048 Turanga Tangata Rite" w:value="PROP-048 Turanga Tangata Rite"/>
            <w:listItem w:displayText="PROP-049 Tino Rangatiratanga during the COVID-19 Pandemic" w:value="PROP-049 Tino Rangatiratanga during the COVID-19 Pandemic"/>
            <w:listItem w:displayText="PROP-051 Child vaccine hesitancy: Predictors of parents’ COVID-19 vaccine uptake for their children, impact on vaccine uptake of the national immunisation schedule, and translational findings for equitable immunisation outcomes among children in Aotearoa N" w:value="PROP-051 Child vaccine hesitancy: Predictors of parents’ COVID-19 vaccine uptake for their children, impact on vaccine uptake of the national immunisation schedule, and translational findings for equitable immunisation outcomes among children in Aotearoa N"/>
            <w:listItem w:displayText="PROP-053 COVID-19 Vaccine Evaluation (COVE) in Aotearoa New Zealand" w:value="PROP-053 COVID-19 Vaccine Evaluation (COVE) in Aotearoa New Zealand"/>
            <w:listItem w:displayText="PROP-055 LOGIC study: LOnG term health Impact of Covid-19: Waikato Hospital Cohort" w:value="PROP-055 LOGIC study: LOnG term health Impact of Covid-19: Waikato Hospital Cohort"/>
            <w:listItem w:displayText="PROP-060 The role of digital contact tracing to support improved pandemic responses" w:value="PROP-060 The role of digital contact tracing to support improved pandemic responses"/>
            <w:listItem w:displayText="PROP-061 Understanding key epidemiological features of the Covid-19 pandemic in New Zealand to improve the response" w:value="PROP-061 Understanding key epidemiological features of the Covid-19 pandemic in New Zealand to improve the response"/>
            <w:listItem w:displayText="PROP-065 What can we learn from factors underpinning the rollout of the COVID-19 vaccination programme and pandemic response in different rural communities? A mixed methods study." w:value="PROP-065 What can we learn from factors underpinning the rollout of the COVID-19 vaccination programme and pandemic response in different rural communities? A mixed methods study."/>
            <w:listItem w:displayText="PROP-067 Understanding the impact of vaccination on Covid-19 infection and long-term health outcomes" w:value="PROP-067 Understanding the impact of vaccination on Covid-19 infection and long-term health outcomes"/>
            <w:listItem w:displayText="PROP-071 Does the increased attention to COVID-19 vaccine-related side effects change reporting behaviour for a comparable adult vaccine?" w:value="PROP-071 Does the increased attention to COVID-19 vaccine-related side effects change reporting behaviour for a comparable adult vaccine?"/>
            <w:listItem w:displayText="PROP-073 Māori Solutions for Global Problems: Ngā Hua Akoranga, Learning from MIHI Māori Mobile Vaccination Programme to Achieve Equity" w:value="PROP-073 Māori Solutions for Global Problems: Ngā Hua Akoranga, Learning from MIHI Māori Mobile Vaccination Programme to Achieve Equity"/>
          </w:dropDownList>
        </w:sdtPr>
        <w:sdtEndPr/>
        <w:sdtContent>
          <w:r w:rsidR="005053EB">
            <w:t>PROP-002 Impact of the COVID-19 Delta-Omicron outbreak on the health and psychosocial wellbeing of New Zealanders living in aged residential care</w:t>
          </w:r>
        </w:sdtContent>
      </w:sdt>
    </w:p>
    <w:p w14:paraId="7A39EB03" w14:textId="77777777" w:rsidR="00CE362F" w:rsidRPr="00C43429" w:rsidRDefault="00CE362F" w:rsidP="00CE362F"/>
    <w:p w14:paraId="1AF9C542" w14:textId="77777777" w:rsidR="00CE362F" w:rsidRDefault="00CE362F" w:rsidP="00CE362F">
      <w:pPr>
        <w:spacing w:before="0"/>
      </w:pPr>
    </w:p>
    <w:p w14:paraId="7B112F7E" w14:textId="77777777" w:rsidR="00CE362F" w:rsidRDefault="00CE362F" w:rsidP="00CE362F">
      <w:pPr>
        <w:spacing w:before="0"/>
      </w:pPr>
    </w:p>
    <w:p w14:paraId="5D57EFA8" w14:textId="77777777" w:rsidR="00CE362F" w:rsidRDefault="00CE362F" w:rsidP="00CE362F">
      <w:pPr>
        <w:spacing w:before="0"/>
      </w:pPr>
    </w:p>
    <w:p w14:paraId="1B95C9C5" w14:textId="77777777" w:rsidR="00CE362F" w:rsidRDefault="00CE362F" w:rsidP="00CE362F">
      <w:pPr>
        <w:spacing w:before="0"/>
      </w:pPr>
    </w:p>
    <w:p w14:paraId="5C6A563E" w14:textId="77777777" w:rsidR="00CE362F" w:rsidRPr="00142954" w:rsidRDefault="00CE362F" w:rsidP="00CE362F">
      <w:pPr>
        <w:spacing w:before="0"/>
        <w:sectPr w:rsidR="00CE362F" w:rsidRPr="00142954" w:rsidSect="00B6348E">
          <w:headerReference w:type="even" r:id="rId12"/>
          <w:headerReference w:type="default" r:id="rId13"/>
          <w:footerReference w:type="even" r:id="rId14"/>
          <w:footerReference w:type="default" r:id="rId15"/>
          <w:headerReference w:type="first" r:id="rId16"/>
          <w:footerReference w:type="first" r:id="rId17"/>
          <w:pgSz w:w="11907" w:h="16834" w:code="9"/>
          <w:pgMar w:top="851" w:right="1134" w:bottom="1134" w:left="1134" w:header="851" w:footer="851" w:gutter="0"/>
          <w:cols w:space="720"/>
        </w:sectPr>
      </w:pPr>
    </w:p>
    <w:p w14:paraId="767B73E5" w14:textId="77777777" w:rsidR="00CE362F" w:rsidRDefault="00CE362F" w:rsidP="00CE362F">
      <w:pPr>
        <w:pStyle w:val="Heading1"/>
        <w:rPr>
          <w:rFonts w:eastAsiaTheme="majorEastAsia"/>
        </w:rPr>
      </w:pPr>
      <w:bookmarkStart w:id="0" w:name="_Toc99614157"/>
      <w:bookmarkStart w:id="1" w:name="_Toc457431656"/>
      <w:r>
        <w:rPr>
          <w:rFonts w:eastAsiaTheme="majorEastAsia"/>
        </w:rPr>
        <w:lastRenderedPageBreak/>
        <w:t xml:space="preserve">: </w:t>
      </w:r>
      <w:bookmarkEnd w:id="0"/>
      <w:r>
        <w:rPr>
          <w:rFonts w:eastAsiaTheme="majorEastAsia"/>
        </w:rPr>
        <w:t>Contact information</w:t>
      </w:r>
    </w:p>
    <w:p w14:paraId="7919FD31" w14:textId="77777777" w:rsidR="00CE362F" w:rsidRPr="00764A22" w:rsidRDefault="00CE362F" w:rsidP="00CE362F">
      <w:pPr>
        <w:pStyle w:val="Heading2"/>
      </w:pPr>
      <w:r>
        <w:t>Point of Contact for this report</w:t>
      </w:r>
    </w:p>
    <w:p w14:paraId="75133B4E" w14:textId="77777777" w:rsidR="00CE362F" w:rsidRDefault="00CE362F" w:rsidP="00CE362F">
      <w:pPr>
        <w:pStyle w:val="Heading2"/>
        <w:numPr>
          <w:ilvl w:val="0"/>
          <w:numId w:val="0"/>
        </w:numPr>
        <w:rPr>
          <w:rFonts w:eastAsiaTheme="majorEastAsia"/>
        </w:rPr>
      </w:pPr>
    </w:p>
    <w:tbl>
      <w:tblPr>
        <w:tblW w:w="5000" w:type="pct"/>
        <w:tblBorders>
          <w:top w:val="single" w:sz="4" w:space="0" w:color="002B7F"/>
          <w:left w:val="single" w:sz="4" w:space="0" w:color="002B7F"/>
          <w:bottom w:val="single" w:sz="4" w:space="0" w:color="002B7F"/>
          <w:right w:val="single" w:sz="4" w:space="0" w:color="002B7F"/>
          <w:insideH w:val="single" w:sz="4" w:space="0" w:color="002B7F"/>
          <w:insideV w:val="single" w:sz="4" w:space="0" w:color="002B7F"/>
        </w:tblBorders>
        <w:tblLook w:val="04A0" w:firstRow="1" w:lastRow="0" w:firstColumn="1" w:lastColumn="0" w:noHBand="0" w:noVBand="1"/>
      </w:tblPr>
      <w:tblGrid>
        <w:gridCol w:w="1797"/>
        <w:gridCol w:w="7832"/>
      </w:tblGrid>
      <w:tr w:rsidR="00CE362F" w14:paraId="3DCAC30C" w14:textId="77777777" w:rsidTr="001B1063">
        <w:trPr>
          <w:cantSplit/>
        </w:trPr>
        <w:tc>
          <w:tcPr>
            <w:tcW w:w="933" w:type="pct"/>
            <w:tcBorders>
              <w:top w:val="single" w:sz="4" w:space="0" w:color="002B7F"/>
              <w:left w:val="single" w:sz="4" w:space="0" w:color="002B7F"/>
              <w:bottom w:val="single" w:sz="4" w:space="0" w:color="002B7F"/>
              <w:right w:val="single" w:sz="4" w:space="0" w:color="002B7F"/>
            </w:tcBorders>
            <w:shd w:val="clear" w:color="auto" w:fill="DEEAF6" w:themeFill="accent1" w:themeFillTint="33"/>
            <w:hideMark/>
          </w:tcPr>
          <w:p w14:paraId="7DD71EEF" w14:textId="77777777" w:rsidR="00CE362F" w:rsidRDefault="00CE362F" w:rsidP="001C343C">
            <w:pPr>
              <w:pStyle w:val="Style1"/>
            </w:pPr>
            <w:r>
              <w:t>Item</w:t>
            </w:r>
          </w:p>
        </w:tc>
        <w:tc>
          <w:tcPr>
            <w:tcW w:w="4067" w:type="pct"/>
            <w:tcBorders>
              <w:top w:val="single" w:sz="4" w:space="0" w:color="002B7F"/>
              <w:left w:val="single" w:sz="4" w:space="0" w:color="002B7F"/>
              <w:bottom w:val="single" w:sz="4" w:space="0" w:color="002B7F"/>
              <w:right w:val="single" w:sz="4" w:space="0" w:color="002B7F"/>
            </w:tcBorders>
            <w:shd w:val="clear" w:color="auto" w:fill="DEEAF6" w:themeFill="accent1" w:themeFillTint="33"/>
            <w:hideMark/>
          </w:tcPr>
          <w:p w14:paraId="40CAC3EA" w14:textId="77777777" w:rsidR="00CE362F" w:rsidRDefault="00CE362F" w:rsidP="001C343C">
            <w:pPr>
              <w:pStyle w:val="Style1"/>
            </w:pPr>
            <w:r>
              <w:t>Detail</w:t>
            </w:r>
          </w:p>
        </w:tc>
      </w:tr>
      <w:tr w:rsidR="00CE362F" w14:paraId="19349016" w14:textId="77777777" w:rsidTr="001B1063">
        <w:trPr>
          <w:cantSplit/>
        </w:trPr>
        <w:tc>
          <w:tcPr>
            <w:tcW w:w="933" w:type="pct"/>
            <w:tcBorders>
              <w:top w:val="single" w:sz="4" w:space="0" w:color="002B7F"/>
              <w:left w:val="single" w:sz="4" w:space="0" w:color="002B7F"/>
              <w:bottom w:val="dotted" w:sz="4" w:space="0" w:color="002B7F"/>
              <w:right w:val="single" w:sz="4" w:space="0" w:color="002B7F"/>
            </w:tcBorders>
            <w:shd w:val="clear" w:color="auto" w:fill="DEEAF6" w:themeFill="accent1" w:themeFillTint="33"/>
            <w:hideMark/>
          </w:tcPr>
          <w:p w14:paraId="26A97170" w14:textId="77777777" w:rsidR="00CE362F" w:rsidRDefault="00CE362F" w:rsidP="001C343C">
            <w:pPr>
              <w:pStyle w:val="Style1"/>
            </w:pPr>
            <w:r>
              <w:t>Contact person</w:t>
            </w:r>
          </w:p>
        </w:tc>
        <w:tc>
          <w:tcPr>
            <w:tcW w:w="4067" w:type="pct"/>
            <w:tcBorders>
              <w:top w:val="single" w:sz="4" w:space="0" w:color="002B7F"/>
              <w:left w:val="single" w:sz="4" w:space="0" w:color="002B7F"/>
              <w:bottom w:val="dotted" w:sz="4" w:space="0" w:color="002B7F"/>
              <w:right w:val="single" w:sz="4" w:space="0" w:color="002B7F"/>
            </w:tcBorders>
            <w:vAlign w:val="center"/>
            <w:hideMark/>
          </w:tcPr>
          <w:p w14:paraId="4D719381" w14:textId="36B2F119" w:rsidR="00CE362F" w:rsidRDefault="006206C2" w:rsidP="001C343C">
            <w:pPr>
              <w:pStyle w:val="Style1"/>
            </w:pPr>
            <w:r>
              <w:t>Gary Cheung</w:t>
            </w:r>
          </w:p>
        </w:tc>
      </w:tr>
      <w:tr w:rsidR="00CE362F" w14:paraId="452948E9" w14:textId="77777777" w:rsidTr="001B1063">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108855C4" w14:textId="77777777" w:rsidR="00CE362F" w:rsidRDefault="00CE362F" w:rsidP="001C343C">
            <w:pPr>
              <w:pStyle w:val="Style1"/>
            </w:pPr>
            <w:r>
              <w:t>Position</w:t>
            </w:r>
          </w:p>
        </w:tc>
        <w:tc>
          <w:tcPr>
            <w:tcW w:w="4067" w:type="pct"/>
            <w:tcBorders>
              <w:top w:val="dotted" w:sz="4" w:space="0" w:color="002B7F"/>
              <w:left w:val="single" w:sz="4" w:space="0" w:color="002B7F"/>
              <w:bottom w:val="dotted" w:sz="4" w:space="0" w:color="002B7F"/>
              <w:right w:val="single" w:sz="4" w:space="0" w:color="002B7F"/>
            </w:tcBorders>
            <w:vAlign w:val="center"/>
            <w:hideMark/>
          </w:tcPr>
          <w:p w14:paraId="594EF567" w14:textId="356AC038" w:rsidR="00CE362F" w:rsidRDefault="001C343C" w:rsidP="001C343C">
            <w:pPr>
              <w:pStyle w:val="Style1"/>
            </w:pPr>
            <w:r>
              <w:t xml:space="preserve">Associate Professor </w:t>
            </w:r>
            <w:r w:rsidR="00D2557D">
              <w:t>of</w:t>
            </w:r>
            <w:r>
              <w:t xml:space="preserve"> Psychiatry</w:t>
            </w:r>
          </w:p>
        </w:tc>
      </w:tr>
      <w:tr w:rsidR="00CE362F" w14:paraId="03079B3E" w14:textId="77777777" w:rsidTr="001B1063">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5BDED9FA" w14:textId="77777777" w:rsidR="00CE362F" w:rsidRDefault="00CE362F" w:rsidP="001C343C">
            <w:pPr>
              <w:pStyle w:val="Style1"/>
            </w:pPr>
            <w:r>
              <w:t>Phone number</w:t>
            </w:r>
          </w:p>
        </w:tc>
        <w:tc>
          <w:tcPr>
            <w:tcW w:w="4067" w:type="pct"/>
            <w:tcBorders>
              <w:top w:val="dotted" w:sz="4" w:space="0" w:color="002B7F"/>
              <w:left w:val="single" w:sz="4" w:space="0" w:color="002B7F"/>
              <w:bottom w:val="dotted" w:sz="4" w:space="0" w:color="002B7F"/>
              <w:right w:val="single" w:sz="4" w:space="0" w:color="002B7F"/>
            </w:tcBorders>
            <w:vAlign w:val="center"/>
            <w:hideMark/>
          </w:tcPr>
          <w:p w14:paraId="0F5D22AA" w14:textId="44FDE2D2" w:rsidR="00CE362F" w:rsidRDefault="001C343C" w:rsidP="001C343C">
            <w:pPr>
              <w:pStyle w:val="Style1"/>
            </w:pPr>
            <w:r>
              <w:t>(09) 923 9491</w:t>
            </w:r>
          </w:p>
        </w:tc>
      </w:tr>
      <w:tr w:rsidR="00CE362F" w14:paraId="7E057CE9" w14:textId="77777777" w:rsidTr="001B1063">
        <w:trPr>
          <w:cantSplit/>
        </w:trPr>
        <w:tc>
          <w:tcPr>
            <w:tcW w:w="933" w:type="pct"/>
            <w:tcBorders>
              <w:top w:val="dotted" w:sz="4" w:space="0" w:color="002B7F"/>
              <w:left w:val="single" w:sz="4" w:space="0" w:color="002B7F"/>
              <w:bottom w:val="dotted" w:sz="4" w:space="0" w:color="002B7F"/>
              <w:right w:val="single" w:sz="4" w:space="0" w:color="002B7F"/>
            </w:tcBorders>
            <w:shd w:val="clear" w:color="auto" w:fill="DEEAF6" w:themeFill="accent1" w:themeFillTint="33"/>
            <w:hideMark/>
          </w:tcPr>
          <w:p w14:paraId="55DB57F0" w14:textId="77777777" w:rsidR="00CE362F" w:rsidRDefault="00CE362F" w:rsidP="001C343C">
            <w:pPr>
              <w:pStyle w:val="Style1"/>
            </w:pPr>
            <w:r>
              <w:t>Mobile number</w:t>
            </w:r>
          </w:p>
        </w:tc>
        <w:tc>
          <w:tcPr>
            <w:tcW w:w="4067" w:type="pct"/>
            <w:tcBorders>
              <w:top w:val="dotted" w:sz="4" w:space="0" w:color="002B7F"/>
              <w:left w:val="single" w:sz="4" w:space="0" w:color="002B7F"/>
              <w:bottom w:val="dotted" w:sz="4" w:space="0" w:color="002B7F"/>
              <w:right w:val="single" w:sz="4" w:space="0" w:color="002B7F"/>
            </w:tcBorders>
            <w:vAlign w:val="center"/>
            <w:hideMark/>
          </w:tcPr>
          <w:p w14:paraId="5AC977CB" w14:textId="25BC4054" w:rsidR="00CE362F" w:rsidRDefault="001C343C" w:rsidP="001C343C">
            <w:pPr>
              <w:pStyle w:val="Style1"/>
            </w:pPr>
            <w:r>
              <w:t>021 332 823</w:t>
            </w:r>
          </w:p>
        </w:tc>
      </w:tr>
      <w:tr w:rsidR="00CE362F" w14:paraId="7AC77476" w14:textId="77777777" w:rsidTr="001B1063">
        <w:trPr>
          <w:cantSplit/>
        </w:trPr>
        <w:tc>
          <w:tcPr>
            <w:tcW w:w="933" w:type="pct"/>
            <w:tcBorders>
              <w:top w:val="dotted" w:sz="4" w:space="0" w:color="002B7F"/>
              <w:left w:val="single" w:sz="4" w:space="0" w:color="002B7F"/>
              <w:bottom w:val="single" w:sz="4" w:space="0" w:color="002B7F"/>
              <w:right w:val="single" w:sz="4" w:space="0" w:color="002B7F"/>
            </w:tcBorders>
            <w:shd w:val="clear" w:color="auto" w:fill="DEEAF6" w:themeFill="accent1" w:themeFillTint="33"/>
            <w:hideMark/>
          </w:tcPr>
          <w:p w14:paraId="3395F281" w14:textId="77777777" w:rsidR="00CE362F" w:rsidRDefault="00CE362F" w:rsidP="001C343C">
            <w:pPr>
              <w:pStyle w:val="Style1"/>
            </w:pPr>
            <w:r>
              <w:t>Email address</w:t>
            </w:r>
          </w:p>
        </w:tc>
        <w:tc>
          <w:tcPr>
            <w:tcW w:w="4067" w:type="pct"/>
            <w:tcBorders>
              <w:top w:val="dotted" w:sz="4" w:space="0" w:color="002B7F"/>
              <w:left w:val="single" w:sz="4" w:space="0" w:color="002B7F"/>
              <w:bottom w:val="single" w:sz="4" w:space="0" w:color="002B7F"/>
              <w:right w:val="single" w:sz="4" w:space="0" w:color="002B7F"/>
            </w:tcBorders>
            <w:vAlign w:val="center"/>
            <w:hideMark/>
          </w:tcPr>
          <w:p w14:paraId="1A84FC15" w14:textId="34C80C18" w:rsidR="00CE362F" w:rsidRDefault="006D01CF" w:rsidP="001C343C">
            <w:pPr>
              <w:pStyle w:val="Style1"/>
            </w:pPr>
            <w:hyperlink r:id="rId18" w:history="1">
              <w:r w:rsidR="001C343C" w:rsidRPr="00266C4A">
                <w:rPr>
                  <w:rStyle w:val="Hyperlink"/>
                </w:rPr>
                <w:t>g.cheung@auckland.ac.nz</w:t>
              </w:r>
            </w:hyperlink>
            <w:r w:rsidR="001C343C">
              <w:t xml:space="preserve"> </w:t>
            </w:r>
          </w:p>
        </w:tc>
      </w:tr>
    </w:tbl>
    <w:p w14:paraId="50CBD3F8" w14:textId="77777777" w:rsidR="00CE362F" w:rsidRDefault="00CE362F" w:rsidP="00CE362F">
      <w:pPr>
        <w:rPr>
          <w:rFonts w:eastAsiaTheme="majorEastAsia"/>
        </w:rPr>
      </w:pPr>
    </w:p>
    <w:p w14:paraId="368FA9BC" w14:textId="77777777" w:rsidR="00CE362F" w:rsidRDefault="00CE362F" w:rsidP="00CE362F">
      <w:pPr>
        <w:rPr>
          <w:rFonts w:eastAsiaTheme="majorEastAsia"/>
        </w:rPr>
      </w:pPr>
    </w:p>
    <w:p w14:paraId="30CCE362" w14:textId="77777777" w:rsidR="00CE362F" w:rsidRDefault="00CE362F" w:rsidP="00CE362F">
      <w:pPr>
        <w:sectPr w:rsidR="00CE362F" w:rsidSect="00B6348E">
          <w:headerReference w:type="default" r:id="rId19"/>
          <w:footerReference w:type="default" r:id="rId20"/>
          <w:pgSz w:w="11907" w:h="16834" w:code="9"/>
          <w:pgMar w:top="851" w:right="1134" w:bottom="851" w:left="1134" w:header="284" w:footer="567" w:gutter="0"/>
          <w:pgNumType w:start="1"/>
          <w:cols w:space="720"/>
          <w:docGrid w:linePitch="299"/>
        </w:sectPr>
      </w:pPr>
    </w:p>
    <w:p w14:paraId="3F3C0084" w14:textId="77777777" w:rsidR="00CE362F" w:rsidRDefault="00CE362F" w:rsidP="00CE362F">
      <w:pPr>
        <w:pStyle w:val="Heading1"/>
        <w:rPr>
          <w:rFonts w:eastAsiaTheme="majorEastAsia"/>
        </w:rPr>
      </w:pPr>
      <w:r>
        <w:rPr>
          <w:rFonts w:eastAsiaTheme="majorEastAsia"/>
        </w:rPr>
        <w:lastRenderedPageBreak/>
        <w:t>: Reporting</w:t>
      </w:r>
    </w:p>
    <w:p w14:paraId="7BECA097" w14:textId="77777777" w:rsidR="00CE362F" w:rsidRDefault="00CE362F" w:rsidP="00DB4346">
      <w:pPr>
        <w:pStyle w:val="Heading2"/>
        <w:spacing w:before="0" w:after="0"/>
        <w:jc w:val="both"/>
      </w:pPr>
      <w:r>
        <w:t>Overview</w:t>
      </w:r>
    </w:p>
    <w:p w14:paraId="286CD6E3" w14:textId="0A9DF5D2" w:rsidR="00BB1313" w:rsidRDefault="00BB1313" w:rsidP="00DB4346">
      <w:pPr>
        <w:spacing w:before="0"/>
        <w:jc w:val="both"/>
      </w:pPr>
      <w:r w:rsidRPr="00BB1313">
        <w:t>COVID-19 related restrictions could lead to poorer health outcomes in older adults. This project investigate</w:t>
      </w:r>
      <w:r w:rsidR="001C343C">
        <w:t>d</w:t>
      </w:r>
      <w:r w:rsidRPr="00BB1313">
        <w:t xml:space="preserve"> the health and wellbeing impacts of the Delta-Omicron outbreak </w:t>
      </w:r>
      <w:r w:rsidR="001C343C">
        <w:t xml:space="preserve">(August 2021 to August 2022) amongst older adults living </w:t>
      </w:r>
      <w:r w:rsidRPr="00BB1313">
        <w:t>in aged residential care</w:t>
      </w:r>
      <w:r w:rsidR="001C343C">
        <w:t xml:space="preserve"> (ARC)</w:t>
      </w:r>
      <w:r w:rsidRPr="00BB1313">
        <w:t>.</w:t>
      </w:r>
    </w:p>
    <w:p w14:paraId="0F99A43F" w14:textId="77777777" w:rsidR="001C343C" w:rsidRDefault="001C343C" w:rsidP="00DB4346">
      <w:pPr>
        <w:pStyle w:val="Heading2"/>
        <w:numPr>
          <w:ilvl w:val="0"/>
          <w:numId w:val="0"/>
        </w:numPr>
        <w:spacing w:before="0" w:after="0"/>
        <w:ind w:left="851"/>
        <w:jc w:val="both"/>
      </w:pPr>
    </w:p>
    <w:p w14:paraId="49C4B910" w14:textId="3A05E7C8" w:rsidR="00CE362F" w:rsidRDefault="00CE362F" w:rsidP="00DB4346">
      <w:pPr>
        <w:pStyle w:val="Heading2"/>
        <w:spacing w:before="0" w:after="0"/>
        <w:jc w:val="both"/>
      </w:pPr>
      <w:r>
        <w:t>What is the problem or issue that your research investigated?</w:t>
      </w:r>
    </w:p>
    <w:bookmarkEnd w:id="1"/>
    <w:p w14:paraId="0699B8AC" w14:textId="2B1D035C" w:rsidR="001C343C" w:rsidRDefault="001C343C" w:rsidP="00DB4346">
      <w:pPr>
        <w:spacing w:before="0"/>
        <w:jc w:val="both"/>
      </w:pPr>
      <w:r>
        <w:t>The key research questions for this project are:</w:t>
      </w:r>
    </w:p>
    <w:p w14:paraId="524E4DD7" w14:textId="77777777" w:rsidR="001C343C" w:rsidRDefault="001C343C" w:rsidP="00DB4346">
      <w:pPr>
        <w:pStyle w:val="ListParagraph"/>
        <w:numPr>
          <w:ilvl w:val="0"/>
          <w:numId w:val="5"/>
        </w:numPr>
        <w:spacing w:before="0"/>
        <w:jc w:val="both"/>
      </w:pPr>
      <w:r>
        <w:t>How did the Delta-Omicron outbreak impact on the health outcomes of older adults living in ARC?</w:t>
      </w:r>
    </w:p>
    <w:p w14:paraId="210D0327" w14:textId="77777777" w:rsidR="001C343C" w:rsidRDefault="001C343C" w:rsidP="00DB4346">
      <w:pPr>
        <w:pStyle w:val="ListParagraph"/>
        <w:numPr>
          <w:ilvl w:val="0"/>
          <w:numId w:val="5"/>
        </w:numPr>
        <w:spacing w:before="0"/>
        <w:jc w:val="both"/>
      </w:pPr>
      <w:r>
        <w:t>Are there any differences in these health outcomes amongst the main ethnic groups in ARC?</w:t>
      </w:r>
    </w:p>
    <w:p w14:paraId="0B3EC50A" w14:textId="77777777" w:rsidR="001C343C" w:rsidRDefault="001C343C" w:rsidP="00DB4346">
      <w:pPr>
        <w:pStyle w:val="ListParagraph"/>
        <w:numPr>
          <w:ilvl w:val="0"/>
          <w:numId w:val="5"/>
        </w:numPr>
        <w:spacing w:before="0"/>
        <w:jc w:val="both"/>
      </w:pPr>
      <w:r>
        <w:t>What are the individual factors that increase or decrease the risk of negative health outcomes?</w:t>
      </w:r>
    </w:p>
    <w:p w14:paraId="7769D7B2" w14:textId="77777777" w:rsidR="00DB4346" w:rsidRDefault="00DB4346" w:rsidP="00DB4346">
      <w:pPr>
        <w:pStyle w:val="ListParagraph"/>
        <w:spacing w:before="0"/>
        <w:ind w:left="1080"/>
        <w:jc w:val="both"/>
      </w:pPr>
    </w:p>
    <w:p w14:paraId="54857DF9" w14:textId="3D21DA60" w:rsidR="006E6848" w:rsidRDefault="006E6848" w:rsidP="00DB4346">
      <w:pPr>
        <w:spacing w:before="0"/>
        <w:jc w:val="both"/>
      </w:pPr>
      <w:r>
        <w:t>The following describ</w:t>
      </w:r>
      <w:r w:rsidR="00596B6F">
        <w:t xml:space="preserve">es </w:t>
      </w:r>
      <w:r>
        <w:t>outcomes of interest, highlighting differences in ethnicity and factors that increase/</w:t>
      </w:r>
      <w:proofErr w:type="gramStart"/>
      <w:r>
        <w:t>dec</w:t>
      </w:r>
      <w:r w:rsidR="00596B6F">
        <w:t>rease</w:t>
      </w:r>
      <w:proofErr w:type="gramEnd"/>
      <w:r>
        <w:t xml:space="preserve"> risk</w:t>
      </w:r>
      <w:r w:rsidR="00596B6F">
        <w:t xml:space="preserve">. </w:t>
      </w:r>
    </w:p>
    <w:p w14:paraId="33707E7E" w14:textId="77777777" w:rsidR="00DB4346" w:rsidRPr="00596B6F" w:rsidRDefault="00DB4346" w:rsidP="00DB4346">
      <w:pPr>
        <w:spacing w:before="0"/>
        <w:jc w:val="both"/>
      </w:pPr>
    </w:p>
    <w:p w14:paraId="656C7867" w14:textId="1DAB6D1C" w:rsidR="00BB1313" w:rsidRPr="00BB1313" w:rsidRDefault="00BB1313" w:rsidP="00DB4346">
      <w:pPr>
        <w:spacing w:before="0"/>
        <w:jc w:val="both"/>
        <w:rPr>
          <w:i/>
          <w:iCs/>
        </w:rPr>
      </w:pPr>
      <w:r w:rsidRPr="00BB1313">
        <w:rPr>
          <w:i/>
          <w:iCs/>
        </w:rPr>
        <w:t>Aged residential care: Study period and comparison period</w:t>
      </w:r>
    </w:p>
    <w:p w14:paraId="7B84630C" w14:textId="41A574E6" w:rsidR="00BB1313" w:rsidRDefault="00BB1313" w:rsidP="00DB4346">
      <w:pPr>
        <w:pStyle w:val="ListParagraph"/>
        <w:numPr>
          <w:ilvl w:val="0"/>
          <w:numId w:val="6"/>
        </w:numPr>
        <w:spacing w:before="0"/>
        <w:jc w:val="both"/>
      </w:pPr>
      <w:r>
        <w:t>The study period of interest is the first year of the Delta-Omicron outbreak in Aotearoa (17/8/2021 to  16/8/2022). There are a total of 39</w:t>
      </w:r>
      <w:r w:rsidR="00596B6F">
        <w:t>,</w:t>
      </w:r>
      <w:r>
        <w:t xml:space="preserve">399 </w:t>
      </w:r>
      <w:r w:rsidR="001C343C">
        <w:t xml:space="preserve">ARC </w:t>
      </w:r>
      <w:r>
        <w:t>residents (female: 64.0%) in the Delta-Omicron cohort.</w:t>
      </w:r>
    </w:p>
    <w:p w14:paraId="66852C2E" w14:textId="4E0A484C" w:rsidR="00BB1313" w:rsidRDefault="00BB1313" w:rsidP="00DB4346">
      <w:pPr>
        <w:pStyle w:val="ListParagraph"/>
        <w:numPr>
          <w:ilvl w:val="0"/>
          <w:numId w:val="6"/>
        </w:numPr>
        <w:spacing w:before="0"/>
        <w:jc w:val="both"/>
      </w:pPr>
      <w:r>
        <w:t>The comparison period is a pre-COVID-19 era (17/8/2018 to 16/8/2019). There are a total of 39,450 residents (female: 64.9%) in the pre-COVID-19 cohort.</w:t>
      </w:r>
    </w:p>
    <w:p w14:paraId="68351281" w14:textId="77777777" w:rsidR="001C343C" w:rsidRDefault="001C343C" w:rsidP="00DB4346">
      <w:pPr>
        <w:pStyle w:val="ListParagraph"/>
        <w:spacing w:before="0"/>
        <w:ind w:left="360"/>
        <w:jc w:val="both"/>
      </w:pPr>
    </w:p>
    <w:p w14:paraId="0719DC08" w14:textId="77777777" w:rsidR="00BB1313" w:rsidRPr="00BB1313" w:rsidRDefault="00BB1313" w:rsidP="00DB4346">
      <w:pPr>
        <w:spacing w:before="0"/>
        <w:jc w:val="both"/>
        <w:rPr>
          <w:i/>
          <w:iCs/>
        </w:rPr>
      </w:pPr>
      <w:r w:rsidRPr="00BB1313">
        <w:rPr>
          <w:i/>
          <w:iCs/>
        </w:rPr>
        <w:t xml:space="preserve">COVID-19 vaccination </w:t>
      </w:r>
    </w:p>
    <w:p w14:paraId="061AD409" w14:textId="24A780CD" w:rsidR="00BB1313" w:rsidRDefault="00BB1313" w:rsidP="00DB4346">
      <w:pPr>
        <w:pStyle w:val="ListParagraph"/>
        <w:numPr>
          <w:ilvl w:val="0"/>
          <w:numId w:val="7"/>
        </w:numPr>
        <w:spacing w:before="0"/>
        <w:jc w:val="both"/>
      </w:pPr>
      <w:r>
        <w:t xml:space="preserve">86.3% of the Delta-Omicron cohort had at least </w:t>
      </w:r>
      <w:r w:rsidR="00596B6F">
        <w:t>three</w:t>
      </w:r>
      <w:r>
        <w:t xml:space="preserve"> doses of COVID-19 vaccine by 16</w:t>
      </w:r>
      <w:r w:rsidRPr="001C343C">
        <w:rPr>
          <w:vertAlign w:val="superscript"/>
        </w:rPr>
        <w:t>th</w:t>
      </w:r>
      <w:r w:rsidR="001C343C">
        <w:t xml:space="preserve"> </w:t>
      </w:r>
      <w:r>
        <w:t xml:space="preserve">August 2022. </w:t>
      </w:r>
      <w:r w:rsidR="00596B6F">
        <w:t xml:space="preserve">This rate is higher than the </w:t>
      </w:r>
      <w:r>
        <w:t xml:space="preserve">3+ doses COVID-19 vaccination </w:t>
      </w:r>
      <w:r w:rsidR="00596B6F">
        <w:t xml:space="preserve">rate in </w:t>
      </w:r>
      <w:r>
        <w:t xml:space="preserve">the total New Zealand population (53.7%) in the same period. </w:t>
      </w:r>
    </w:p>
    <w:p w14:paraId="2F618C5C" w14:textId="77777777" w:rsidR="001C343C" w:rsidRDefault="001C343C" w:rsidP="00DB4346">
      <w:pPr>
        <w:pStyle w:val="ListParagraph"/>
        <w:spacing w:before="0"/>
        <w:ind w:left="360"/>
        <w:jc w:val="both"/>
      </w:pPr>
    </w:p>
    <w:p w14:paraId="10833C0A" w14:textId="77777777" w:rsidR="00BB1313" w:rsidRDefault="00BB1313" w:rsidP="00DB4346">
      <w:pPr>
        <w:spacing w:before="0"/>
        <w:jc w:val="both"/>
        <w:rPr>
          <w:i/>
          <w:iCs/>
        </w:rPr>
      </w:pPr>
      <w:r w:rsidRPr="00BB1313">
        <w:rPr>
          <w:i/>
          <w:iCs/>
        </w:rPr>
        <w:t>COVID-19 infection</w:t>
      </w:r>
    </w:p>
    <w:p w14:paraId="3064CBFA" w14:textId="57063E61" w:rsidR="00BB1313" w:rsidRPr="001C343C" w:rsidRDefault="00BB1313" w:rsidP="00DB4346">
      <w:pPr>
        <w:pStyle w:val="ListParagraph"/>
        <w:numPr>
          <w:ilvl w:val="0"/>
          <w:numId w:val="7"/>
        </w:numPr>
        <w:spacing w:before="0"/>
        <w:jc w:val="both"/>
        <w:rPr>
          <w:i/>
          <w:iCs/>
        </w:rPr>
      </w:pPr>
      <w:r>
        <w:t>34.9% of the Delta-Omicron cohort had at least one</w:t>
      </w:r>
      <w:r w:rsidR="004D0BBD">
        <w:t xml:space="preserve"> confirmed</w:t>
      </w:r>
      <w:r>
        <w:t xml:space="preserve"> COVID-19 infection by 16</w:t>
      </w:r>
      <w:r w:rsidRPr="001C343C">
        <w:rPr>
          <w:vertAlign w:val="superscript"/>
        </w:rPr>
        <w:t>th</w:t>
      </w:r>
      <w:r w:rsidR="001C343C">
        <w:t xml:space="preserve"> </w:t>
      </w:r>
      <w:r>
        <w:t>August 2022. 80.5% of infection</w:t>
      </w:r>
      <w:r w:rsidR="004D0BBD">
        <w:t>s</w:t>
      </w:r>
      <w:r>
        <w:t xml:space="preserve"> w</w:t>
      </w:r>
      <w:r w:rsidR="004D0BBD">
        <w:t>ere</w:t>
      </w:r>
      <w:r>
        <w:t xml:space="preserve"> confirmed</w:t>
      </w:r>
      <w:r w:rsidR="004D0BBD">
        <w:t xml:space="preserve"> by</w:t>
      </w:r>
      <w:r>
        <w:t xml:space="preserve"> rapid antigen test (RAT), 14.5% </w:t>
      </w:r>
      <w:r w:rsidR="004D0BBD">
        <w:t>by</w:t>
      </w:r>
      <w:r>
        <w:t xml:space="preserve"> polymerase chain reaction (PCR), and 5.0%</w:t>
      </w:r>
      <w:r w:rsidR="004D0BBD">
        <w:t xml:space="preserve"> by</w:t>
      </w:r>
      <w:r>
        <w:t xml:space="preserve"> both RAT an PCR. </w:t>
      </w:r>
      <w:r w:rsidR="004D0BBD">
        <w:t xml:space="preserve">The </w:t>
      </w:r>
      <w:r>
        <w:t xml:space="preserve">COVID-19 infection rate in </w:t>
      </w:r>
      <w:r w:rsidR="001C343C">
        <w:t>ARC</w:t>
      </w:r>
      <w:r>
        <w:t xml:space="preserve"> is </w:t>
      </w:r>
      <w:proofErr w:type="gramStart"/>
      <w:r>
        <w:t>similar to</w:t>
      </w:r>
      <w:proofErr w:type="gramEnd"/>
      <w:r>
        <w:t xml:space="preserve"> the infection rate in the total New Zealand population; 33.2% of all New Zealanders had at least one COVID-19 infection by 16</w:t>
      </w:r>
      <w:r w:rsidRPr="001C343C">
        <w:rPr>
          <w:vertAlign w:val="superscript"/>
        </w:rPr>
        <w:t>th</w:t>
      </w:r>
      <w:r w:rsidR="001C343C">
        <w:t xml:space="preserve"> </w:t>
      </w:r>
      <w:r>
        <w:t xml:space="preserve">August 2022. </w:t>
      </w:r>
    </w:p>
    <w:p w14:paraId="3028017B" w14:textId="77777777" w:rsidR="001C343C" w:rsidRPr="00BB1313" w:rsidRDefault="001C343C" w:rsidP="00DB4346">
      <w:pPr>
        <w:pStyle w:val="ListParagraph"/>
        <w:spacing w:before="0"/>
        <w:ind w:left="360"/>
        <w:jc w:val="both"/>
        <w:rPr>
          <w:i/>
          <w:iCs/>
        </w:rPr>
      </w:pPr>
    </w:p>
    <w:p w14:paraId="0AB6D5EE" w14:textId="77777777" w:rsidR="00BB1313" w:rsidRDefault="00BB1313" w:rsidP="00DB4346">
      <w:pPr>
        <w:spacing w:before="0"/>
        <w:jc w:val="both"/>
        <w:rPr>
          <w:i/>
          <w:iCs/>
        </w:rPr>
      </w:pPr>
      <w:r w:rsidRPr="00BB1313">
        <w:rPr>
          <w:i/>
          <w:iCs/>
        </w:rPr>
        <w:t>Mortality</w:t>
      </w:r>
    </w:p>
    <w:p w14:paraId="54F420F1" w14:textId="5A9AB70C" w:rsidR="000E6009" w:rsidRPr="000E6009" w:rsidRDefault="00BB1313" w:rsidP="00DB4346">
      <w:pPr>
        <w:pStyle w:val="ListParagraph"/>
        <w:numPr>
          <w:ilvl w:val="0"/>
          <w:numId w:val="7"/>
        </w:numPr>
        <w:spacing w:before="0"/>
        <w:jc w:val="both"/>
        <w:rPr>
          <w:i/>
          <w:iCs/>
        </w:rPr>
      </w:pPr>
      <w:r>
        <w:t>The mortality rate in the Delta-Omicron period was 24.5%</w:t>
      </w:r>
      <w:r w:rsidR="001C343C">
        <w:t>, which</w:t>
      </w:r>
      <w:r>
        <w:t xml:space="preserve"> was higher than the mortality rate of 22.5% in the pre-COVID-19 period. </w:t>
      </w:r>
    </w:p>
    <w:p w14:paraId="5570BAD6" w14:textId="68103A75" w:rsidR="000E6009" w:rsidRPr="000E6009" w:rsidRDefault="00BB1313" w:rsidP="00DB4346">
      <w:pPr>
        <w:pStyle w:val="ListParagraph"/>
        <w:numPr>
          <w:ilvl w:val="0"/>
          <w:numId w:val="7"/>
        </w:numPr>
        <w:spacing w:before="0"/>
        <w:jc w:val="both"/>
        <w:rPr>
          <w:i/>
          <w:iCs/>
        </w:rPr>
      </w:pPr>
      <w:r>
        <w:t xml:space="preserve">Residents aged 80-90 and 90+ </w:t>
      </w:r>
      <w:r w:rsidR="001547C1">
        <w:t xml:space="preserve">years </w:t>
      </w:r>
      <w:r>
        <w:t xml:space="preserve">in the Delta-Omicron period had higher mortality rates </w:t>
      </w:r>
      <w:r w:rsidR="00444A31">
        <w:t xml:space="preserve">(23.8% and 31.2%) </w:t>
      </w:r>
      <w:r>
        <w:t>than their counterparts in the pre-COVID-19 period</w:t>
      </w:r>
      <w:r w:rsidR="00444A31">
        <w:t xml:space="preserve"> (22.1% and 27.7%). </w:t>
      </w:r>
    </w:p>
    <w:p w14:paraId="094BCC13" w14:textId="4934C40E" w:rsidR="000E6009" w:rsidRPr="000E6009" w:rsidRDefault="00BB1313" w:rsidP="00DB4346">
      <w:pPr>
        <w:pStyle w:val="ListParagraph"/>
        <w:numPr>
          <w:ilvl w:val="0"/>
          <w:numId w:val="7"/>
        </w:numPr>
        <w:spacing w:before="0"/>
        <w:jc w:val="both"/>
        <w:rPr>
          <w:i/>
          <w:iCs/>
        </w:rPr>
      </w:pPr>
      <w:r>
        <w:t xml:space="preserve">New Zealand European residents in the Delta-Omicron period had a higher mortality rate </w:t>
      </w:r>
      <w:r w:rsidR="00F755CE">
        <w:t xml:space="preserve">than </w:t>
      </w:r>
      <w:r>
        <w:t>their counterparts in the pre-COVID-19 period</w:t>
      </w:r>
      <w:r w:rsidR="00444A31">
        <w:t xml:space="preserve"> (25.1% versus </w:t>
      </w:r>
      <w:r w:rsidR="00444A31" w:rsidRPr="00444A31">
        <w:t>22.9</w:t>
      </w:r>
      <w:r w:rsidR="00444A31">
        <w:t>%</w:t>
      </w:r>
      <w:r w:rsidR="00444A31" w:rsidRPr="00444A31">
        <w:t>)</w:t>
      </w:r>
      <w:r w:rsidR="00444A31">
        <w:t>.</w:t>
      </w:r>
    </w:p>
    <w:p w14:paraId="50BAD110" w14:textId="252EA3BA" w:rsidR="00BB1313" w:rsidRPr="001C343C" w:rsidRDefault="00BB1313" w:rsidP="00DB4346">
      <w:pPr>
        <w:pStyle w:val="ListParagraph"/>
        <w:numPr>
          <w:ilvl w:val="0"/>
          <w:numId w:val="7"/>
        </w:numPr>
        <w:spacing w:before="0"/>
        <w:jc w:val="both"/>
        <w:rPr>
          <w:i/>
          <w:iCs/>
        </w:rPr>
      </w:pPr>
      <w:r>
        <w:t xml:space="preserve">In statistical modelling, </w:t>
      </w:r>
      <w:r w:rsidRPr="007278B3">
        <w:rPr>
          <w:b/>
          <w:bCs/>
        </w:rPr>
        <w:t>social visits</w:t>
      </w:r>
      <w:r>
        <w:t xml:space="preserve"> in the Delta-Omicron period were associated with a lower mortality risk when compared to no social visit.</w:t>
      </w:r>
    </w:p>
    <w:p w14:paraId="03CA3A3E" w14:textId="77777777" w:rsidR="001C343C" w:rsidRPr="000E6009" w:rsidRDefault="001C343C" w:rsidP="00DB4346">
      <w:pPr>
        <w:pStyle w:val="ListParagraph"/>
        <w:spacing w:before="0"/>
        <w:ind w:left="360"/>
        <w:jc w:val="both"/>
        <w:rPr>
          <w:i/>
          <w:iCs/>
        </w:rPr>
      </w:pPr>
    </w:p>
    <w:p w14:paraId="6F4753D9" w14:textId="77777777" w:rsidR="00BB1313" w:rsidRPr="000E6009" w:rsidRDefault="00BB1313" w:rsidP="00DB4346">
      <w:pPr>
        <w:spacing w:before="0"/>
        <w:jc w:val="both"/>
        <w:rPr>
          <w:i/>
          <w:iCs/>
        </w:rPr>
      </w:pPr>
      <w:r w:rsidRPr="000E6009">
        <w:rPr>
          <w:i/>
          <w:iCs/>
        </w:rPr>
        <w:t>Hospitalisation</w:t>
      </w:r>
    </w:p>
    <w:p w14:paraId="1E689628" w14:textId="5C0927EE" w:rsidR="00BB1313" w:rsidRDefault="00BB1313" w:rsidP="00DB4346">
      <w:pPr>
        <w:pStyle w:val="ListParagraph"/>
        <w:numPr>
          <w:ilvl w:val="0"/>
          <w:numId w:val="8"/>
        </w:numPr>
        <w:spacing w:before="0"/>
        <w:jc w:val="both"/>
      </w:pPr>
      <w:r>
        <w:t xml:space="preserve">Hospitalisation rate was lower in the Delta-Omicron period than </w:t>
      </w:r>
      <w:r w:rsidR="001510B8">
        <w:t xml:space="preserve">in </w:t>
      </w:r>
      <w:r>
        <w:t xml:space="preserve">the pre-COVID-19 period: 57.0% of the Delta-Omicron cohort had no hospital admission, compared to 53.4% of the pre-COVID-19 cohort. </w:t>
      </w:r>
    </w:p>
    <w:p w14:paraId="2D554CC8" w14:textId="10C68E10" w:rsidR="00BB1313" w:rsidRDefault="00BB1313" w:rsidP="00DB4346">
      <w:pPr>
        <w:pStyle w:val="ListParagraph"/>
        <w:numPr>
          <w:ilvl w:val="0"/>
          <w:numId w:val="8"/>
        </w:numPr>
        <w:spacing w:before="0"/>
        <w:jc w:val="both"/>
      </w:pPr>
      <w:r>
        <w:t xml:space="preserve">Residents across all age groups (60-69, 70-79, 80-89, 90+) in the Delta-Omicron period had lower </w:t>
      </w:r>
      <w:r w:rsidR="007C6F9A">
        <w:t xml:space="preserve">rates of multiple (3+) </w:t>
      </w:r>
      <w:r>
        <w:t>hospitalisation</w:t>
      </w:r>
      <w:r w:rsidR="007C6F9A">
        <w:t>s</w:t>
      </w:r>
      <w:r>
        <w:t xml:space="preserve"> </w:t>
      </w:r>
      <w:r w:rsidR="007C6F9A">
        <w:t xml:space="preserve">(15.5%, 13.6%, 12.5%, 9.0%) </w:t>
      </w:r>
      <w:r>
        <w:t>than their counterpart</w:t>
      </w:r>
      <w:r w:rsidR="00E676E6">
        <w:t>s</w:t>
      </w:r>
      <w:r>
        <w:t xml:space="preserve"> in the pre-COVID-19 period</w:t>
      </w:r>
      <w:r w:rsidR="007C6F9A">
        <w:t xml:space="preserve"> (19.2%, 16.2%, 15.4%, 12.2%). </w:t>
      </w:r>
    </w:p>
    <w:p w14:paraId="3C6F5CBD" w14:textId="61A97FB1" w:rsidR="00BB1313" w:rsidRDefault="00BB1313" w:rsidP="00DB4346">
      <w:pPr>
        <w:pStyle w:val="ListParagraph"/>
        <w:numPr>
          <w:ilvl w:val="0"/>
          <w:numId w:val="8"/>
        </w:numPr>
        <w:spacing w:before="0"/>
        <w:jc w:val="both"/>
      </w:pPr>
      <w:r>
        <w:t>Māori and New Zealand European residents in the Delta-Omicron period had lower</w:t>
      </w:r>
      <w:r w:rsidR="004D0BBD">
        <w:t xml:space="preserve"> rates of</w:t>
      </w:r>
      <w:r>
        <w:t xml:space="preserve"> </w:t>
      </w:r>
      <w:r w:rsidR="004D0BBD">
        <w:t xml:space="preserve">multiple </w:t>
      </w:r>
      <w:r w:rsidR="00972D4D">
        <w:t xml:space="preserve">(3+) </w:t>
      </w:r>
      <w:r w:rsidR="007C6F9A">
        <w:t>hospitalisations</w:t>
      </w:r>
      <w:r w:rsidR="004D0BBD">
        <w:t xml:space="preserve"> (</w:t>
      </w:r>
      <w:r w:rsidR="00972D4D">
        <w:t>13.0% and 11.8%</w:t>
      </w:r>
      <w:r w:rsidR="00972D4D" w:rsidRPr="00972D4D">
        <w:t>)</w:t>
      </w:r>
      <w:r>
        <w:t xml:space="preserve"> than their counterparts in the pre-COVID-19 period</w:t>
      </w:r>
      <w:r w:rsidR="00972D4D">
        <w:t xml:space="preserve"> (19.7% and 14.6%). </w:t>
      </w:r>
    </w:p>
    <w:p w14:paraId="17458E76" w14:textId="38FD9B7C" w:rsidR="00BB1313" w:rsidRDefault="00BB1313" w:rsidP="00DB4346">
      <w:pPr>
        <w:pStyle w:val="ListParagraph"/>
        <w:numPr>
          <w:ilvl w:val="0"/>
          <w:numId w:val="8"/>
        </w:numPr>
        <w:spacing w:before="0"/>
        <w:jc w:val="both"/>
      </w:pPr>
      <w:r>
        <w:t xml:space="preserve">In statistical modelling, </w:t>
      </w:r>
      <w:r w:rsidRPr="007278B3">
        <w:rPr>
          <w:b/>
          <w:bCs/>
        </w:rPr>
        <w:t>Māori</w:t>
      </w:r>
      <w:r>
        <w:t xml:space="preserve"> residents in the pre-COVID-19 period </w:t>
      </w:r>
      <w:r w:rsidR="004D0BBD">
        <w:t>had a</w:t>
      </w:r>
      <w:r>
        <w:t xml:space="preserve"> higher risk of hospitalisation when compared to New Zealand Europeans</w:t>
      </w:r>
      <w:r w:rsidR="00337A6E">
        <w:t xml:space="preserve">, </w:t>
      </w:r>
      <w:r>
        <w:t xml:space="preserve">but this </w:t>
      </w:r>
      <w:r w:rsidR="004D0BBD">
        <w:t>association</w:t>
      </w:r>
      <w:r>
        <w:t xml:space="preserve"> was not observed in the Delta-Omicron period. </w:t>
      </w:r>
    </w:p>
    <w:p w14:paraId="62770980" w14:textId="7AA7F5C2" w:rsidR="00BB1313" w:rsidRDefault="00BB1313" w:rsidP="00DB4346">
      <w:pPr>
        <w:pStyle w:val="ListParagraph"/>
        <w:numPr>
          <w:ilvl w:val="0"/>
          <w:numId w:val="8"/>
        </w:numPr>
        <w:spacing w:before="0"/>
        <w:jc w:val="both"/>
      </w:pPr>
      <w:r>
        <w:lastRenderedPageBreak/>
        <w:t xml:space="preserve">In statistical modelling, ≥1 hour of </w:t>
      </w:r>
      <w:r w:rsidRPr="007278B3">
        <w:rPr>
          <w:b/>
          <w:bCs/>
        </w:rPr>
        <w:t xml:space="preserve">exercise </w:t>
      </w:r>
      <w:r>
        <w:t>in the last 3 days</w:t>
      </w:r>
      <w:r w:rsidR="00E676E6">
        <w:t xml:space="preserve"> </w:t>
      </w:r>
      <w:r>
        <w:t xml:space="preserve">was associated with a lower risk of hospitalisation in both pre-COVID-19 and Delta-Omicron periods. </w:t>
      </w:r>
    </w:p>
    <w:p w14:paraId="43D3109A" w14:textId="77777777" w:rsidR="001C343C" w:rsidRDefault="001C343C" w:rsidP="00DB4346">
      <w:pPr>
        <w:pStyle w:val="ListParagraph"/>
        <w:spacing w:before="0"/>
        <w:ind w:left="360"/>
        <w:jc w:val="both"/>
      </w:pPr>
    </w:p>
    <w:p w14:paraId="213B3AEF" w14:textId="77777777" w:rsidR="00BB1313" w:rsidRPr="000E6009" w:rsidRDefault="00BB1313" w:rsidP="00DB4346">
      <w:pPr>
        <w:spacing w:before="0"/>
        <w:jc w:val="both"/>
        <w:rPr>
          <w:i/>
          <w:iCs/>
        </w:rPr>
      </w:pPr>
      <w:r w:rsidRPr="000E6009">
        <w:rPr>
          <w:i/>
          <w:iCs/>
        </w:rPr>
        <w:t>Falls</w:t>
      </w:r>
    </w:p>
    <w:p w14:paraId="785093C0" w14:textId="19F1CAEC" w:rsidR="00BB1313" w:rsidRDefault="00BB1313" w:rsidP="00DB4346">
      <w:pPr>
        <w:pStyle w:val="ListParagraph"/>
        <w:numPr>
          <w:ilvl w:val="0"/>
          <w:numId w:val="9"/>
        </w:numPr>
        <w:spacing w:before="0"/>
        <w:jc w:val="both"/>
      </w:pPr>
      <w:r>
        <w:t xml:space="preserve">Residents aged 70-79, 80-89 and 90+ in the Delta-Omicron period had higher falls rates </w:t>
      </w:r>
      <w:r w:rsidR="007C6F9A">
        <w:t xml:space="preserve">(20.7%, 23.1%, 24.4%) </w:t>
      </w:r>
      <w:r>
        <w:t>than their counterparts in the pre-COVID-19 period</w:t>
      </w:r>
      <w:r w:rsidR="007C6F9A">
        <w:t xml:space="preserve"> (18.2%, 21.0%, 22.1%). </w:t>
      </w:r>
    </w:p>
    <w:p w14:paraId="46411E0B" w14:textId="78F9588A" w:rsidR="00BB1313" w:rsidRDefault="00BB1313" w:rsidP="00DB4346">
      <w:pPr>
        <w:pStyle w:val="ListParagraph"/>
        <w:numPr>
          <w:ilvl w:val="0"/>
          <w:numId w:val="9"/>
        </w:numPr>
        <w:spacing w:before="0"/>
        <w:jc w:val="both"/>
      </w:pPr>
      <w:r w:rsidRPr="007C6F9A">
        <w:t>Asian and New Zealand European residents in the Delta-Omicron period had higher falls rates</w:t>
      </w:r>
      <w:r w:rsidR="007C6F9A" w:rsidRPr="007C6F9A">
        <w:t xml:space="preserve"> (19.2% and 23.2%)</w:t>
      </w:r>
      <w:r w:rsidRPr="007C6F9A">
        <w:t xml:space="preserve"> than their counterparts</w:t>
      </w:r>
      <w:r>
        <w:t xml:space="preserve"> in the pre-COVID-19 period</w:t>
      </w:r>
      <w:r w:rsidR="007C6F9A">
        <w:t xml:space="preserve"> (15.2%  and 21.0%). </w:t>
      </w:r>
    </w:p>
    <w:p w14:paraId="4B2A580C" w14:textId="5E955148" w:rsidR="00BB1313" w:rsidRDefault="00BB1313" w:rsidP="00DB4346">
      <w:pPr>
        <w:pStyle w:val="ListParagraph"/>
        <w:numPr>
          <w:ilvl w:val="0"/>
          <w:numId w:val="9"/>
        </w:numPr>
        <w:spacing w:before="0"/>
        <w:jc w:val="both"/>
      </w:pPr>
      <w:r>
        <w:t xml:space="preserve">In statistical modelling, </w:t>
      </w:r>
      <w:r w:rsidRPr="007278B3">
        <w:rPr>
          <w:b/>
          <w:bCs/>
        </w:rPr>
        <w:t>exercise</w:t>
      </w:r>
      <w:r>
        <w:t xml:space="preserve"> was associated with a higher risk of falls in the pre-COVID-19 period. Although  &lt;1 hour of exercise in the last 3 days was still associated with a higher risk of falls in the Delta-Omicron period, </w:t>
      </w:r>
      <w:r w:rsidR="00CC022B">
        <w:t>there was a statistically discernible decrease in risk</w:t>
      </w:r>
      <w:r>
        <w:t xml:space="preserve"> from the pre-COVID-19 period. ≥1 hour of exercise was not associated with any risk of falls in the Delta-Omicron period. </w:t>
      </w:r>
    </w:p>
    <w:p w14:paraId="4ED3F4C0" w14:textId="77777777" w:rsidR="001C343C" w:rsidRDefault="001C343C" w:rsidP="00DB4346">
      <w:pPr>
        <w:pStyle w:val="ListParagraph"/>
        <w:spacing w:before="0"/>
        <w:ind w:left="360"/>
        <w:jc w:val="both"/>
      </w:pPr>
    </w:p>
    <w:p w14:paraId="0D5B6405" w14:textId="77777777" w:rsidR="00BB1313" w:rsidRPr="000E6009" w:rsidRDefault="00BB1313" w:rsidP="00DB4346">
      <w:pPr>
        <w:spacing w:before="0"/>
        <w:jc w:val="both"/>
        <w:rPr>
          <w:i/>
          <w:iCs/>
        </w:rPr>
      </w:pPr>
      <w:r w:rsidRPr="000E6009">
        <w:rPr>
          <w:i/>
          <w:iCs/>
        </w:rPr>
        <w:t xml:space="preserve">Depression </w:t>
      </w:r>
    </w:p>
    <w:p w14:paraId="0618C37A" w14:textId="6BBD115F" w:rsidR="00BB1313" w:rsidRDefault="00BB1313" w:rsidP="00DB4346">
      <w:pPr>
        <w:pStyle w:val="ListParagraph"/>
        <w:numPr>
          <w:ilvl w:val="0"/>
          <w:numId w:val="10"/>
        </w:numPr>
        <w:spacing w:before="0"/>
        <w:jc w:val="both"/>
      </w:pPr>
      <w:r>
        <w:t xml:space="preserve">Residents aged 80-89 and 90+ in the Delta-Omicron period experienced higher rates of moderate depressive symptoms </w:t>
      </w:r>
      <w:r w:rsidR="007C6F9A">
        <w:t xml:space="preserve">(17.8% and 16.1%) </w:t>
      </w:r>
      <w:r>
        <w:t>than their counterparts in the pre-COVID-19 period</w:t>
      </w:r>
      <w:r w:rsidR="007C6F9A">
        <w:t xml:space="preserve"> (16.3% and 14.1%). </w:t>
      </w:r>
    </w:p>
    <w:p w14:paraId="7F0FC083" w14:textId="2D63143E" w:rsidR="00BB1313" w:rsidRDefault="00BB1313" w:rsidP="00DB4346">
      <w:pPr>
        <w:pStyle w:val="ListParagraph"/>
        <w:numPr>
          <w:ilvl w:val="0"/>
          <w:numId w:val="10"/>
        </w:numPr>
        <w:spacing w:before="0"/>
        <w:jc w:val="both"/>
      </w:pPr>
      <w:r w:rsidRPr="007C6F9A">
        <w:t xml:space="preserve">New Zealand European residents in the Delta-Omicron period experienced a higher rate of moderate depressive symptoms </w:t>
      </w:r>
      <w:r w:rsidR="007C6F9A" w:rsidRPr="007C6F9A">
        <w:t>(18.</w:t>
      </w:r>
      <w:r w:rsidR="007C6F9A">
        <w:t xml:space="preserve">0%) </w:t>
      </w:r>
      <w:r>
        <w:t>than their counterparts in the pre-COVID-19 period</w:t>
      </w:r>
      <w:r w:rsidR="007C6F9A">
        <w:t xml:space="preserve"> (16.4%)</w:t>
      </w:r>
      <w:r>
        <w:t>.</w:t>
      </w:r>
    </w:p>
    <w:p w14:paraId="1A594D57" w14:textId="5FC88CBC" w:rsidR="00BB1313" w:rsidRDefault="00BB1313" w:rsidP="00DB4346">
      <w:pPr>
        <w:pStyle w:val="ListParagraph"/>
        <w:numPr>
          <w:ilvl w:val="0"/>
          <w:numId w:val="10"/>
        </w:numPr>
        <w:spacing w:before="0"/>
        <w:jc w:val="both"/>
      </w:pPr>
      <w:r>
        <w:t xml:space="preserve">In statistical modelling, </w:t>
      </w:r>
      <w:r w:rsidRPr="007278B3">
        <w:rPr>
          <w:b/>
          <w:bCs/>
        </w:rPr>
        <w:t>poor self-rated health, cognitive impairment, highly unstable health, loneliness, pain, and aggressive behaviour</w:t>
      </w:r>
      <w:r>
        <w:t xml:space="preserve"> were the strongest risk factors for depression in both pre-COVID-19 and Delta-Omicron periods; and there was no </w:t>
      </w:r>
      <w:r w:rsidR="00CC022B">
        <w:t xml:space="preserve">statistically discernible </w:t>
      </w:r>
      <w:r>
        <w:t xml:space="preserve">change to these risks between the two periods. </w:t>
      </w:r>
    </w:p>
    <w:p w14:paraId="14A9AFAA" w14:textId="77777777" w:rsidR="001C343C" w:rsidRDefault="001C343C" w:rsidP="00DB4346">
      <w:pPr>
        <w:pStyle w:val="ListParagraph"/>
        <w:spacing w:before="0"/>
        <w:ind w:left="360"/>
        <w:jc w:val="both"/>
      </w:pPr>
    </w:p>
    <w:p w14:paraId="579907DA" w14:textId="77777777" w:rsidR="00BB1313" w:rsidRPr="000E6009" w:rsidRDefault="00BB1313" w:rsidP="00DB4346">
      <w:pPr>
        <w:spacing w:before="0"/>
        <w:jc w:val="both"/>
        <w:rPr>
          <w:i/>
          <w:iCs/>
        </w:rPr>
      </w:pPr>
      <w:r w:rsidRPr="000E6009">
        <w:rPr>
          <w:i/>
          <w:iCs/>
        </w:rPr>
        <w:t>Aggressive Behaviour</w:t>
      </w:r>
    </w:p>
    <w:p w14:paraId="24CF0925" w14:textId="49CD6DB9" w:rsidR="00BB1313" w:rsidRDefault="00BB1313" w:rsidP="00DB4346">
      <w:pPr>
        <w:pStyle w:val="ListParagraph"/>
        <w:numPr>
          <w:ilvl w:val="0"/>
          <w:numId w:val="11"/>
        </w:numPr>
        <w:spacing w:before="0"/>
        <w:jc w:val="both"/>
      </w:pPr>
      <w:r>
        <w:t xml:space="preserve">Residents aged 80-89 in the Delta-Omicron period experienced higher rates of </w:t>
      </w:r>
      <w:r w:rsidR="007C6F9A">
        <w:t xml:space="preserve">mild </w:t>
      </w:r>
      <w:r>
        <w:t xml:space="preserve">aggressive behaviour </w:t>
      </w:r>
      <w:r w:rsidR="007C6F9A">
        <w:t xml:space="preserve">(28.5%) </w:t>
      </w:r>
      <w:r>
        <w:t>than their counterparts in the pre-COVID-19 period</w:t>
      </w:r>
      <w:r w:rsidR="007C6F9A">
        <w:t xml:space="preserve"> (27.2%). </w:t>
      </w:r>
    </w:p>
    <w:p w14:paraId="359E86D7" w14:textId="0A4EA0E0" w:rsidR="00BB1313" w:rsidRDefault="00BB1313" w:rsidP="00DB4346">
      <w:pPr>
        <w:pStyle w:val="ListParagraph"/>
        <w:numPr>
          <w:ilvl w:val="0"/>
          <w:numId w:val="11"/>
        </w:numPr>
        <w:spacing w:before="0"/>
        <w:jc w:val="both"/>
      </w:pPr>
      <w:r>
        <w:t xml:space="preserve">New Zealand European residents in the Delta-Omicron period experienced a higher rate of mild aggressive behaviour </w:t>
      </w:r>
      <w:r w:rsidR="007C6F9A">
        <w:t xml:space="preserve">(27.8%) </w:t>
      </w:r>
      <w:r>
        <w:t>than their counterparts in the pre-COVID-19 period</w:t>
      </w:r>
      <w:r w:rsidR="007C6F9A">
        <w:t xml:space="preserve"> (26.6%). </w:t>
      </w:r>
    </w:p>
    <w:p w14:paraId="1DA7BB00" w14:textId="739F842C" w:rsidR="00BB1313" w:rsidRDefault="00BB1313" w:rsidP="00DB4346">
      <w:pPr>
        <w:pStyle w:val="ListParagraph"/>
        <w:numPr>
          <w:ilvl w:val="0"/>
          <w:numId w:val="11"/>
        </w:numPr>
        <w:spacing w:before="0"/>
        <w:jc w:val="both"/>
      </w:pPr>
      <w:r>
        <w:t xml:space="preserve">In statistical modelling, </w:t>
      </w:r>
      <w:r w:rsidR="001C343C">
        <w:t>e</w:t>
      </w:r>
      <w:r>
        <w:t xml:space="preserve">xercise was associated with a higher risk of aggressive behaviour in the pre-COVID-19 period. Although &lt;1 hour and 3-4 hours of exercise </w:t>
      </w:r>
      <w:r w:rsidR="00CC022B">
        <w:t>were</w:t>
      </w:r>
      <w:r>
        <w:t xml:space="preserve"> still associated with a higher risk of aggressive behaviour in the Delta-Omicron period,</w:t>
      </w:r>
      <w:r w:rsidR="00CC022B">
        <w:t xml:space="preserve"> there was a statistically discernible decrease in risk</w:t>
      </w:r>
      <w:r>
        <w:t xml:space="preserve"> from the pre-COVID-19 period. 1-2 hours of exercise was not associated with any risk of aggressive behaviour in the Delta-Omicron period.</w:t>
      </w:r>
    </w:p>
    <w:p w14:paraId="0529AC1C" w14:textId="228200D7" w:rsidR="00BB1313" w:rsidRDefault="00BB1313" w:rsidP="00DB4346">
      <w:pPr>
        <w:pStyle w:val="ListParagraph"/>
        <w:numPr>
          <w:ilvl w:val="0"/>
          <w:numId w:val="11"/>
        </w:numPr>
        <w:spacing w:before="0"/>
        <w:jc w:val="both"/>
      </w:pPr>
      <w:r>
        <w:t xml:space="preserve">In statistical modelling, </w:t>
      </w:r>
      <w:r w:rsidRPr="007278B3">
        <w:rPr>
          <w:b/>
          <w:bCs/>
        </w:rPr>
        <w:t>social participation and social visits</w:t>
      </w:r>
      <w:r>
        <w:t xml:space="preserve"> were associated with a lower risk for aggressive behaviour in both pre-COVID-19 and Delta-Omicron periods.</w:t>
      </w:r>
    </w:p>
    <w:p w14:paraId="164322C4" w14:textId="77777777" w:rsidR="00BB1313" w:rsidRPr="0085243C" w:rsidRDefault="00BB1313" w:rsidP="00DB4346">
      <w:pPr>
        <w:spacing w:before="0"/>
        <w:jc w:val="both"/>
      </w:pPr>
    </w:p>
    <w:p w14:paraId="39519399" w14:textId="77777777" w:rsidR="00CE362F" w:rsidRDefault="00CE362F" w:rsidP="00DB4346">
      <w:pPr>
        <w:pStyle w:val="Heading2"/>
        <w:spacing w:before="0" w:after="0"/>
      </w:pPr>
      <w:r>
        <w:t>What are the p</w:t>
      </w:r>
      <w:r w:rsidRPr="00215471">
        <w:t>ractical solutions and implementation options</w:t>
      </w:r>
      <w:r>
        <w:t xml:space="preserve"> that you recommend?</w:t>
      </w:r>
    </w:p>
    <w:p w14:paraId="54652BB9" w14:textId="32C5574B" w:rsidR="000E6009" w:rsidRDefault="000E6009" w:rsidP="00DB4346">
      <w:pPr>
        <w:spacing w:before="0"/>
        <w:jc w:val="both"/>
        <w:rPr>
          <w:rFonts w:cs="Segoe UI"/>
          <w:bCs/>
          <w:color w:val="000000"/>
        </w:rPr>
      </w:pPr>
      <w:r w:rsidRPr="000E6009">
        <w:rPr>
          <w:rFonts w:cs="Segoe UI"/>
          <w:bCs/>
          <w:color w:val="000000"/>
        </w:rPr>
        <w:t xml:space="preserve">We invited key </w:t>
      </w:r>
      <w:r>
        <w:rPr>
          <w:rFonts w:cs="Segoe UI"/>
          <w:bCs/>
          <w:color w:val="000000"/>
        </w:rPr>
        <w:t>ARC</w:t>
      </w:r>
      <w:r w:rsidRPr="000E6009">
        <w:rPr>
          <w:rFonts w:cs="Segoe UI"/>
          <w:bCs/>
          <w:color w:val="000000"/>
        </w:rPr>
        <w:t xml:space="preserve"> stakeholders </w:t>
      </w:r>
      <w:r w:rsidR="006C4586">
        <w:rPr>
          <w:rFonts w:cs="Segoe UI"/>
          <w:bCs/>
          <w:color w:val="000000"/>
        </w:rPr>
        <w:t>involved in</w:t>
      </w:r>
      <w:r w:rsidRPr="000E6009">
        <w:rPr>
          <w:rFonts w:cs="Segoe UI"/>
          <w:bCs/>
          <w:color w:val="000000"/>
        </w:rPr>
        <w:t xml:space="preserve"> the COVID-19 response </w:t>
      </w:r>
      <w:r>
        <w:rPr>
          <w:rFonts w:cs="Segoe UI"/>
          <w:bCs/>
          <w:color w:val="000000"/>
        </w:rPr>
        <w:t>to a</w:t>
      </w:r>
      <w:r w:rsidRPr="000E6009">
        <w:rPr>
          <w:rFonts w:cs="Segoe UI"/>
          <w:bCs/>
          <w:color w:val="000000"/>
        </w:rPr>
        <w:t xml:space="preserve"> workshop in </w:t>
      </w:r>
      <w:r w:rsidR="001C343C">
        <w:rPr>
          <w:rFonts w:cs="Segoe UI"/>
          <w:bCs/>
          <w:color w:val="000000"/>
        </w:rPr>
        <w:t xml:space="preserve">Wellington hosted by interRAI New Zealand in </w:t>
      </w:r>
      <w:r w:rsidRPr="000E6009">
        <w:rPr>
          <w:rFonts w:cs="Segoe UI"/>
          <w:bCs/>
          <w:color w:val="000000"/>
        </w:rPr>
        <w:t>August 2023.</w:t>
      </w:r>
      <w:r w:rsidRPr="000E6009">
        <w:t xml:space="preserve"> </w:t>
      </w:r>
      <w:r w:rsidRPr="000E6009">
        <w:rPr>
          <w:rFonts w:cs="Segoe UI"/>
          <w:bCs/>
          <w:color w:val="000000"/>
        </w:rPr>
        <w:t xml:space="preserve">A total of 40 </w:t>
      </w:r>
      <w:r w:rsidR="001C343C">
        <w:rPr>
          <w:rFonts w:cs="Segoe UI"/>
          <w:bCs/>
          <w:color w:val="000000"/>
        </w:rPr>
        <w:t>people</w:t>
      </w:r>
      <w:r w:rsidRPr="000E6009">
        <w:rPr>
          <w:rFonts w:cs="Segoe UI"/>
          <w:bCs/>
          <w:color w:val="000000"/>
        </w:rPr>
        <w:t xml:space="preserve"> attended in-person </w:t>
      </w:r>
      <w:r>
        <w:rPr>
          <w:rFonts w:cs="Segoe UI"/>
          <w:bCs/>
          <w:color w:val="000000"/>
        </w:rPr>
        <w:t>or</w:t>
      </w:r>
      <w:r w:rsidRPr="000E6009">
        <w:rPr>
          <w:rFonts w:cs="Segoe UI"/>
          <w:bCs/>
          <w:color w:val="000000"/>
        </w:rPr>
        <w:t xml:space="preserve"> online.</w:t>
      </w:r>
      <w:r w:rsidR="00592F2C">
        <w:rPr>
          <w:rFonts w:cs="Segoe UI"/>
          <w:bCs/>
          <w:color w:val="000000"/>
        </w:rPr>
        <w:t xml:space="preserve"> Our </w:t>
      </w:r>
      <w:r w:rsidR="001C343C">
        <w:rPr>
          <w:rFonts w:cs="Segoe UI"/>
          <w:bCs/>
          <w:color w:val="000000"/>
        </w:rPr>
        <w:t xml:space="preserve">statistical modelling </w:t>
      </w:r>
      <w:r w:rsidR="00592F2C">
        <w:rPr>
          <w:rFonts w:cs="Segoe UI"/>
          <w:bCs/>
          <w:color w:val="000000"/>
        </w:rPr>
        <w:t xml:space="preserve">suggests exercise, social visits and social participation can have a positive impact on mortality, hospitalisation, falls and aggressive behaviour in ARC during the Delta-Omicron outbreak. We asked the stakeholders how to address </w:t>
      </w:r>
      <w:r w:rsidR="00592F2C" w:rsidRPr="00592F2C">
        <w:rPr>
          <w:rFonts w:cs="Segoe UI"/>
          <w:bCs/>
          <w:color w:val="000000"/>
        </w:rPr>
        <w:t>exercise, social visits</w:t>
      </w:r>
      <w:r w:rsidR="00073C75">
        <w:rPr>
          <w:rFonts w:cs="Segoe UI"/>
          <w:bCs/>
          <w:color w:val="000000"/>
        </w:rPr>
        <w:t>,</w:t>
      </w:r>
      <w:r w:rsidR="00592F2C" w:rsidRPr="00592F2C">
        <w:rPr>
          <w:rFonts w:cs="Segoe UI"/>
          <w:bCs/>
          <w:color w:val="000000"/>
        </w:rPr>
        <w:t xml:space="preserve"> and social participation</w:t>
      </w:r>
      <w:r w:rsidR="00592F2C">
        <w:rPr>
          <w:rFonts w:cs="Segoe UI"/>
          <w:bCs/>
          <w:color w:val="000000"/>
        </w:rPr>
        <w:t xml:space="preserve"> in future pandemic</w:t>
      </w:r>
      <w:r w:rsidR="00BF1EFD">
        <w:rPr>
          <w:rFonts w:cs="Segoe UI"/>
          <w:bCs/>
          <w:color w:val="000000"/>
        </w:rPr>
        <w:t>s</w:t>
      </w:r>
      <w:r w:rsidR="00592F2C">
        <w:rPr>
          <w:rFonts w:cs="Segoe UI"/>
          <w:bCs/>
          <w:color w:val="000000"/>
        </w:rPr>
        <w:t>/lockdown</w:t>
      </w:r>
      <w:r w:rsidR="00BF1EFD">
        <w:rPr>
          <w:rFonts w:cs="Segoe UI"/>
          <w:bCs/>
          <w:color w:val="000000"/>
        </w:rPr>
        <w:t>s</w:t>
      </w:r>
      <w:r w:rsidR="00592F2C">
        <w:rPr>
          <w:rFonts w:cs="Segoe UI"/>
          <w:bCs/>
          <w:color w:val="000000"/>
        </w:rPr>
        <w:t xml:space="preserve">. They suggested the following practical solutions: </w:t>
      </w:r>
    </w:p>
    <w:p w14:paraId="2BF40D11" w14:textId="77777777" w:rsidR="00DB4346" w:rsidRDefault="00DB4346" w:rsidP="00DB4346">
      <w:pPr>
        <w:spacing w:before="0"/>
        <w:jc w:val="both"/>
        <w:rPr>
          <w:rFonts w:cs="Segoe UI"/>
          <w:bCs/>
          <w:color w:val="000000"/>
        </w:rPr>
      </w:pPr>
    </w:p>
    <w:p w14:paraId="7E74E17B" w14:textId="7B3C275B" w:rsidR="00592F2C" w:rsidRPr="00592F2C" w:rsidRDefault="00DB4346" w:rsidP="00DB4346">
      <w:pPr>
        <w:spacing w:before="0"/>
        <w:jc w:val="both"/>
        <w:rPr>
          <w:rFonts w:cs="Segoe UI"/>
          <w:bCs/>
          <w:i/>
          <w:iCs/>
          <w:color w:val="000000"/>
        </w:rPr>
      </w:pPr>
      <w:r>
        <w:rPr>
          <w:rFonts w:cs="Segoe UI"/>
          <w:bCs/>
          <w:i/>
          <w:iCs/>
          <w:color w:val="000000"/>
        </w:rPr>
        <w:t xml:space="preserve">1. </w:t>
      </w:r>
      <w:r w:rsidR="00592F2C" w:rsidRPr="00592F2C">
        <w:rPr>
          <w:rFonts w:cs="Segoe UI"/>
          <w:bCs/>
          <w:i/>
          <w:iCs/>
          <w:color w:val="000000"/>
        </w:rPr>
        <w:t>Social visits and social participation</w:t>
      </w:r>
      <w:r w:rsidR="00592F2C">
        <w:rPr>
          <w:rFonts w:cs="Segoe UI"/>
          <w:bCs/>
          <w:i/>
          <w:iCs/>
          <w:color w:val="000000"/>
        </w:rPr>
        <w:t xml:space="preserve"> during a pandemic</w:t>
      </w:r>
    </w:p>
    <w:p w14:paraId="13BE8184" w14:textId="3FD60804" w:rsidR="00592F2C" w:rsidRPr="00592F2C" w:rsidRDefault="00592F2C" w:rsidP="00DB4346">
      <w:pPr>
        <w:pStyle w:val="ListParagraph"/>
        <w:numPr>
          <w:ilvl w:val="0"/>
          <w:numId w:val="12"/>
        </w:numPr>
        <w:spacing w:before="0"/>
        <w:jc w:val="both"/>
        <w:rPr>
          <w:rFonts w:cs="Segoe UI"/>
          <w:bCs/>
          <w:color w:val="000000"/>
        </w:rPr>
      </w:pPr>
      <w:r w:rsidRPr="00592F2C">
        <w:rPr>
          <w:rFonts w:cs="Segoe UI"/>
          <w:bCs/>
          <w:color w:val="000000"/>
        </w:rPr>
        <w:t>Supporting digital literacy: Encouraging digital literacy among residents was seen as crucial to enable better communication during a crisis</w:t>
      </w:r>
      <w:r w:rsidR="003670B8">
        <w:rPr>
          <w:rFonts w:cs="Segoe UI"/>
          <w:bCs/>
          <w:color w:val="000000"/>
        </w:rPr>
        <w:t xml:space="preserve"> and increas</w:t>
      </w:r>
      <w:r w:rsidR="00F36DEE">
        <w:rPr>
          <w:rFonts w:cs="Segoe UI"/>
          <w:bCs/>
          <w:color w:val="000000"/>
        </w:rPr>
        <w:t>e</w:t>
      </w:r>
      <w:r w:rsidR="003670B8">
        <w:rPr>
          <w:rFonts w:cs="Segoe UI"/>
          <w:bCs/>
          <w:color w:val="000000"/>
        </w:rPr>
        <w:t xml:space="preserve"> options for </w:t>
      </w:r>
      <w:r w:rsidR="0072407B">
        <w:rPr>
          <w:rFonts w:cs="Segoe UI"/>
          <w:bCs/>
          <w:color w:val="000000"/>
        </w:rPr>
        <w:t>interventions such as</w:t>
      </w:r>
      <w:r w:rsidR="003670B8">
        <w:rPr>
          <w:rFonts w:cs="Segoe UI"/>
          <w:bCs/>
          <w:color w:val="000000"/>
        </w:rPr>
        <w:t xml:space="preserve"> tele-physiotherapy</w:t>
      </w:r>
      <w:r w:rsidRPr="00592F2C">
        <w:rPr>
          <w:rFonts w:cs="Segoe UI"/>
          <w:bCs/>
          <w:color w:val="000000"/>
        </w:rPr>
        <w:t>.</w:t>
      </w:r>
    </w:p>
    <w:p w14:paraId="0E7B562F" w14:textId="54AE069B" w:rsidR="00592F2C" w:rsidRPr="00592F2C" w:rsidRDefault="00592F2C" w:rsidP="00DB4346">
      <w:pPr>
        <w:pStyle w:val="ListParagraph"/>
        <w:numPr>
          <w:ilvl w:val="0"/>
          <w:numId w:val="12"/>
        </w:numPr>
        <w:spacing w:before="0"/>
        <w:jc w:val="both"/>
        <w:rPr>
          <w:rFonts w:cs="Segoe UI"/>
          <w:bCs/>
          <w:color w:val="000000"/>
        </w:rPr>
      </w:pPr>
      <w:r w:rsidRPr="00592F2C">
        <w:rPr>
          <w:rFonts w:cs="Segoe UI"/>
          <w:bCs/>
          <w:color w:val="000000"/>
        </w:rPr>
        <w:t>Physical contact assessments: Consideration was given to incorporating questions about physical contact and telecommunication options within assessment tools like interRAI.</w:t>
      </w:r>
    </w:p>
    <w:p w14:paraId="2CA60984" w14:textId="4160C133" w:rsidR="00592F2C" w:rsidRDefault="00592F2C" w:rsidP="00DB4346">
      <w:pPr>
        <w:pStyle w:val="ListParagraph"/>
        <w:numPr>
          <w:ilvl w:val="0"/>
          <w:numId w:val="12"/>
        </w:numPr>
        <w:spacing w:before="0"/>
        <w:jc w:val="both"/>
        <w:rPr>
          <w:rFonts w:cs="Segoe UI"/>
          <w:bCs/>
          <w:color w:val="000000"/>
        </w:rPr>
      </w:pPr>
      <w:r w:rsidRPr="00592F2C">
        <w:rPr>
          <w:rFonts w:cs="Segoe UI"/>
          <w:bCs/>
          <w:color w:val="000000"/>
        </w:rPr>
        <w:t>Targeted support: To ensure all residents benefit from activities, more targeted support</w:t>
      </w:r>
      <w:r w:rsidR="0090320F">
        <w:rPr>
          <w:rFonts w:cs="Segoe UI"/>
          <w:bCs/>
          <w:color w:val="000000"/>
        </w:rPr>
        <w:t xml:space="preserve"> </w:t>
      </w:r>
      <w:r w:rsidR="008B5A5D">
        <w:rPr>
          <w:rFonts w:cs="Segoe UI"/>
          <w:bCs/>
          <w:color w:val="000000"/>
        </w:rPr>
        <w:t xml:space="preserve">personalised for the resident’s level of risk and needs </w:t>
      </w:r>
      <w:r w:rsidR="0090320F">
        <w:rPr>
          <w:rFonts w:cs="Segoe UI"/>
          <w:bCs/>
          <w:color w:val="000000"/>
        </w:rPr>
        <w:t>was suggested</w:t>
      </w:r>
      <w:r w:rsidRPr="00592F2C">
        <w:rPr>
          <w:rFonts w:cs="Segoe UI"/>
          <w:bCs/>
          <w:color w:val="000000"/>
        </w:rPr>
        <w:t>.</w:t>
      </w:r>
    </w:p>
    <w:p w14:paraId="2967B33E" w14:textId="77777777" w:rsidR="00DB4346" w:rsidRPr="00592F2C" w:rsidRDefault="00DB4346" w:rsidP="00DB4346">
      <w:pPr>
        <w:pStyle w:val="ListParagraph"/>
        <w:spacing w:before="0"/>
        <w:ind w:left="360"/>
        <w:jc w:val="both"/>
        <w:rPr>
          <w:rFonts w:cs="Segoe UI"/>
          <w:bCs/>
          <w:color w:val="000000"/>
        </w:rPr>
      </w:pPr>
    </w:p>
    <w:p w14:paraId="771E61EF" w14:textId="47072093" w:rsidR="00592F2C" w:rsidRPr="00592F2C" w:rsidRDefault="00DB4346" w:rsidP="00DB4346">
      <w:pPr>
        <w:spacing w:before="0"/>
        <w:jc w:val="both"/>
        <w:rPr>
          <w:rFonts w:cs="Segoe UI"/>
          <w:bCs/>
          <w:i/>
          <w:iCs/>
          <w:color w:val="000000"/>
        </w:rPr>
      </w:pPr>
      <w:r>
        <w:rPr>
          <w:rFonts w:cs="Segoe UI"/>
          <w:bCs/>
          <w:i/>
          <w:iCs/>
          <w:color w:val="000000"/>
        </w:rPr>
        <w:t xml:space="preserve">2. </w:t>
      </w:r>
      <w:r w:rsidR="00592F2C" w:rsidRPr="00592F2C">
        <w:rPr>
          <w:rFonts w:cs="Segoe UI"/>
          <w:bCs/>
          <w:i/>
          <w:iCs/>
          <w:color w:val="000000"/>
        </w:rPr>
        <w:t xml:space="preserve">Exercise </w:t>
      </w:r>
      <w:r w:rsidR="00592F2C">
        <w:rPr>
          <w:rFonts w:cs="Segoe UI"/>
          <w:bCs/>
          <w:i/>
          <w:iCs/>
          <w:color w:val="000000"/>
        </w:rPr>
        <w:t>p</w:t>
      </w:r>
      <w:r w:rsidR="00592F2C" w:rsidRPr="00592F2C">
        <w:rPr>
          <w:rFonts w:cs="Segoe UI"/>
          <w:bCs/>
          <w:i/>
          <w:iCs/>
          <w:color w:val="000000"/>
        </w:rPr>
        <w:t xml:space="preserve">romotion </w:t>
      </w:r>
      <w:r w:rsidR="00592F2C">
        <w:rPr>
          <w:rFonts w:cs="Segoe UI"/>
          <w:bCs/>
          <w:i/>
          <w:iCs/>
          <w:color w:val="000000"/>
        </w:rPr>
        <w:t>d</w:t>
      </w:r>
      <w:r w:rsidR="00592F2C" w:rsidRPr="00592F2C">
        <w:rPr>
          <w:rFonts w:cs="Segoe UI"/>
          <w:bCs/>
          <w:i/>
          <w:iCs/>
          <w:color w:val="000000"/>
        </w:rPr>
        <w:t xml:space="preserve">uring a </w:t>
      </w:r>
      <w:r w:rsidR="00592F2C">
        <w:rPr>
          <w:rFonts w:cs="Segoe UI"/>
          <w:bCs/>
          <w:i/>
          <w:iCs/>
          <w:color w:val="000000"/>
        </w:rPr>
        <w:t>p</w:t>
      </w:r>
      <w:r w:rsidR="00592F2C" w:rsidRPr="00592F2C">
        <w:rPr>
          <w:rFonts w:cs="Segoe UI"/>
          <w:bCs/>
          <w:i/>
          <w:iCs/>
          <w:color w:val="000000"/>
        </w:rPr>
        <w:t>andemi</w:t>
      </w:r>
      <w:r w:rsidR="00592F2C">
        <w:rPr>
          <w:rFonts w:cs="Segoe UI"/>
          <w:bCs/>
          <w:i/>
          <w:iCs/>
          <w:color w:val="000000"/>
        </w:rPr>
        <w:t>c</w:t>
      </w:r>
    </w:p>
    <w:p w14:paraId="63A00C14" w14:textId="203AE2B5" w:rsidR="00592F2C" w:rsidRPr="00592F2C" w:rsidRDefault="0072407B" w:rsidP="00DB4346">
      <w:pPr>
        <w:pStyle w:val="ListParagraph"/>
        <w:numPr>
          <w:ilvl w:val="0"/>
          <w:numId w:val="13"/>
        </w:numPr>
        <w:spacing w:before="0"/>
        <w:jc w:val="both"/>
        <w:rPr>
          <w:rFonts w:cs="Segoe UI"/>
          <w:bCs/>
          <w:color w:val="000000"/>
        </w:rPr>
      </w:pPr>
      <w:r>
        <w:rPr>
          <w:rFonts w:cs="Segoe UI"/>
          <w:bCs/>
          <w:color w:val="000000"/>
        </w:rPr>
        <w:t>Tele-</w:t>
      </w:r>
      <w:r w:rsidR="00592F2C" w:rsidRPr="00592F2C">
        <w:rPr>
          <w:rFonts w:cs="Segoe UI"/>
          <w:bCs/>
          <w:color w:val="000000"/>
        </w:rPr>
        <w:t>physiotherapy: The feasibility of conducting physiotherapy sessions via platforms like Zoom was suggested to continue exercise routines during lockdowns.</w:t>
      </w:r>
    </w:p>
    <w:p w14:paraId="0DFC37A8" w14:textId="724892D0" w:rsidR="00592F2C" w:rsidRPr="00592F2C" w:rsidRDefault="00592F2C" w:rsidP="00DB4346">
      <w:pPr>
        <w:pStyle w:val="ListParagraph"/>
        <w:numPr>
          <w:ilvl w:val="0"/>
          <w:numId w:val="13"/>
        </w:numPr>
        <w:spacing w:before="0"/>
        <w:jc w:val="both"/>
        <w:rPr>
          <w:rFonts w:cs="Segoe UI"/>
          <w:bCs/>
          <w:color w:val="000000"/>
        </w:rPr>
      </w:pPr>
      <w:r w:rsidRPr="00592F2C">
        <w:rPr>
          <w:rFonts w:cs="Segoe UI"/>
          <w:bCs/>
          <w:color w:val="000000"/>
        </w:rPr>
        <w:t>Learning and adapting: Participants highlighted the importance of learning from newly established processes during the pandemic, emphasising adaptability.</w:t>
      </w:r>
    </w:p>
    <w:p w14:paraId="79081F24" w14:textId="5DF003B9" w:rsidR="00592F2C" w:rsidRDefault="003670B8" w:rsidP="00DB4346">
      <w:pPr>
        <w:pStyle w:val="ListParagraph"/>
        <w:numPr>
          <w:ilvl w:val="0"/>
          <w:numId w:val="13"/>
        </w:numPr>
        <w:spacing w:before="0"/>
        <w:jc w:val="both"/>
        <w:rPr>
          <w:rFonts w:cs="Segoe UI"/>
          <w:bCs/>
          <w:color w:val="000000"/>
        </w:rPr>
      </w:pPr>
      <w:r>
        <w:rPr>
          <w:rFonts w:cs="Segoe UI"/>
          <w:bCs/>
          <w:color w:val="000000"/>
        </w:rPr>
        <w:lastRenderedPageBreak/>
        <w:t>Engaging wider support networks</w:t>
      </w:r>
      <w:r w:rsidRPr="00592F2C">
        <w:rPr>
          <w:rFonts w:cs="Segoe UI"/>
          <w:bCs/>
          <w:color w:val="000000"/>
        </w:rPr>
        <w:t xml:space="preserve"> </w:t>
      </w:r>
      <w:r w:rsidR="00592F2C" w:rsidRPr="00592F2C">
        <w:rPr>
          <w:rFonts w:cs="Segoe UI"/>
          <w:bCs/>
          <w:color w:val="000000"/>
        </w:rPr>
        <w:t>for exercise: Family members assistance with exercise routine was proposed as an innovative way to encourage exercise.</w:t>
      </w:r>
    </w:p>
    <w:p w14:paraId="5FFC0474" w14:textId="77777777" w:rsidR="00073C75" w:rsidRPr="00592F2C" w:rsidRDefault="00073C75" w:rsidP="00DB4346">
      <w:pPr>
        <w:pStyle w:val="ListParagraph"/>
        <w:spacing w:before="0"/>
        <w:ind w:left="360"/>
        <w:jc w:val="both"/>
        <w:rPr>
          <w:rFonts w:cs="Segoe UI"/>
          <w:bCs/>
          <w:color w:val="000000"/>
        </w:rPr>
      </w:pPr>
    </w:p>
    <w:p w14:paraId="536F7DFA" w14:textId="77777777" w:rsidR="00CE362F" w:rsidRDefault="00CE362F" w:rsidP="00DB4346">
      <w:pPr>
        <w:pStyle w:val="Heading2"/>
        <w:spacing w:before="0" w:after="0"/>
        <w:jc w:val="both"/>
      </w:pPr>
      <w:r>
        <w:t xml:space="preserve">What considerations need to be </w:t>
      </w:r>
      <w:proofErr w:type="gramStart"/>
      <w:r>
        <w:t>taken into account</w:t>
      </w:r>
      <w:proofErr w:type="gramEnd"/>
      <w:r>
        <w:t xml:space="preserve"> when implementing the solutions?</w:t>
      </w:r>
    </w:p>
    <w:p w14:paraId="0B8D7149" w14:textId="1481C0CD" w:rsidR="00EB431D" w:rsidRDefault="00073C75" w:rsidP="00DB4346">
      <w:pPr>
        <w:spacing w:before="0"/>
        <w:jc w:val="both"/>
      </w:pPr>
      <w:r>
        <w:t>Our w</w:t>
      </w:r>
      <w:r w:rsidR="00EB431D">
        <w:t xml:space="preserve">orkshop participants suggested the following issues </w:t>
      </w:r>
      <w:r w:rsidR="00CC022B">
        <w:t>be considered</w:t>
      </w:r>
      <w:r w:rsidR="00EB431D">
        <w:t xml:space="preserve"> when implementing the above solutions:</w:t>
      </w:r>
    </w:p>
    <w:p w14:paraId="3D3A9FC5" w14:textId="77777777" w:rsidR="00073C75" w:rsidRDefault="00073C75" w:rsidP="00DB4346">
      <w:pPr>
        <w:spacing w:before="0"/>
        <w:jc w:val="both"/>
      </w:pPr>
    </w:p>
    <w:p w14:paraId="71F21D49" w14:textId="5017D45C" w:rsidR="00AC4773" w:rsidRDefault="00AC4773" w:rsidP="00DB4346">
      <w:pPr>
        <w:spacing w:before="0"/>
        <w:jc w:val="both"/>
      </w:pPr>
      <w:r w:rsidRPr="00AC4773">
        <w:t xml:space="preserve">1. Structural </w:t>
      </w:r>
      <w:r w:rsidR="00073C75">
        <w:t>w</w:t>
      </w:r>
      <w:r w:rsidRPr="00AC4773">
        <w:t xml:space="preserve">eaknesses: </w:t>
      </w:r>
      <w:r w:rsidR="00073C75">
        <w:t>R</w:t>
      </w:r>
      <w:r w:rsidRPr="00AC4773">
        <w:t xml:space="preserve">epresentation and </w:t>
      </w:r>
      <w:r w:rsidR="00073C75">
        <w:t>t</w:t>
      </w:r>
      <w:r w:rsidRPr="00AC4773">
        <w:t>rust</w:t>
      </w:r>
    </w:p>
    <w:p w14:paraId="705A5B73" w14:textId="2C4F9D54" w:rsidR="00AC4773" w:rsidRDefault="00AC4773" w:rsidP="00DB4346">
      <w:pPr>
        <w:pStyle w:val="ListParagraph"/>
        <w:numPr>
          <w:ilvl w:val="0"/>
          <w:numId w:val="15"/>
        </w:numPr>
        <w:spacing w:before="0"/>
        <w:jc w:val="both"/>
      </w:pPr>
      <w:r>
        <w:t xml:space="preserve">Concerns about insufficient consultation </w:t>
      </w:r>
      <w:r w:rsidR="003670B8">
        <w:t xml:space="preserve">with </w:t>
      </w:r>
      <w:r>
        <w:t>and representation in the long-term care system.</w:t>
      </w:r>
    </w:p>
    <w:p w14:paraId="55733433" w14:textId="61EEF421" w:rsidR="00AC4773" w:rsidRDefault="00AC4773" w:rsidP="00DB4346">
      <w:pPr>
        <w:pStyle w:val="ListParagraph"/>
        <w:numPr>
          <w:ilvl w:val="0"/>
          <w:numId w:val="15"/>
        </w:numPr>
        <w:spacing w:before="0"/>
        <w:jc w:val="both"/>
      </w:pPr>
      <w:r>
        <w:t>Disconnect between District Health Boards/Te Whatu Ora and ARC facilities.</w:t>
      </w:r>
    </w:p>
    <w:p w14:paraId="3FA6783F" w14:textId="77777777" w:rsidR="00AC4773" w:rsidRDefault="00AC4773" w:rsidP="00DB4346">
      <w:pPr>
        <w:pStyle w:val="ListParagraph"/>
        <w:numPr>
          <w:ilvl w:val="0"/>
          <w:numId w:val="15"/>
        </w:numPr>
        <w:spacing w:before="0"/>
        <w:jc w:val="both"/>
      </w:pPr>
      <w:r>
        <w:t>Trust issues, especially in procuring personal protective equipment (PPE).</w:t>
      </w:r>
    </w:p>
    <w:p w14:paraId="253648D6" w14:textId="77777777" w:rsidR="00073C75" w:rsidRDefault="00073C75" w:rsidP="00DB4346">
      <w:pPr>
        <w:pStyle w:val="ListParagraph"/>
        <w:spacing w:before="0"/>
        <w:ind w:left="360"/>
        <w:jc w:val="both"/>
      </w:pPr>
    </w:p>
    <w:p w14:paraId="2889F6C1" w14:textId="24E979B3" w:rsidR="00AC4773" w:rsidRDefault="00AC4773" w:rsidP="00DB4346">
      <w:pPr>
        <w:spacing w:before="0"/>
        <w:jc w:val="both"/>
      </w:pPr>
      <w:r w:rsidRPr="00AC4773">
        <w:t xml:space="preserve">2. Policy </w:t>
      </w:r>
      <w:r w:rsidR="00073C75">
        <w:t>c</w:t>
      </w:r>
      <w:r w:rsidRPr="00AC4773">
        <w:t xml:space="preserve">hanges </w:t>
      </w:r>
      <w:r w:rsidR="00073C75">
        <w:t>i</w:t>
      </w:r>
      <w:r w:rsidRPr="00AC4773">
        <w:t xml:space="preserve">mplemented: Challenges and </w:t>
      </w:r>
      <w:r w:rsidR="00073C75">
        <w:t>b</w:t>
      </w:r>
      <w:r w:rsidRPr="00AC4773">
        <w:t>urdens</w:t>
      </w:r>
    </w:p>
    <w:p w14:paraId="4FCC12B8" w14:textId="4C95275B" w:rsidR="00AC4773" w:rsidRDefault="00AC4773" w:rsidP="00DB4346">
      <w:pPr>
        <w:pStyle w:val="ListParagraph"/>
        <w:numPr>
          <w:ilvl w:val="0"/>
          <w:numId w:val="16"/>
        </w:numPr>
        <w:spacing w:before="0"/>
        <w:jc w:val="both"/>
      </w:pPr>
      <w:r>
        <w:t xml:space="preserve">Challenges in adapting policies to the unique needs of </w:t>
      </w:r>
      <w:r w:rsidR="009E3346">
        <w:t xml:space="preserve">individual </w:t>
      </w:r>
      <w:r w:rsidR="003670B8">
        <w:t>ARC</w:t>
      </w:r>
      <w:r w:rsidR="009E3346">
        <w:t xml:space="preserve"> facilities</w:t>
      </w:r>
      <w:r>
        <w:t>.</w:t>
      </w:r>
    </w:p>
    <w:p w14:paraId="62F6F70E" w14:textId="696E3D0E" w:rsidR="00AC4773" w:rsidRDefault="00AC4773" w:rsidP="00DB4346">
      <w:pPr>
        <w:pStyle w:val="ListParagraph"/>
        <w:numPr>
          <w:ilvl w:val="0"/>
          <w:numId w:val="16"/>
        </w:numPr>
        <w:spacing w:before="0"/>
        <w:jc w:val="both"/>
      </w:pPr>
      <w:r>
        <w:t>Some policies were not suitable for residents with dementia.</w:t>
      </w:r>
    </w:p>
    <w:p w14:paraId="3770C89A" w14:textId="77777777" w:rsidR="00AC4773" w:rsidRDefault="00AC4773" w:rsidP="00DB4346">
      <w:pPr>
        <w:pStyle w:val="ListParagraph"/>
        <w:numPr>
          <w:ilvl w:val="0"/>
          <w:numId w:val="16"/>
        </w:numPr>
        <w:spacing w:before="0"/>
        <w:jc w:val="both"/>
      </w:pPr>
      <w:r>
        <w:t>Burdensome auditing and financial challenges, especially for independently owned ARC facilities.</w:t>
      </w:r>
    </w:p>
    <w:p w14:paraId="7CCC80BA" w14:textId="77777777" w:rsidR="00AC4773" w:rsidRDefault="00AC4773" w:rsidP="00DB4346">
      <w:pPr>
        <w:pStyle w:val="ListParagraph"/>
        <w:numPr>
          <w:ilvl w:val="0"/>
          <w:numId w:val="16"/>
        </w:numPr>
        <w:spacing w:before="0"/>
        <w:jc w:val="both"/>
      </w:pPr>
      <w:r>
        <w:t>Practical challenges in implementing isolation policies.</w:t>
      </w:r>
    </w:p>
    <w:p w14:paraId="5B76D6FB" w14:textId="77777777" w:rsidR="00073C75" w:rsidRDefault="00073C75" w:rsidP="00DB4346">
      <w:pPr>
        <w:pStyle w:val="ListParagraph"/>
        <w:spacing w:before="0"/>
        <w:ind w:left="360"/>
        <w:jc w:val="both"/>
      </w:pPr>
    </w:p>
    <w:p w14:paraId="7FB8517C" w14:textId="3AE0263B" w:rsidR="00AC4773" w:rsidRDefault="00AC4773" w:rsidP="00DB4346">
      <w:pPr>
        <w:spacing w:before="0"/>
        <w:jc w:val="both"/>
      </w:pPr>
      <w:r w:rsidRPr="00AC4773">
        <w:t xml:space="preserve">3. Ongoing </w:t>
      </w:r>
      <w:r w:rsidR="00073C75">
        <w:t>p</w:t>
      </w:r>
      <w:r w:rsidRPr="00AC4773">
        <w:t xml:space="preserve">olicy </w:t>
      </w:r>
      <w:r w:rsidR="00073C75">
        <w:t>c</w:t>
      </w:r>
      <w:r w:rsidRPr="00AC4773">
        <w:t>hanges/</w:t>
      </w:r>
      <w:r w:rsidR="00073C75">
        <w:t>r</w:t>
      </w:r>
      <w:r w:rsidRPr="00AC4773">
        <w:t xml:space="preserve">eforms: Learning and </w:t>
      </w:r>
      <w:r w:rsidR="00073C75">
        <w:t>n</w:t>
      </w:r>
      <w:r w:rsidRPr="00AC4773">
        <w:t xml:space="preserve">ational </w:t>
      </w:r>
      <w:r w:rsidR="00073C75">
        <w:t>p</w:t>
      </w:r>
      <w:r w:rsidRPr="00AC4773">
        <w:t>olicy</w:t>
      </w:r>
    </w:p>
    <w:p w14:paraId="5D1B076B" w14:textId="77777777" w:rsidR="00AC4773" w:rsidRDefault="00AC4773" w:rsidP="00DB4346">
      <w:pPr>
        <w:pStyle w:val="ListParagraph"/>
        <w:numPr>
          <w:ilvl w:val="0"/>
          <w:numId w:val="17"/>
        </w:numPr>
        <w:spacing w:before="0"/>
        <w:jc w:val="both"/>
      </w:pPr>
      <w:r>
        <w:t>Need for adaptable pandemic planning based on lessons learned.</w:t>
      </w:r>
    </w:p>
    <w:p w14:paraId="70F879FF" w14:textId="4E59A77A" w:rsidR="00AC4773" w:rsidRDefault="00AC4773" w:rsidP="00DB4346">
      <w:pPr>
        <w:pStyle w:val="ListParagraph"/>
        <w:numPr>
          <w:ilvl w:val="0"/>
          <w:numId w:val="17"/>
        </w:numPr>
        <w:spacing w:before="0"/>
        <w:jc w:val="both"/>
      </w:pPr>
      <w:r>
        <w:t xml:space="preserve">Learning from other countries </w:t>
      </w:r>
      <w:r w:rsidR="00186531">
        <w:t xml:space="preserve">or facilities </w:t>
      </w:r>
      <w:r>
        <w:t>while addressing uncertainties.</w:t>
      </w:r>
    </w:p>
    <w:p w14:paraId="076D1B95" w14:textId="6D7E7046" w:rsidR="00AC4773" w:rsidRDefault="00AC4773" w:rsidP="00DB4346">
      <w:pPr>
        <w:pStyle w:val="ListParagraph"/>
        <w:numPr>
          <w:ilvl w:val="0"/>
          <w:numId w:val="17"/>
        </w:numPr>
        <w:spacing w:before="0"/>
        <w:jc w:val="both"/>
      </w:pPr>
      <w:r>
        <w:t>Balancing resident</w:t>
      </w:r>
      <w:r w:rsidR="003670B8">
        <w:t xml:space="preserve"> social</w:t>
      </w:r>
      <w:r>
        <w:t xml:space="preserve"> connections with protective measures.</w:t>
      </w:r>
    </w:p>
    <w:p w14:paraId="749FBB26" w14:textId="77777777" w:rsidR="00073C75" w:rsidRDefault="00073C75" w:rsidP="00DB4346">
      <w:pPr>
        <w:pStyle w:val="ListParagraph"/>
        <w:spacing w:before="0"/>
        <w:ind w:left="360"/>
        <w:jc w:val="both"/>
      </w:pPr>
    </w:p>
    <w:p w14:paraId="32A8B127" w14:textId="62CF6EA0" w:rsidR="00AC4773" w:rsidRDefault="00AC4773" w:rsidP="00DB4346">
      <w:pPr>
        <w:spacing w:before="0"/>
        <w:jc w:val="both"/>
      </w:pPr>
      <w:r w:rsidRPr="00AC4773">
        <w:t xml:space="preserve">4. Factors </w:t>
      </w:r>
      <w:r w:rsidR="00073C75">
        <w:t>a</w:t>
      </w:r>
      <w:r w:rsidRPr="00AC4773">
        <w:t xml:space="preserve">ffecting </w:t>
      </w:r>
      <w:r w:rsidR="00073C75">
        <w:t>p</w:t>
      </w:r>
      <w:r w:rsidRPr="00AC4773">
        <w:t xml:space="preserve">olicy </w:t>
      </w:r>
      <w:r w:rsidR="00073C75">
        <w:t>a</w:t>
      </w:r>
      <w:r w:rsidRPr="00AC4773">
        <w:t xml:space="preserve">doption: Staff </w:t>
      </w:r>
      <w:r w:rsidR="00073C75">
        <w:t>t</w:t>
      </w:r>
      <w:r w:rsidRPr="00AC4773">
        <w:t xml:space="preserve">urnover and </w:t>
      </w:r>
      <w:r w:rsidR="00073C75">
        <w:t>t</w:t>
      </w:r>
      <w:r w:rsidRPr="00AC4773">
        <w:t>raining</w:t>
      </w:r>
    </w:p>
    <w:p w14:paraId="0CA0E6BC" w14:textId="77777777" w:rsidR="00AC4773" w:rsidRDefault="00AC4773" w:rsidP="00DB4346">
      <w:pPr>
        <w:pStyle w:val="ListParagraph"/>
        <w:numPr>
          <w:ilvl w:val="0"/>
          <w:numId w:val="18"/>
        </w:numPr>
        <w:spacing w:before="0"/>
        <w:jc w:val="both"/>
      </w:pPr>
      <w:r>
        <w:t>High staff turnover disrupts policy implementation.</w:t>
      </w:r>
    </w:p>
    <w:p w14:paraId="13C06B4E" w14:textId="77777777" w:rsidR="00AC4773" w:rsidRDefault="00AC4773" w:rsidP="00DB4346">
      <w:pPr>
        <w:pStyle w:val="ListParagraph"/>
        <w:numPr>
          <w:ilvl w:val="0"/>
          <w:numId w:val="18"/>
        </w:numPr>
        <w:spacing w:before="0"/>
        <w:jc w:val="both"/>
      </w:pPr>
      <w:r>
        <w:t>Importance of staff understanding and training.</w:t>
      </w:r>
    </w:p>
    <w:p w14:paraId="57E13ADE" w14:textId="77777777" w:rsidR="00AC4773" w:rsidRDefault="00AC4773" w:rsidP="00DB4346">
      <w:pPr>
        <w:pStyle w:val="ListParagraph"/>
        <w:numPr>
          <w:ilvl w:val="0"/>
          <w:numId w:val="18"/>
        </w:numPr>
        <w:spacing w:before="0"/>
        <w:jc w:val="both"/>
      </w:pPr>
      <w:r>
        <w:t>Manager-staff relationships influence policy adoption.</w:t>
      </w:r>
    </w:p>
    <w:p w14:paraId="4B1CA657" w14:textId="77777777" w:rsidR="00073C75" w:rsidRDefault="00073C75" w:rsidP="00DB4346">
      <w:pPr>
        <w:pStyle w:val="ListParagraph"/>
        <w:spacing w:before="0"/>
        <w:ind w:left="360"/>
        <w:jc w:val="both"/>
      </w:pPr>
    </w:p>
    <w:p w14:paraId="640DB9C6" w14:textId="6FAE365C" w:rsidR="00AC4773" w:rsidRDefault="00AC4773" w:rsidP="00DB4346">
      <w:pPr>
        <w:spacing w:before="0"/>
        <w:jc w:val="both"/>
      </w:pPr>
      <w:r w:rsidRPr="00AC4773">
        <w:t xml:space="preserve">5. </w:t>
      </w:r>
      <w:r>
        <w:t>i</w:t>
      </w:r>
      <w:r w:rsidRPr="00AC4773">
        <w:t xml:space="preserve">nterRAI </w:t>
      </w:r>
      <w:r w:rsidR="00073C75">
        <w:t>d</w:t>
      </w:r>
      <w:r w:rsidRPr="00AC4773">
        <w:t xml:space="preserve">ata and </w:t>
      </w:r>
      <w:r w:rsidR="00073C75">
        <w:t>p</w:t>
      </w:r>
      <w:r w:rsidRPr="00AC4773">
        <w:t xml:space="preserve">olicy </w:t>
      </w:r>
      <w:r w:rsidR="00073C75">
        <w:t>i</w:t>
      </w:r>
      <w:r w:rsidRPr="00AC4773">
        <w:t xml:space="preserve">mpact: Simplification and </w:t>
      </w:r>
      <w:r w:rsidR="00073C75">
        <w:t>p</w:t>
      </w:r>
      <w:r w:rsidRPr="00AC4773">
        <w:t>artnership</w:t>
      </w:r>
    </w:p>
    <w:p w14:paraId="7D9CD43E" w14:textId="1D67F3CB" w:rsidR="00AC4773" w:rsidRDefault="0072407B" w:rsidP="00DB4346">
      <w:pPr>
        <w:pStyle w:val="ListParagraph"/>
        <w:numPr>
          <w:ilvl w:val="0"/>
          <w:numId w:val="19"/>
        </w:numPr>
        <w:spacing w:before="0"/>
        <w:jc w:val="both"/>
      </w:pPr>
      <w:r>
        <w:t>Tailoring</w:t>
      </w:r>
      <w:r w:rsidR="00AC4773">
        <w:t xml:space="preserve"> interRAI data use for policymaking.</w:t>
      </w:r>
    </w:p>
    <w:p w14:paraId="04873D45" w14:textId="33BBD978" w:rsidR="00AC4773" w:rsidRDefault="0072407B" w:rsidP="00DB4346">
      <w:pPr>
        <w:pStyle w:val="ListParagraph"/>
        <w:numPr>
          <w:ilvl w:val="0"/>
          <w:numId w:val="19"/>
        </w:numPr>
        <w:spacing w:before="0"/>
        <w:jc w:val="both"/>
      </w:pPr>
      <w:r>
        <w:t>Enhanced</w:t>
      </w:r>
      <w:r w:rsidR="00AC4773">
        <w:t xml:space="preserve"> collaboration between interRAI New Zealand and ARC </w:t>
      </w:r>
      <w:r w:rsidR="003670B8">
        <w:t>to improve data quality and utility</w:t>
      </w:r>
      <w:r w:rsidR="00AC4773">
        <w:t>.</w:t>
      </w:r>
    </w:p>
    <w:p w14:paraId="2C4B00AE" w14:textId="77777777" w:rsidR="00073C75" w:rsidRDefault="00073C75" w:rsidP="00DB4346">
      <w:pPr>
        <w:pStyle w:val="ListParagraph"/>
        <w:spacing w:before="0"/>
        <w:ind w:left="360"/>
        <w:jc w:val="both"/>
      </w:pPr>
    </w:p>
    <w:p w14:paraId="49E60E21" w14:textId="64E2400E" w:rsidR="00AC4773" w:rsidRDefault="00AC4773" w:rsidP="00DB4346">
      <w:pPr>
        <w:spacing w:before="0"/>
        <w:jc w:val="both"/>
      </w:pPr>
      <w:bookmarkStart w:id="2" w:name="_Hlk147489540"/>
      <w:r w:rsidRPr="00AC4773">
        <w:t xml:space="preserve">6. Flexible </w:t>
      </w:r>
      <w:r w:rsidR="00073C75">
        <w:t>p</w:t>
      </w:r>
      <w:r w:rsidRPr="00AC4773">
        <w:t xml:space="preserve">olicies for </w:t>
      </w:r>
      <w:r w:rsidR="00073C75">
        <w:t>l</w:t>
      </w:r>
      <w:r w:rsidRPr="00AC4773">
        <w:t>ocal/</w:t>
      </w:r>
      <w:r w:rsidR="00073C75">
        <w:t>r</w:t>
      </w:r>
      <w:r w:rsidRPr="00AC4773">
        <w:t xml:space="preserve">egional </w:t>
      </w:r>
      <w:r w:rsidR="00073C75">
        <w:t>n</w:t>
      </w:r>
      <w:r w:rsidRPr="00AC4773">
        <w:t xml:space="preserve">eeds: Adaptation and </w:t>
      </w:r>
      <w:r w:rsidR="00073C75">
        <w:t>n</w:t>
      </w:r>
      <w:r w:rsidRPr="00AC4773">
        <w:t>uance</w:t>
      </w:r>
    </w:p>
    <w:bookmarkEnd w:id="2"/>
    <w:p w14:paraId="19B8E9C6" w14:textId="386EB73E" w:rsidR="00AC4773" w:rsidRDefault="00AC4773" w:rsidP="00DB4346">
      <w:pPr>
        <w:pStyle w:val="ListParagraph"/>
        <w:numPr>
          <w:ilvl w:val="0"/>
          <w:numId w:val="20"/>
        </w:numPr>
        <w:spacing w:before="0"/>
        <w:jc w:val="both"/>
      </w:pPr>
      <w:r>
        <w:t>Adapting policies to local conditions and prevalence rates</w:t>
      </w:r>
      <w:r w:rsidR="003670B8">
        <w:t>/presence of infection in the community</w:t>
      </w:r>
      <w:r>
        <w:t>.</w:t>
      </w:r>
    </w:p>
    <w:p w14:paraId="65ED05FA" w14:textId="77777777" w:rsidR="00AC4773" w:rsidRDefault="00AC4773" w:rsidP="00DB4346">
      <w:pPr>
        <w:pStyle w:val="ListParagraph"/>
        <w:numPr>
          <w:ilvl w:val="0"/>
          <w:numId w:val="20"/>
        </w:numPr>
        <w:spacing w:before="0"/>
        <w:jc w:val="both"/>
      </w:pPr>
      <w:r>
        <w:t>Considering regional forecasts for context-specific responses.</w:t>
      </w:r>
    </w:p>
    <w:p w14:paraId="2948D1C4" w14:textId="77777777" w:rsidR="00073C75" w:rsidRDefault="00073C75" w:rsidP="00DB4346">
      <w:pPr>
        <w:pStyle w:val="ListParagraph"/>
        <w:spacing w:before="0"/>
        <w:ind w:left="360"/>
        <w:jc w:val="both"/>
      </w:pPr>
    </w:p>
    <w:p w14:paraId="4B9B59CD" w14:textId="77777777" w:rsidR="00B96543" w:rsidRDefault="00EB431D" w:rsidP="00DB4346">
      <w:pPr>
        <w:spacing w:before="0"/>
        <w:jc w:val="both"/>
        <w:rPr>
          <w:i/>
          <w:iCs/>
        </w:rPr>
      </w:pPr>
      <w:r>
        <w:rPr>
          <w:i/>
          <w:iCs/>
        </w:rPr>
        <w:t xml:space="preserve">7. </w:t>
      </w:r>
      <w:r w:rsidR="00592F2C" w:rsidRPr="00EB431D">
        <w:rPr>
          <w:i/>
          <w:iCs/>
        </w:rPr>
        <w:t>Consideration for Māori</w:t>
      </w:r>
      <w:r w:rsidRPr="00EB431D">
        <w:rPr>
          <w:i/>
          <w:iCs/>
        </w:rPr>
        <w:t>, Pacific and Asian ARC residents and their wh</w:t>
      </w:r>
      <w:r w:rsidR="003670B8">
        <w:rPr>
          <w:i/>
          <w:iCs/>
        </w:rPr>
        <w:t>ā</w:t>
      </w:r>
      <w:r w:rsidRPr="00EB431D">
        <w:rPr>
          <w:i/>
          <w:iCs/>
        </w:rPr>
        <w:t>nau</w:t>
      </w:r>
    </w:p>
    <w:p w14:paraId="25D09B13" w14:textId="731930E5" w:rsidR="003670B8" w:rsidRDefault="003670B8" w:rsidP="00DB4346">
      <w:pPr>
        <w:pStyle w:val="ListParagraph"/>
        <w:numPr>
          <w:ilvl w:val="0"/>
          <w:numId w:val="21"/>
        </w:numPr>
        <w:spacing w:before="0"/>
        <w:jc w:val="both"/>
      </w:pPr>
      <w:r>
        <w:t>The ethnicity composition in ARC does not reflect the general population in N</w:t>
      </w:r>
      <w:r w:rsidR="00B96543">
        <w:t xml:space="preserve">ew </w:t>
      </w:r>
      <w:r>
        <w:t>Z</w:t>
      </w:r>
      <w:r w:rsidR="00B96543">
        <w:t>ealand</w:t>
      </w:r>
      <w:r>
        <w:t>, with lower proportions of ethnic minorities. Results based on interRAI data alone may have limitations due to the following:</w:t>
      </w:r>
    </w:p>
    <w:p w14:paraId="7504E6B2" w14:textId="6E8A522F" w:rsidR="003670B8" w:rsidRDefault="003670B8" w:rsidP="00DB4346">
      <w:pPr>
        <w:pStyle w:val="ListParagraph"/>
        <w:numPr>
          <w:ilvl w:val="0"/>
          <w:numId w:val="22"/>
        </w:numPr>
        <w:spacing w:before="0"/>
        <w:ind w:left="720"/>
        <w:jc w:val="both"/>
      </w:pPr>
      <w:r>
        <w:t xml:space="preserve">Low number in ethnic minority groups </w:t>
      </w:r>
      <w:r w:rsidR="008570FC">
        <w:t xml:space="preserve">means there is </w:t>
      </w:r>
      <w:r w:rsidR="00D2557D">
        <w:t xml:space="preserve">not </w:t>
      </w:r>
      <w:r w:rsidR="00223952">
        <w:t>enough statistical</w:t>
      </w:r>
      <w:r w:rsidR="008570FC">
        <w:t xml:space="preserve"> power to </w:t>
      </w:r>
      <w:r w:rsidR="00223952">
        <w:t>examine</w:t>
      </w:r>
      <w:r w:rsidR="008570FC">
        <w:t xml:space="preserve"> associations, </w:t>
      </w:r>
      <w:r w:rsidR="00223952">
        <w:t>effects,</w:t>
      </w:r>
      <w:r w:rsidR="008570FC">
        <w:t xml:space="preserve"> or variations appropriately.</w:t>
      </w:r>
    </w:p>
    <w:p w14:paraId="6AA69BE4" w14:textId="029DE007" w:rsidR="00454832" w:rsidRPr="000034A8" w:rsidRDefault="00223952" w:rsidP="006D58AF">
      <w:pPr>
        <w:pStyle w:val="ListParagraph"/>
        <w:numPr>
          <w:ilvl w:val="0"/>
          <w:numId w:val="22"/>
        </w:numPr>
        <w:spacing w:before="0" w:after="160" w:line="259" w:lineRule="auto"/>
        <w:ind w:left="720"/>
        <w:jc w:val="both"/>
      </w:pPr>
      <w:r>
        <w:t>A</w:t>
      </w:r>
      <w:r w:rsidRPr="00223952">
        <w:t>ssessment tools, such as interRAI, are often designed with broad populations in mind and may not take into account the specific cultural, linguistic, or social nuances of ethnic minority groups. Additionally, the validity of these tools can be influenced by education levels. For instance, questions or scenarios presented within such tools might be interpreted differently by individuals with varying educational backgrounds or those unfamiliar with certain cultural references. This potential disparity raises concerns about the reliability of the results when applied to diverse populations.</w:t>
      </w:r>
      <w:r>
        <w:t xml:space="preserve"> </w:t>
      </w:r>
      <w:r w:rsidR="003670B8">
        <w:t>Ethnicity data within the Asian and Pacific populations are diverse, and language barriers, especially for those with English as a second language, can further complicate care.</w:t>
      </w:r>
    </w:p>
    <w:sectPr w:rsidR="00454832" w:rsidRPr="000034A8" w:rsidSect="00B6348E">
      <w:footerReference w:type="default" r:id="rId21"/>
      <w:pgSz w:w="11907" w:h="16834" w:code="9"/>
      <w:pgMar w:top="851" w:right="1134" w:bottom="851" w:left="1134" w:header="28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077C9" w14:textId="77777777" w:rsidR="00255348" w:rsidRDefault="00255348" w:rsidP="009B34A8">
      <w:pPr>
        <w:spacing w:before="0" w:line="240" w:lineRule="auto"/>
      </w:pPr>
      <w:r>
        <w:separator/>
      </w:r>
    </w:p>
  </w:endnote>
  <w:endnote w:type="continuationSeparator" w:id="0">
    <w:p w14:paraId="401E2719" w14:textId="77777777" w:rsidR="00255348" w:rsidRDefault="00255348" w:rsidP="009B34A8">
      <w:pPr>
        <w:spacing w:before="0" w:line="240" w:lineRule="auto"/>
      </w:pPr>
      <w:r>
        <w:continuationSeparator/>
      </w:r>
    </w:p>
  </w:endnote>
  <w:endnote w:type="continuationNotice" w:id="1">
    <w:p w14:paraId="18679B9E" w14:textId="77777777" w:rsidR="00255348" w:rsidRDefault="0025534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5688" w14:textId="77777777" w:rsidR="00CE362F" w:rsidRDefault="00CE3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8748" w14:textId="77777777" w:rsidR="00CE362F" w:rsidRPr="00B9660F" w:rsidRDefault="00CE362F" w:rsidP="00A230A7">
    <w:pPr>
      <w:pStyle w:val="Footer"/>
      <w:tabs>
        <w:tab w:val="right" w:pos="9355"/>
      </w:tabs>
      <w:rPr>
        <w:b/>
      </w:rPr>
    </w:pPr>
    <w:r w:rsidRPr="00B9660F">
      <w:rPr>
        <w:b/>
      </w:rPr>
      <w:tab/>
      <w:t>health.govt.nz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580E" w14:textId="77777777" w:rsidR="00CE362F" w:rsidRDefault="00CE36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6063" w14:textId="77777777" w:rsidR="00CE362F" w:rsidRDefault="00CE362F" w:rsidP="00593E39">
    <w:pPr>
      <w:pStyle w:val="RectoFooter"/>
      <w:tabs>
        <w:tab w:val="left" w:pos="284"/>
      </w:tabs>
    </w:pPr>
    <w:r>
      <w:tab/>
      <w:t xml:space="preserve">Final report summary: </w:t>
    </w:r>
    <w:r w:rsidRPr="00F94476">
      <w:t>COVID-19 and National Immunisation Programme research</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7C2C" w14:textId="05307905" w:rsidR="00171228" w:rsidRDefault="009B3258" w:rsidP="00171228">
    <w:pPr>
      <w:pStyle w:val="RectoFooter"/>
      <w:tabs>
        <w:tab w:val="clear" w:pos="8647"/>
        <w:tab w:val="clear" w:pos="9356"/>
        <w:tab w:val="left" w:pos="284"/>
        <w:tab w:val="left" w:pos="13892"/>
      </w:tabs>
    </w:pPr>
    <w:r>
      <w:t>Final</w:t>
    </w:r>
    <w:r w:rsidR="00171228">
      <w:t xml:space="preserve"> report</w:t>
    </w:r>
    <w:r>
      <w:t xml:space="preserve"> </w:t>
    </w:r>
    <w:r w:rsidR="00B01F25">
      <w:t>summary</w:t>
    </w:r>
    <w:r w:rsidR="00171228">
      <w:t xml:space="preserve">: </w:t>
    </w:r>
    <w:r w:rsidR="00171228" w:rsidRPr="00F94476">
      <w:t>COVID-19 and National Immunisation Programme research</w:t>
    </w:r>
    <w:r w:rsidR="00171228">
      <w:tab/>
    </w:r>
    <w:r w:rsidR="00171228">
      <w:rPr>
        <w:rStyle w:val="PageNumber"/>
      </w:rPr>
      <w:fldChar w:fldCharType="begin"/>
    </w:r>
    <w:r w:rsidR="00171228">
      <w:rPr>
        <w:rStyle w:val="PageNumber"/>
      </w:rPr>
      <w:instrText xml:space="preserve"> PAGE </w:instrText>
    </w:r>
    <w:r w:rsidR="00171228">
      <w:rPr>
        <w:rStyle w:val="PageNumber"/>
      </w:rPr>
      <w:fldChar w:fldCharType="separate"/>
    </w:r>
    <w:r w:rsidR="00171228">
      <w:rPr>
        <w:rStyle w:val="PageNumber"/>
        <w:noProof/>
      </w:rPr>
      <w:t>16</w:t>
    </w:r>
    <w:r w:rsidR="0017122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0D72" w14:textId="77777777" w:rsidR="00255348" w:rsidRDefault="00255348" w:rsidP="009B34A8">
      <w:pPr>
        <w:spacing w:before="0" w:line="240" w:lineRule="auto"/>
      </w:pPr>
      <w:r>
        <w:separator/>
      </w:r>
    </w:p>
  </w:footnote>
  <w:footnote w:type="continuationSeparator" w:id="0">
    <w:p w14:paraId="43FB6574" w14:textId="77777777" w:rsidR="00255348" w:rsidRDefault="00255348" w:rsidP="009B34A8">
      <w:pPr>
        <w:spacing w:before="0" w:line="240" w:lineRule="auto"/>
      </w:pPr>
      <w:r>
        <w:continuationSeparator/>
      </w:r>
    </w:p>
  </w:footnote>
  <w:footnote w:type="continuationNotice" w:id="1">
    <w:p w14:paraId="48D7545A" w14:textId="77777777" w:rsidR="00255348" w:rsidRDefault="0025534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E10E" w14:textId="77777777" w:rsidR="00CE362F" w:rsidRDefault="00CE3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8884" w14:textId="0966BB44" w:rsidR="00CE362F" w:rsidRDefault="00CE362F" w:rsidP="00D35D1B">
    <w:pPr>
      <w:pStyle w:val="Header"/>
      <w:tabs>
        <w:tab w:val="center" w:pos="8080"/>
      </w:tabs>
    </w:pPr>
    <w:r>
      <w:tab/>
    </w:r>
  </w:p>
  <w:p w14:paraId="4F1FEF91" w14:textId="77777777" w:rsidR="00CE362F" w:rsidRDefault="00CE362F" w:rsidP="00A230A7">
    <w:pPr>
      <w:pStyle w:val="Header"/>
      <w:ind w:left="-155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16E2" w14:textId="77777777" w:rsidR="00CE362F" w:rsidRDefault="00CE36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EB05" w14:textId="77777777" w:rsidR="00CE362F" w:rsidRDefault="00CE362F" w:rsidP="00A23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8B3"/>
    <w:multiLevelType w:val="hybridMultilevel"/>
    <w:tmpl w:val="C01A5A38"/>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5A65B4D"/>
    <w:multiLevelType w:val="hybridMultilevel"/>
    <w:tmpl w:val="CB7E3DE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ED5860"/>
    <w:multiLevelType w:val="hybridMultilevel"/>
    <w:tmpl w:val="3D9C0CE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116244"/>
    <w:multiLevelType w:val="hybridMultilevel"/>
    <w:tmpl w:val="670A505A"/>
    <w:lvl w:ilvl="0" w:tplc="EA346E22">
      <w:start w:val="1"/>
      <w:numFmt w:val="bullet"/>
      <w:pStyle w:val="Instruction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25C6628"/>
    <w:multiLevelType w:val="hybridMultilevel"/>
    <w:tmpl w:val="90A22D2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7202708"/>
    <w:multiLevelType w:val="hybridMultilevel"/>
    <w:tmpl w:val="5D90CDDE"/>
    <w:lvl w:ilvl="0" w:tplc="3AF407DA">
      <w:start w:val="1"/>
      <w:numFmt w:val="bullet"/>
      <w:lvlText w:val=""/>
      <w:lvlJc w:val="left"/>
      <w:pPr>
        <w:ind w:left="502" w:hanging="360"/>
      </w:pPr>
      <w:rPr>
        <w:rFonts w:ascii="Symbol" w:hAnsi="Symbol" w:hint="default"/>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537E84"/>
    <w:multiLevelType w:val="hybridMultilevel"/>
    <w:tmpl w:val="CF2E9E6C"/>
    <w:lvl w:ilvl="0" w:tplc="1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4A256D7"/>
    <w:multiLevelType w:val="hybridMultilevel"/>
    <w:tmpl w:val="6B36876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73F1A0E"/>
    <w:multiLevelType w:val="hybridMultilevel"/>
    <w:tmpl w:val="9CDAEF6A"/>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C2800F8"/>
    <w:multiLevelType w:val="hybridMultilevel"/>
    <w:tmpl w:val="B40A8A8A"/>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E7357"/>
    <w:multiLevelType w:val="multilevel"/>
    <w:tmpl w:val="31D8AEC8"/>
    <w:lvl w:ilvl="0">
      <w:start w:val="1"/>
      <w:numFmt w:val="decimal"/>
      <w:pStyle w:val="Heading1"/>
      <w:suff w:val="nothing"/>
      <w:lvlText w:val="Section %1"/>
      <w:lvlJc w:val="left"/>
      <w:pPr>
        <w:ind w:left="1134"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703"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8B51947"/>
    <w:multiLevelType w:val="hybridMultilevel"/>
    <w:tmpl w:val="0EAAF1D0"/>
    <w:lvl w:ilvl="0" w:tplc="E72AE18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CA642AB"/>
    <w:multiLevelType w:val="hybridMultilevel"/>
    <w:tmpl w:val="CC402896"/>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4D34180F"/>
    <w:multiLevelType w:val="hybridMultilevel"/>
    <w:tmpl w:val="6DC48CD2"/>
    <w:lvl w:ilvl="0" w:tplc="14090005">
      <w:start w:val="1"/>
      <w:numFmt w:val="bullet"/>
      <w:lvlText w:val=""/>
      <w:lvlJc w:val="left"/>
      <w:pPr>
        <w:ind w:left="360" w:hanging="360"/>
      </w:pPr>
      <w:rPr>
        <w:rFonts w:ascii="Wingdings" w:hAnsi="Wingdings" w:hint="default"/>
      </w:rPr>
    </w:lvl>
    <w:lvl w:ilvl="1" w:tplc="14090005">
      <w:start w:val="1"/>
      <w:numFmt w:val="bullet"/>
      <w:lvlText w:val=""/>
      <w:lvlJc w:val="left"/>
      <w:pPr>
        <w:ind w:left="1080" w:hanging="360"/>
      </w:pPr>
      <w:rPr>
        <w:rFonts w:ascii="Wingdings" w:hAnsi="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1B439AB"/>
    <w:multiLevelType w:val="hybridMultilevel"/>
    <w:tmpl w:val="08FE5C2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A6C29AE"/>
    <w:multiLevelType w:val="hybridMultilevel"/>
    <w:tmpl w:val="3FAC0D44"/>
    <w:lvl w:ilvl="0" w:tplc="3AF407DA">
      <w:start w:val="1"/>
      <w:numFmt w:val="bullet"/>
      <w:lvlText w:val=""/>
      <w:lvlJc w:val="left"/>
      <w:pPr>
        <w:ind w:left="502" w:hanging="360"/>
      </w:pPr>
      <w:rPr>
        <w:rFonts w:ascii="Symbol" w:hAnsi="Symbol" w:hint="default"/>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DE27751"/>
    <w:multiLevelType w:val="hybridMultilevel"/>
    <w:tmpl w:val="50C6150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EDE2D03"/>
    <w:multiLevelType w:val="hybridMultilevel"/>
    <w:tmpl w:val="EB7C79DA"/>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0044544"/>
    <w:multiLevelType w:val="hybridMultilevel"/>
    <w:tmpl w:val="066835F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3B60C68"/>
    <w:multiLevelType w:val="hybridMultilevel"/>
    <w:tmpl w:val="387A0F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6E132F1E"/>
    <w:multiLevelType w:val="hybridMultilevel"/>
    <w:tmpl w:val="08E0EF9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83E3BC5"/>
    <w:multiLevelType w:val="hybridMultilevel"/>
    <w:tmpl w:val="8670F90C"/>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807430993">
    <w:abstractNumId w:val="12"/>
  </w:num>
  <w:num w:numId="2" w16cid:durableId="671300447">
    <w:abstractNumId w:val="11"/>
  </w:num>
  <w:num w:numId="3" w16cid:durableId="237205890">
    <w:abstractNumId w:val="1"/>
  </w:num>
  <w:num w:numId="4" w16cid:durableId="681590216">
    <w:abstractNumId w:val="4"/>
  </w:num>
  <w:num w:numId="5" w16cid:durableId="718742265">
    <w:abstractNumId w:val="13"/>
  </w:num>
  <w:num w:numId="6" w16cid:durableId="48649405">
    <w:abstractNumId w:val="15"/>
  </w:num>
  <w:num w:numId="7" w16cid:durableId="1895502182">
    <w:abstractNumId w:val="22"/>
  </w:num>
  <w:num w:numId="8" w16cid:durableId="858660533">
    <w:abstractNumId w:val="19"/>
  </w:num>
  <w:num w:numId="9" w16cid:durableId="2093969649">
    <w:abstractNumId w:val="10"/>
  </w:num>
  <w:num w:numId="10" w16cid:durableId="2011256246">
    <w:abstractNumId w:val="14"/>
  </w:num>
  <w:num w:numId="11" w16cid:durableId="871070097">
    <w:abstractNumId w:val="23"/>
  </w:num>
  <w:num w:numId="12" w16cid:durableId="1972444309">
    <w:abstractNumId w:val="9"/>
  </w:num>
  <w:num w:numId="13" w16cid:durableId="1290625717">
    <w:abstractNumId w:val="0"/>
  </w:num>
  <w:num w:numId="14" w16cid:durableId="1581450163">
    <w:abstractNumId w:val="21"/>
  </w:num>
  <w:num w:numId="15" w16cid:durableId="1723941850">
    <w:abstractNumId w:val="20"/>
  </w:num>
  <w:num w:numId="16" w16cid:durableId="917330059">
    <w:abstractNumId w:val="8"/>
  </w:num>
  <w:num w:numId="17" w16cid:durableId="824127078">
    <w:abstractNumId w:val="16"/>
  </w:num>
  <w:num w:numId="18" w16cid:durableId="31421621">
    <w:abstractNumId w:val="3"/>
  </w:num>
  <w:num w:numId="19" w16cid:durableId="1810051234">
    <w:abstractNumId w:val="18"/>
  </w:num>
  <w:num w:numId="20" w16cid:durableId="426658567">
    <w:abstractNumId w:val="5"/>
  </w:num>
  <w:num w:numId="21" w16cid:durableId="1906839539">
    <w:abstractNumId w:val="2"/>
  </w:num>
  <w:num w:numId="22" w16cid:durableId="1616596009">
    <w:abstractNumId w:val="7"/>
  </w:num>
  <w:num w:numId="23" w16cid:durableId="1803035941">
    <w:abstractNumId w:val="6"/>
  </w:num>
  <w:num w:numId="24" w16cid:durableId="30579142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0Mbc0tDAxMbM0sTBS0lEKTi0uzszPAykwNKsFANebr7It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Georgi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tere2e6ws9phewr9aptdss50rx2w0fwpex&quot;&gt;Natural Hazards&lt;record-ids&gt;&lt;item&gt;90&lt;/item&gt;&lt;item&gt;96&lt;/item&gt;&lt;item&gt;104&lt;/item&gt;&lt;item&gt;160&lt;/item&gt;&lt;item&gt;162&lt;/item&gt;&lt;item&gt;165&lt;/item&gt;&lt;item&gt;166&lt;/item&gt;&lt;item&gt;167&lt;/item&gt;&lt;item&gt;181&lt;/item&gt;&lt;item&gt;205&lt;/item&gt;&lt;item&gt;208&lt;/item&gt;&lt;item&gt;225&lt;/item&gt;&lt;item&gt;246&lt;/item&gt;&lt;item&gt;247&lt;/item&gt;&lt;item&gt;248&lt;/item&gt;&lt;item&gt;252&lt;/item&gt;&lt;item&gt;253&lt;/item&gt;&lt;item&gt;256&lt;/item&gt;&lt;item&gt;278&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5&lt;/item&gt;&lt;item&gt;306&lt;/item&gt;&lt;item&gt;307&lt;/item&gt;&lt;item&gt;308&lt;/item&gt;&lt;/record-ids&gt;&lt;/item&gt;&lt;/Libraries&gt;"/>
  </w:docVars>
  <w:rsids>
    <w:rsidRoot w:val="00E76F63"/>
    <w:rsid w:val="000034A8"/>
    <w:rsid w:val="00004AAC"/>
    <w:rsid w:val="000173F7"/>
    <w:rsid w:val="0005133B"/>
    <w:rsid w:val="00057955"/>
    <w:rsid w:val="00072B1C"/>
    <w:rsid w:val="00073C75"/>
    <w:rsid w:val="00084343"/>
    <w:rsid w:val="000857DD"/>
    <w:rsid w:val="00087043"/>
    <w:rsid w:val="000A13FD"/>
    <w:rsid w:val="000A6423"/>
    <w:rsid w:val="000B0D02"/>
    <w:rsid w:val="000B4B15"/>
    <w:rsid w:val="000B57D8"/>
    <w:rsid w:val="000C3AA1"/>
    <w:rsid w:val="000C4D40"/>
    <w:rsid w:val="000D0B1F"/>
    <w:rsid w:val="000D1103"/>
    <w:rsid w:val="000D2173"/>
    <w:rsid w:val="000E286D"/>
    <w:rsid w:val="000E6009"/>
    <w:rsid w:val="000E6069"/>
    <w:rsid w:val="000F2B9A"/>
    <w:rsid w:val="00107852"/>
    <w:rsid w:val="0011067C"/>
    <w:rsid w:val="001111CC"/>
    <w:rsid w:val="00120CDF"/>
    <w:rsid w:val="00127924"/>
    <w:rsid w:val="00130B5D"/>
    <w:rsid w:val="00131EAD"/>
    <w:rsid w:val="00142408"/>
    <w:rsid w:val="001510B8"/>
    <w:rsid w:val="00151503"/>
    <w:rsid w:val="001541ED"/>
    <w:rsid w:val="001547C1"/>
    <w:rsid w:val="00162191"/>
    <w:rsid w:val="00162A5C"/>
    <w:rsid w:val="001660D0"/>
    <w:rsid w:val="00171228"/>
    <w:rsid w:val="00186531"/>
    <w:rsid w:val="001873B2"/>
    <w:rsid w:val="00187511"/>
    <w:rsid w:val="00187DB2"/>
    <w:rsid w:val="00190754"/>
    <w:rsid w:val="00194195"/>
    <w:rsid w:val="001A07D9"/>
    <w:rsid w:val="001A358B"/>
    <w:rsid w:val="001B5229"/>
    <w:rsid w:val="001B7368"/>
    <w:rsid w:val="001C2362"/>
    <w:rsid w:val="001C2732"/>
    <w:rsid w:val="001C343C"/>
    <w:rsid w:val="001C47FF"/>
    <w:rsid w:val="001C4C6B"/>
    <w:rsid w:val="001D2D44"/>
    <w:rsid w:val="001D3DA8"/>
    <w:rsid w:val="001D5C30"/>
    <w:rsid w:val="001E01CD"/>
    <w:rsid w:val="001E15CC"/>
    <w:rsid w:val="001E5E84"/>
    <w:rsid w:val="001E6AE3"/>
    <w:rsid w:val="001F0075"/>
    <w:rsid w:val="001F02F3"/>
    <w:rsid w:val="001F1BA1"/>
    <w:rsid w:val="001F7339"/>
    <w:rsid w:val="002026F6"/>
    <w:rsid w:val="00215438"/>
    <w:rsid w:val="00215471"/>
    <w:rsid w:val="00222738"/>
    <w:rsid w:val="00222E9C"/>
    <w:rsid w:val="00223952"/>
    <w:rsid w:val="0022615E"/>
    <w:rsid w:val="00231415"/>
    <w:rsid w:val="002318F8"/>
    <w:rsid w:val="00236935"/>
    <w:rsid w:val="00255348"/>
    <w:rsid w:val="00255925"/>
    <w:rsid w:val="00270352"/>
    <w:rsid w:val="00270545"/>
    <w:rsid w:val="002713D7"/>
    <w:rsid w:val="00277462"/>
    <w:rsid w:val="002838FC"/>
    <w:rsid w:val="0028577E"/>
    <w:rsid w:val="00286D66"/>
    <w:rsid w:val="00291829"/>
    <w:rsid w:val="002A0081"/>
    <w:rsid w:val="002A0148"/>
    <w:rsid w:val="002A3591"/>
    <w:rsid w:val="002A7847"/>
    <w:rsid w:val="002C3191"/>
    <w:rsid w:val="002C6DB1"/>
    <w:rsid w:val="002D50CD"/>
    <w:rsid w:val="002D520D"/>
    <w:rsid w:val="002D530F"/>
    <w:rsid w:val="002D75B9"/>
    <w:rsid w:val="002E3370"/>
    <w:rsid w:val="002E5766"/>
    <w:rsid w:val="002E6619"/>
    <w:rsid w:val="002F57C3"/>
    <w:rsid w:val="00302AF6"/>
    <w:rsid w:val="003053C8"/>
    <w:rsid w:val="0030575F"/>
    <w:rsid w:val="0031278D"/>
    <w:rsid w:val="00324130"/>
    <w:rsid w:val="00325FCC"/>
    <w:rsid w:val="003275A9"/>
    <w:rsid w:val="0033012C"/>
    <w:rsid w:val="0033066E"/>
    <w:rsid w:val="0033250B"/>
    <w:rsid w:val="0033309E"/>
    <w:rsid w:val="00336FBC"/>
    <w:rsid w:val="00337229"/>
    <w:rsid w:val="003373B1"/>
    <w:rsid w:val="00337A6E"/>
    <w:rsid w:val="00344644"/>
    <w:rsid w:val="003471AE"/>
    <w:rsid w:val="0035018C"/>
    <w:rsid w:val="00354898"/>
    <w:rsid w:val="00355FCB"/>
    <w:rsid w:val="003569B7"/>
    <w:rsid w:val="003634EC"/>
    <w:rsid w:val="00363D85"/>
    <w:rsid w:val="003670B8"/>
    <w:rsid w:val="00370B34"/>
    <w:rsid w:val="003743F5"/>
    <w:rsid w:val="00374E87"/>
    <w:rsid w:val="00383310"/>
    <w:rsid w:val="00385446"/>
    <w:rsid w:val="003A2E66"/>
    <w:rsid w:val="003C4828"/>
    <w:rsid w:val="003D3836"/>
    <w:rsid w:val="003D38BC"/>
    <w:rsid w:val="003D4B44"/>
    <w:rsid w:val="003E7D18"/>
    <w:rsid w:val="003F17B2"/>
    <w:rsid w:val="003F2859"/>
    <w:rsid w:val="003F399D"/>
    <w:rsid w:val="004040B3"/>
    <w:rsid w:val="00404174"/>
    <w:rsid w:val="00406AA2"/>
    <w:rsid w:val="00406F34"/>
    <w:rsid w:val="00410B69"/>
    <w:rsid w:val="00426787"/>
    <w:rsid w:val="00431FDF"/>
    <w:rsid w:val="004361E1"/>
    <w:rsid w:val="00442858"/>
    <w:rsid w:val="00444A31"/>
    <w:rsid w:val="004454B0"/>
    <w:rsid w:val="00454832"/>
    <w:rsid w:val="004621CD"/>
    <w:rsid w:val="00463D68"/>
    <w:rsid w:val="00465BC4"/>
    <w:rsid w:val="004706AA"/>
    <w:rsid w:val="00480A96"/>
    <w:rsid w:val="00481425"/>
    <w:rsid w:val="00481D81"/>
    <w:rsid w:val="0049311E"/>
    <w:rsid w:val="00494E49"/>
    <w:rsid w:val="004A2390"/>
    <w:rsid w:val="004A283E"/>
    <w:rsid w:val="004B3DE3"/>
    <w:rsid w:val="004B3E60"/>
    <w:rsid w:val="004B4579"/>
    <w:rsid w:val="004B67DD"/>
    <w:rsid w:val="004C7B82"/>
    <w:rsid w:val="004D0BBD"/>
    <w:rsid w:val="004E3959"/>
    <w:rsid w:val="004F650C"/>
    <w:rsid w:val="005053EB"/>
    <w:rsid w:val="00507EDA"/>
    <w:rsid w:val="00513078"/>
    <w:rsid w:val="00514447"/>
    <w:rsid w:val="00530DBA"/>
    <w:rsid w:val="005449C8"/>
    <w:rsid w:val="00544BED"/>
    <w:rsid w:val="00556887"/>
    <w:rsid w:val="00562A76"/>
    <w:rsid w:val="0056456E"/>
    <w:rsid w:val="00567668"/>
    <w:rsid w:val="00570004"/>
    <w:rsid w:val="00592F2C"/>
    <w:rsid w:val="00593E39"/>
    <w:rsid w:val="00595F7F"/>
    <w:rsid w:val="00596B6F"/>
    <w:rsid w:val="005D0392"/>
    <w:rsid w:val="005E192F"/>
    <w:rsid w:val="005E5522"/>
    <w:rsid w:val="005E5649"/>
    <w:rsid w:val="005E5E96"/>
    <w:rsid w:val="005F26E3"/>
    <w:rsid w:val="005F4BA6"/>
    <w:rsid w:val="00604E8A"/>
    <w:rsid w:val="0061700E"/>
    <w:rsid w:val="006206C2"/>
    <w:rsid w:val="006248DB"/>
    <w:rsid w:val="00636BF9"/>
    <w:rsid w:val="00643502"/>
    <w:rsid w:val="00644276"/>
    <w:rsid w:val="006479D7"/>
    <w:rsid w:val="00651D2E"/>
    <w:rsid w:val="006628C2"/>
    <w:rsid w:val="0066610F"/>
    <w:rsid w:val="00680544"/>
    <w:rsid w:val="006A6F74"/>
    <w:rsid w:val="006C168D"/>
    <w:rsid w:val="006C3142"/>
    <w:rsid w:val="006C4586"/>
    <w:rsid w:val="006D01CF"/>
    <w:rsid w:val="006D195F"/>
    <w:rsid w:val="006D794E"/>
    <w:rsid w:val="006E17A9"/>
    <w:rsid w:val="006E3E99"/>
    <w:rsid w:val="006E4A31"/>
    <w:rsid w:val="006E6848"/>
    <w:rsid w:val="006E7E46"/>
    <w:rsid w:val="006F1E57"/>
    <w:rsid w:val="006F4720"/>
    <w:rsid w:val="006F7984"/>
    <w:rsid w:val="00702439"/>
    <w:rsid w:val="0070404A"/>
    <w:rsid w:val="007056C9"/>
    <w:rsid w:val="0070641D"/>
    <w:rsid w:val="00715E37"/>
    <w:rsid w:val="00717871"/>
    <w:rsid w:val="00717895"/>
    <w:rsid w:val="0072407B"/>
    <w:rsid w:val="007278B3"/>
    <w:rsid w:val="00732EC9"/>
    <w:rsid w:val="00737C56"/>
    <w:rsid w:val="00737ECC"/>
    <w:rsid w:val="00751E10"/>
    <w:rsid w:val="00753C46"/>
    <w:rsid w:val="00760258"/>
    <w:rsid w:val="007618BA"/>
    <w:rsid w:val="00777813"/>
    <w:rsid w:val="007778FA"/>
    <w:rsid w:val="00777B29"/>
    <w:rsid w:val="00781A58"/>
    <w:rsid w:val="00785553"/>
    <w:rsid w:val="00785C9C"/>
    <w:rsid w:val="00786809"/>
    <w:rsid w:val="007A1B20"/>
    <w:rsid w:val="007A50DF"/>
    <w:rsid w:val="007A5E42"/>
    <w:rsid w:val="007B04A8"/>
    <w:rsid w:val="007B1F27"/>
    <w:rsid w:val="007B3589"/>
    <w:rsid w:val="007B4C80"/>
    <w:rsid w:val="007B787F"/>
    <w:rsid w:val="007C6F9A"/>
    <w:rsid w:val="007D14EB"/>
    <w:rsid w:val="007D1C0C"/>
    <w:rsid w:val="007D23E2"/>
    <w:rsid w:val="007D318F"/>
    <w:rsid w:val="007D429B"/>
    <w:rsid w:val="007E0746"/>
    <w:rsid w:val="007E3659"/>
    <w:rsid w:val="007F1011"/>
    <w:rsid w:val="007F3D1C"/>
    <w:rsid w:val="007F401D"/>
    <w:rsid w:val="00803165"/>
    <w:rsid w:val="0080618B"/>
    <w:rsid w:val="00806884"/>
    <w:rsid w:val="0081434F"/>
    <w:rsid w:val="008156FD"/>
    <w:rsid w:val="00817DB4"/>
    <w:rsid w:val="00825426"/>
    <w:rsid w:val="00825CDA"/>
    <w:rsid w:val="00827706"/>
    <w:rsid w:val="00827E92"/>
    <w:rsid w:val="008343AF"/>
    <w:rsid w:val="00837E13"/>
    <w:rsid w:val="00840947"/>
    <w:rsid w:val="00842DBE"/>
    <w:rsid w:val="00843517"/>
    <w:rsid w:val="00844EC6"/>
    <w:rsid w:val="0085243C"/>
    <w:rsid w:val="008570FC"/>
    <w:rsid w:val="00865BFF"/>
    <w:rsid w:val="00883C78"/>
    <w:rsid w:val="0089717C"/>
    <w:rsid w:val="008A04B9"/>
    <w:rsid w:val="008A1C8A"/>
    <w:rsid w:val="008B072E"/>
    <w:rsid w:val="008B1580"/>
    <w:rsid w:val="008B1AD9"/>
    <w:rsid w:val="008B5A5D"/>
    <w:rsid w:val="008C0347"/>
    <w:rsid w:val="008D1D9F"/>
    <w:rsid w:val="008D1FBA"/>
    <w:rsid w:val="008D30E4"/>
    <w:rsid w:val="008D3218"/>
    <w:rsid w:val="008E5C5E"/>
    <w:rsid w:val="008F4D7B"/>
    <w:rsid w:val="008F5371"/>
    <w:rsid w:val="008F6A51"/>
    <w:rsid w:val="00902173"/>
    <w:rsid w:val="0090320F"/>
    <w:rsid w:val="00904C5A"/>
    <w:rsid w:val="00906286"/>
    <w:rsid w:val="00912331"/>
    <w:rsid w:val="0091580F"/>
    <w:rsid w:val="009249CB"/>
    <w:rsid w:val="00925B48"/>
    <w:rsid w:val="00934AC4"/>
    <w:rsid w:val="00934C50"/>
    <w:rsid w:val="00936D1A"/>
    <w:rsid w:val="00942478"/>
    <w:rsid w:val="00945214"/>
    <w:rsid w:val="00945652"/>
    <w:rsid w:val="00950ED4"/>
    <w:rsid w:val="00956C31"/>
    <w:rsid w:val="0096087D"/>
    <w:rsid w:val="00972D4D"/>
    <w:rsid w:val="00973A1E"/>
    <w:rsid w:val="009760A3"/>
    <w:rsid w:val="009815E2"/>
    <w:rsid w:val="00987367"/>
    <w:rsid w:val="009B0D55"/>
    <w:rsid w:val="009B244F"/>
    <w:rsid w:val="009B2E6A"/>
    <w:rsid w:val="009B3258"/>
    <w:rsid w:val="009B34A8"/>
    <w:rsid w:val="009C03D8"/>
    <w:rsid w:val="009C4807"/>
    <w:rsid w:val="009C5CC4"/>
    <w:rsid w:val="009C5CFE"/>
    <w:rsid w:val="009D2A3E"/>
    <w:rsid w:val="009E3346"/>
    <w:rsid w:val="009E5EAD"/>
    <w:rsid w:val="009E6829"/>
    <w:rsid w:val="009F1DF6"/>
    <w:rsid w:val="00A16773"/>
    <w:rsid w:val="00A2141D"/>
    <w:rsid w:val="00A21EFA"/>
    <w:rsid w:val="00A230A7"/>
    <w:rsid w:val="00A244A3"/>
    <w:rsid w:val="00A2508B"/>
    <w:rsid w:val="00A33296"/>
    <w:rsid w:val="00A40433"/>
    <w:rsid w:val="00A47EA4"/>
    <w:rsid w:val="00A53E5D"/>
    <w:rsid w:val="00A65A6D"/>
    <w:rsid w:val="00A77BEE"/>
    <w:rsid w:val="00A90057"/>
    <w:rsid w:val="00A903C8"/>
    <w:rsid w:val="00AA3922"/>
    <w:rsid w:val="00AB1EAA"/>
    <w:rsid w:val="00AC00BF"/>
    <w:rsid w:val="00AC307B"/>
    <w:rsid w:val="00AC4773"/>
    <w:rsid w:val="00AC57F4"/>
    <w:rsid w:val="00AD5807"/>
    <w:rsid w:val="00AE62DA"/>
    <w:rsid w:val="00AF17EF"/>
    <w:rsid w:val="00AF79D8"/>
    <w:rsid w:val="00AF7FE5"/>
    <w:rsid w:val="00B01F25"/>
    <w:rsid w:val="00B26749"/>
    <w:rsid w:val="00B44310"/>
    <w:rsid w:val="00B54E4C"/>
    <w:rsid w:val="00B54E7A"/>
    <w:rsid w:val="00B6063B"/>
    <w:rsid w:val="00B6348E"/>
    <w:rsid w:val="00B66EC9"/>
    <w:rsid w:val="00B76E4F"/>
    <w:rsid w:val="00B81D61"/>
    <w:rsid w:val="00B951A8"/>
    <w:rsid w:val="00B96543"/>
    <w:rsid w:val="00BB0C74"/>
    <w:rsid w:val="00BB0F4E"/>
    <w:rsid w:val="00BB1313"/>
    <w:rsid w:val="00BB576D"/>
    <w:rsid w:val="00BB79FA"/>
    <w:rsid w:val="00BD1266"/>
    <w:rsid w:val="00BD3759"/>
    <w:rsid w:val="00BE152F"/>
    <w:rsid w:val="00BF1EFD"/>
    <w:rsid w:val="00C01DE8"/>
    <w:rsid w:val="00C02C9D"/>
    <w:rsid w:val="00C04C9F"/>
    <w:rsid w:val="00C05D0E"/>
    <w:rsid w:val="00C1181D"/>
    <w:rsid w:val="00C131E9"/>
    <w:rsid w:val="00C16350"/>
    <w:rsid w:val="00C17119"/>
    <w:rsid w:val="00C22CD9"/>
    <w:rsid w:val="00C32FC4"/>
    <w:rsid w:val="00C373F6"/>
    <w:rsid w:val="00C4304C"/>
    <w:rsid w:val="00C43429"/>
    <w:rsid w:val="00C54B30"/>
    <w:rsid w:val="00C5599C"/>
    <w:rsid w:val="00C619E1"/>
    <w:rsid w:val="00C71A84"/>
    <w:rsid w:val="00C74364"/>
    <w:rsid w:val="00C829F1"/>
    <w:rsid w:val="00C8445F"/>
    <w:rsid w:val="00CB1CEB"/>
    <w:rsid w:val="00CB3A0C"/>
    <w:rsid w:val="00CB43CA"/>
    <w:rsid w:val="00CC022B"/>
    <w:rsid w:val="00CC26C9"/>
    <w:rsid w:val="00CC26FF"/>
    <w:rsid w:val="00CC6146"/>
    <w:rsid w:val="00CD17E8"/>
    <w:rsid w:val="00CE362F"/>
    <w:rsid w:val="00CE40AF"/>
    <w:rsid w:val="00CF551A"/>
    <w:rsid w:val="00CF5E1C"/>
    <w:rsid w:val="00CF7058"/>
    <w:rsid w:val="00D06437"/>
    <w:rsid w:val="00D074B0"/>
    <w:rsid w:val="00D217EA"/>
    <w:rsid w:val="00D24AD6"/>
    <w:rsid w:val="00D2557D"/>
    <w:rsid w:val="00D27625"/>
    <w:rsid w:val="00D35D1B"/>
    <w:rsid w:val="00D37D55"/>
    <w:rsid w:val="00D5264F"/>
    <w:rsid w:val="00D53A7B"/>
    <w:rsid w:val="00D555C8"/>
    <w:rsid w:val="00D55865"/>
    <w:rsid w:val="00D6169C"/>
    <w:rsid w:val="00D6591B"/>
    <w:rsid w:val="00D846D8"/>
    <w:rsid w:val="00D862DA"/>
    <w:rsid w:val="00D87038"/>
    <w:rsid w:val="00D9046F"/>
    <w:rsid w:val="00D92108"/>
    <w:rsid w:val="00D92879"/>
    <w:rsid w:val="00DA35C4"/>
    <w:rsid w:val="00DA5D31"/>
    <w:rsid w:val="00DA6C6B"/>
    <w:rsid w:val="00DB09DC"/>
    <w:rsid w:val="00DB1894"/>
    <w:rsid w:val="00DB4346"/>
    <w:rsid w:val="00DB6004"/>
    <w:rsid w:val="00DC41C4"/>
    <w:rsid w:val="00DC5AC4"/>
    <w:rsid w:val="00DD1A7A"/>
    <w:rsid w:val="00DF5B99"/>
    <w:rsid w:val="00E07BC6"/>
    <w:rsid w:val="00E215EA"/>
    <w:rsid w:val="00E24F63"/>
    <w:rsid w:val="00E35C36"/>
    <w:rsid w:val="00E41BBC"/>
    <w:rsid w:val="00E4203E"/>
    <w:rsid w:val="00E42614"/>
    <w:rsid w:val="00E47D81"/>
    <w:rsid w:val="00E54279"/>
    <w:rsid w:val="00E676E6"/>
    <w:rsid w:val="00E72C9E"/>
    <w:rsid w:val="00E72D54"/>
    <w:rsid w:val="00E76854"/>
    <w:rsid w:val="00E76F63"/>
    <w:rsid w:val="00E80345"/>
    <w:rsid w:val="00E9179F"/>
    <w:rsid w:val="00E91ED2"/>
    <w:rsid w:val="00E953C3"/>
    <w:rsid w:val="00E95C1D"/>
    <w:rsid w:val="00EA059D"/>
    <w:rsid w:val="00EB431D"/>
    <w:rsid w:val="00EB4FC3"/>
    <w:rsid w:val="00EC47A9"/>
    <w:rsid w:val="00ED53FD"/>
    <w:rsid w:val="00EE10DA"/>
    <w:rsid w:val="00EE77C9"/>
    <w:rsid w:val="00F012E9"/>
    <w:rsid w:val="00F05847"/>
    <w:rsid w:val="00F32CEC"/>
    <w:rsid w:val="00F369EF"/>
    <w:rsid w:val="00F36DEE"/>
    <w:rsid w:val="00F36E94"/>
    <w:rsid w:val="00F409E5"/>
    <w:rsid w:val="00F41571"/>
    <w:rsid w:val="00F47EE5"/>
    <w:rsid w:val="00F504E5"/>
    <w:rsid w:val="00F53C52"/>
    <w:rsid w:val="00F6487F"/>
    <w:rsid w:val="00F659EE"/>
    <w:rsid w:val="00F701EB"/>
    <w:rsid w:val="00F755CE"/>
    <w:rsid w:val="00F86943"/>
    <w:rsid w:val="00F94476"/>
    <w:rsid w:val="00F94FAB"/>
    <w:rsid w:val="00FA6434"/>
    <w:rsid w:val="00FB078F"/>
    <w:rsid w:val="00FC4C40"/>
    <w:rsid w:val="00FE0C32"/>
    <w:rsid w:val="00FE506E"/>
    <w:rsid w:val="010C74CF"/>
    <w:rsid w:val="0426E519"/>
    <w:rsid w:val="04D05448"/>
    <w:rsid w:val="09AC3F0C"/>
    <w:rsid w:val="0A6296E1"/>
    <w:rsid w:val="0C6DD6DE"/>
    <w:rsid w:val="11D2A58A"/>
    <w:rsid w:val="11DC1982"/>
    <w:rsid w:val="13380B19"/>
    <w:rsid w:val="13A7C9E3"/>
    <w:rsid w:val="15FA3FF7"/>
    <w:rsid w:val="160FE1A6"/>
    <w:rsid w:val="173A4BA2"/>
    <w:rsid w:val="18EA9FC1"/>
    <w:rsid w:val="1C86023C"/>
    <w:rsid w:val="1C8D69D0"/>
    <w:rsid w:val="1D24F682"/>
    <w:rsid w:val="1D66DC7E"/>
    <w:rsid w:val="1DD33DBC"/>
    <w:rsid w:val="201C80B9"/>
    <w:rsid w:val="23DCF82A"/>
    <w:rsid w:val="25C4C0BF"/>
    <w:rsid w:val="2894B3E2"/>
    <w:rsid w:val="29592AF8"/>
    <w:rsid w:val="2B385C57"/>
    <w:rsid w:val="2BC3E284"/>
    <w:rsid w:val="2FDB3AEA"/>
    <w:rsid w:val="33C6E7CA"/>
    <w:rsid w:val="3655529B"/>
    <w:rsid w:val="3A96CFFE"/>
    <w:rsid w:val="3BF05B04"/>
    <w:rsid w:val="3CCD6F32"/>
    <w:rsid w:val="3E513FDA"/>
    <w:rsid w:val="42528A1D"/>
    <w:rsid w:val="4330ECFC"/>
    <w:rsid w:val="45310FC2"/>
    <w:rsid w:val="458B953C"/>
    <w:rsid w:val="463C9C2D"/>
    <w:rsid w:val="46CCE023"/>
    <w:rsid w:val="46EE39AA"/>
    <w:rsid w:val="47456082"/>
    <w:rsid w:val="49096478"/>
    <w:rsid w:val="4CABD877"/>
    <w:rsid w:val="506BD99D"/>
    <w:rsid w:val="51349D61"/>
    <w:rsid w:val="54D339E7"/>
    <w:rsid w:val="55018A28"/>
    <w:rsid w:val="5649FBFF"/>
    <w:rsid w:val="566F0A48"/>
    <w:rsid w:val="5A52AEC5"/>
    <w:rsid w:val="62363E65"/>
    <w:rsid w:val="62F34335"/>
    <w:rsid w:val="66C7627A"/>
    <w:rsid w:val="68AB28BF"/>
    <w:rsid w:val="6A45848D"/>
    <w:rsid w:val="6A4C0A32"/>
    <w:rsid w:val="6A6355A1"/>
    <w:rsid w:val="70DD9E40"/>
    <w:rsid w:val="7798D338"/>
    <w:rsid w:val="7C3896FD"/>
    <w:rsid w:val="7D344A9A"/>
    <w:rsid w:val="7E52FF1A"/>
    <w:rsid w:val="7F2C887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91518"/>
  <w15:chartTrackingRefBased/>
  <w15:docId w15:val="{598DCDF8-6DDF-4AE9-A32B-C92DF432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CEC"/>
    <w:pPr>
      <w:spacing w:before="240" w:after="0" w:line="264" w:lineRule="auto"/>
    </w:pPr>
    <w:rPr>
      <w:rFonts w:ascii="Georgia" w:eastAsia="Times New Roman" w:hAnsi="Georgia" w:cs="Times New Roman"/>
      <w:sz w:val="20"/>
      <w:szCs w:val="20"/>
      <w:lang w:eastAsia="en-GB"/>
    </w:rPr>
  </w:style>
  <w:style w:type="paragraph" w:styleId="Heading1">
    <w:name w:val="heading 1"/>
    <w:basedOn w:val="Normal"/>
    <w:next w:val="Normal"/>
    <w:link w:val="Heading1Char"/>
    <w:autoRedefine/>
    <w:uiPriority w:val="9"/>
    <w:qFormat/>
    <w:rsid w:val="00865BFF"/>
    <w:pPr>
      <w:numPr>
        <w:numId w:val="1"/>
      </w:numPr>
      <w:pBdr>
        <w:top w:val="single" w:sz="24" w:space="16" w:color="002B7F"/>
      </w:pBdr>
      <w:spacing w:before="360" w:after="360"/>
      <w:ind w:left="0"/>
      <w:jc w:val="both"/>
      <w:outlineLvl w:val="0"/>
    </w:pPr>
    <w:rPr>
      <w:b/>
      <w:color w:val="002B7F"/>
      <w:sz w:val="32"/>
    </w:rPr>
  </w:style>
  <w:style w:type="paragraph" w:styleId="Heading2">
    <w:name w:val="heading 2"/>
    <w:basedOn w:val="Normal"/>
    <w:next w:val="Normal"/>
    <w:link w:val="Heading2Char"/>
    <w:autoRedefine/>
    <w:uiPriority w:val="9"/>
    <w:qFormat/>
    <w:rsid w:val="00E953C3"/>
    <w:pPr>
      <w:keepNext/>
      <w:numPr>
        <w:ilvl w:val="1"/>
        <w:numId w:val="1"/>
      </w:numPr>
      <w:spacing w:before="120" w:after="120" w:line="240" w:lineRule="auto"/>
      <w:ind w:left="851"/>
      <w:outlineLvl w:val="1"/>
    </w:pPr>
    <w:rPr>
      <w:b/>
      <w:color w:val="002B7F"/>
    </w:rPr>
  </w:style>
  <w:style w:type="paragraph" w:styleId="Heading3">
    <w:name w:val="heading 3"/>
    <w:basedOn w:val="Normal"/>
    <w:next w:val="Normal"/>
    <w:link w:val="Heading3Char"/>
    <w:qFormat/>
    <w:rsid w:val="00E76F63"/>
    <w:pPr>
      <w:keepNext/>
      <w:tabs>
        <w:tab w:val="num" w:pos="567"/>
      </w:tabs>
      <w:spacing w:before="120" w:after="120"/>
      <w:ind w:left="567" w:hanging="567"/>
      <w:outlineLvl w:val="2"/>
    </w:pPr>
    <w:rPr>
      <w:b/>
    </w:rPr>
  </w:style>
  <w:style w:type="paragraph" w:styleId="Heading4">
    <w:name w:val="heading 4"/>
    <w:basedOn w:val="Normal"/>
    <w:next w:val="Normal"/>
    <w:link w:val="Heading4Char"/>
    <w:autoRedefine/>
    <w:qFormat/>
    <w:rsid w:val="009E6829"/>
    <w:pPr>
      <w:spacing w:before="120" w:after="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953C3"/>
    <w:rPr>
      <w:rFonts w:ascii="Georgia" w:eastAsia="Times New Roman" w:hAnsi="Georgia" w:cs="Times New Roman"/>
      <w:b/>
      <w:color w:val="002B7F"/>
      <w:sz w:val="20"/>
      <w:szCs w:val="20"/>
      <w:lang w:eastAsia="en-GB"/>
    </w:rPr>
  </w:style>
  <w:style w:type="character" w:customStyle="1" w:styleId="Heading1Char">
    <w:name w:val="Heading 1 Char"/>
    <w:link w:val="Heading1"/>
    <w:uiPriority w:val="9"/>
    <w:rsid w:val="00865BFF"/>
    <w:rPr>
      <w:rFonts w:ascii="Georgia" w:eastAsia="Times New Roman" w:hAnsi="Georgia" w:cs="Times New Roman"/>
      <w:b/>
      <w:color w:val="002B7F"/>
      <w:sz w:val="32"/>
      <w:szCs w:val="20"/>
      <w:lang w:eastAsia="en-GB"/>
    </w:rPr>
  </w:style>
  <w:style w:type="character" w:customStyle="1" w:styleId="Heading3Char">
    <w:name w:val="Heading 3 Char"/>
    <w:basedOn w:val="DefaultParagraphFont"/>
    <w:link w:val="Heading3"/>
    <w:rsid w:val="00E76F63"/>
    <w:rPr>
      <w:rFonts w:ascii="Georgia" w:eastAsia="Times New Roman" w:hAnsi="Georgia" w:cs="Times New Roman"/>
      <w:b/>
      <w:szCs w:val="20"/>
      <w:lang w:eastAsia="en-GB"/>
    </w:rPr>
  </w:style>
  <w:style w:type="character" w:customStyle="1" w:styleId="Heading4Char">
    <w:name w:val="Heading 4 Char"/>
    <w:basedOn w:val="DefaultParagraphFont"/>
    <w:link w:val="Heading4"/>
    <w:rsid w:val="009E6829"/>
    <w:rPr>
      <w:rFonts w:ascii="Georgia" w:eastAsia="Times New Roman" w:hAnsi="Georgia" w:cs="Times New Roman"/>
      <w:szCs w:val="20"/>
      <w:lang w:eastAsia="en-GB"/>
    </w:rPr>
  </w:style>
  <w:style w:type="paragraph" w:styleId="TOC1">
    <w:name w:val="toc 1"/>
    <w:basedOn w:val="Normal"/>
    <w:next w:val="Normal"/>
    <w:uiPriority w:val="39"/>
    <w:rsid w:val="00E76F63"/>
    <w:pPr>
      <w:tabs>
        <w:tab w:val="right" w:pos="9356"/>
      </w:tabs>
      <w:spacing w:before="300"/>
      <w:ind w:right="567"/>
    </w:pPr>
    <w:rPr>
      <w:b/>
    </w:rPr>
  </w:style>
  <w:style w:type="paragraph" w:styleId="TOC2">
    <w:name w:val="toc 2"/>
    <w:basedOn w:val="Normal"/>
    <w:next w:val="Normal"/>
    <w:uiPriority w:val="39"/>
    <w:rsid w:val="00E76F63"/>
    <w:pPr>
      <w:tabs>
        <w:tab w:val="right" w:pos="9356"/>
      </w:tabs>
      <w:spacing w:before="60"/>
      <w:ind w:left="567" w:right="567" w:hanging="567"/>
    </w:pPr>
  </w:style>
  <w:style w:type="paragraph" w:styleId="Header">
    <w:name w:val="header"/>
    <w:basedOn w:val="Normal"/>
    <w:link w:val="HeaderChar"/>
    <w:qFormat/>
    <w:rsid w:val="00E76F63"/>
    <w:pPr>
      <w:spacing w:before="0" w:line="240" w:lineRule="auto"/>
    </w:pPr>
  </w:style>
  <w:style w:type="character" w:customStyle="1" w:styleId="HeaderChar">
    <w:name w:val="Header Char"/>
    <w:basedOn w:val="DefaultParagraphFont"/>
    <w:link w:val="Header"/>
    <w:uiPriority w:val="99"/>
    <w:rsid w:val="00E76F63"/>
    <w:rPr>
      <w:rFonts w:ascii="Georgia" w:eastAsia="Times New Roman" w:hAnsi="Georgia" w:cs="Times New Roman"/>
      <w:szCs w:val="20"/>
      <w:lang w:eastAsia="en-GB"/>
    </w:rPr>
  </w:style>
  <w:style w:type="paragraph" w:styleId="Title">
    <w:name w:val="Title"/>
    <w:basedOn w:val="Normal"/>
    <w:next w:val="Normal"/>
    <w:link w:val="TitleChar"/>
    <w:qFormat/>
    <w:rsid w:val="00E76F63"/>
    <w:pPr>
      <w:pBdr>
        <w:bottom w:val="single" w:sz="48" w:space="6" w:color="002B7F"/>
      </w:pBdr>
      <w:spacing w:before="0"/>
      <w:ind w:right="1701"/>
    </w:pPr>
    <w:rPr>
      <w:b/>
      <w:color w:val="002B7F"/>
      <w:sz w:val="72"/>
    </w:rPr>
  </w:style>
  <w:style w:type="character" w:customStyle="1" w:styleId="TitleChar">
    <w:name w:val="Title Char"/>
    <w:basedOn w:val="DefaultParagraphFont"/>
    <w:link w:val="Title"/>
    <w:rsid w:val="00E76F63"/>
    <w:rPr>
      <w:rFonts w:ascii="Georgia" w:eastAsia="Times New Roman" w:hAnsi="Georgia" w:cs="Times New Roman"/>
      <w:b/>
      <w:color w:val="002B7F"/>
      <w:sz w:val="72"/>
      <w:szCs w:val="20"/>
      <w:lang w:eastAsia="en-GB"/>
    </w:rPr>
  </w:style>
  <w:style w:type="paragraph" w:styleId="Footer">
    <w:name w:val="footer"/>
    <w:basedOn w:val="Normal"/>
    <w:link w:val="FooterChar"/>
    <w:uiPriority w:val="99"/>
    <w:qFormat/>
    <w:rsid w:val="00E76F63"/>
    <w:pPr>
      <w:pBdr>
        <w:bottom w:val="single" w:sz="4" w:space="4" w:color="auto"/>
      </w:pBdr>
    </w:pPr>
  </w:style>
  <w:style w:type="character" w:customStyle="1" w:styleId="FooterChar">
    <w:name w:val="Footer Char"/>
    <w:basedOn w:val="DefaultParagraphFont"/>
    <w:link w:val="Footer"/>
    <w:uiPriority w:val="99"/>
    <w:rsid w:val="00E76F63"/>
    <w:rPr>
      <w:rFonts w:ascii="Georgia" w:eastAsia="Times New Roman" w:hAnsi="Georgia" w:cs="Times New Roman"/>
      <w:szCs w:val="20"/>
      <w:lang w:eastAsia="en-GB"/>
    </w:rPr>
  </w:style>
  <w:style w:type="character" w:styleId="PageNumber">
    <w:name w:val="page number"/>
    <w:rsid w:val="00E76F63"/>
    <w:rPr>
      <w:rFonts w:ascii="Georgia" w:hAnsi="Georgia"/>
      <w:b/>
      <w:sz w:val="22"/>
    </w:rPr>
  </w:style>
  <w:style w:type="paragraph" w:customStyle="1" w:styleId="RectoFooter">
    <w:name w:val="Recto Footer"/>
    <w:basedOn w:val="Footer"/>
    <w:rsid w:val="00E76F63"/>
    <w:pPr>
      <w:pBdr>
        <w:top w:val="single" w:sz="4" w:space="4" w:color="002B7F"/>
        <w:bottom w:val="none" w:sz="0" w:space="0" w:color="auto"/>
      </w:pBdr>
      <w:tabs>
        <w:tab w:val="right" w:pos="8647"/>
        <w:tab w:val="right" w:pos="9356"/>
      </w:tabs>
      <w:spacing w:before="0" w:line="240" w:lineRule="auto"/>
    </w:pPr>
    <w:rPr>
      <w:color w:val="002B7F"/>
    </w:rPr>
  </w:style>
  <w:style w:type="paragraph" w:customStyle="1" w:styleId="Dash">
    <w:name w:val="Dash"/>
    <w:basedOn w:val="Normal"/>
    <w:qFormat/>
    <w:rsid w:val="00E76F63"/>
    <w:pPr>
      <w:numPr>
        <w:numId w:val="2"/>
      </w:numPr>
      <w:spacing w:before="60"/>
    </w:pPr>
  </w:style>
  <w:style w:type="paragraph" w:customStyle="1" w:styleId="TableText">
    <w:name w:val="TableText"/>
    <w:basedOn w:val="Normal"/>
    <w:link w:val="TableTextChar"/>
    <w:autoRedefine/>
    <w:rsid w:val="00383310"/>
    <w:pPr>
      <w:spacing w:before="120" w:after="120" w:line="240" w:lineRule="auto"/>
    </w:pPr>
    <w:rPr>
      <w:szCs w:val="22"/>
    </w:rPr>
  </w:style>
  <w:style w:type="paragraph" w:customStyle="1" w:styleId="TableBullet">
    <w:name w:val="TableBullet"/>
    <w:basedOn w:val="TableText"/>
    <w:rsid w:val="00383310"/>
    <w:pPr>
      <w:numPr>
        <w:numId w:val="3"/>
      </w:numPr>
    </w:pPr>
  </w:style>
  <w:style w:type="paragraph" w:customStyle="1" w:styleId="IntroHead">
    <w:name w:val="IntroHead"/>
    <w:basedOn w:val="Heading1"/>
    <w:next w:val="Normal"/>
    <w:autoRedefine/>
    <w:qFormat/>
    <w:rsid w:val="00236935"/>
    <w:pPr>
      <w:numPr>
        <w:numId w:val="0"/>
      </w:numPr>
      <w:outlineLvl w:val="9"/>
    </w:pPr>
    <w:rPr>
      <w:rFonts w:eastAsiaTheme="majorEastAsia"/>
      <w:sz w:val="28"/>
      <w:szCs w:val="28"/>
    </w:rPr>
  </w:style>
  <w:style w:type="paragraph" w:customStyle="1" w:styleId="Subhead">
    <w:name w:val="Subhead"/>
    <w:basedOn w:val="Normal"/>
    <w:next w:val="Normal"/>
    <w:qFormat/>
    <w:rsid w:val="00E76F63"/>
    <w:pPr>
      <w:spacing w:before="180"/>
      <w:ind w:right="1701"/>
    </w:pPr>
    <w:rPr>
      <w:color w:val="002B7F"/>
      <w:sz w:val="36"/>
    </w:rPr>
  </w:style>
  <w:style w:type="table" w:styleId="TableGrid">
    <w:name w:val="Table Grid"/>
    <w:basedOn w:val="TableNormal"/>
    <w:uiPriority w:val="39"/>
    <w:rsid w:val="00E76F63"/>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text">
    <w:name w:val="Instruction text"/>
    <w:basedOn w:val="Normal"/>
    <w:qFormat/>
    <w:rsid w:val="00E76F63"/>
    <w:pPr>
      <w:spacing w:before="120" w:line="240" w:lineRule="auto"/>
    </w:pPr>
    <w:rPr>
      <w:rFonts w:ascii="Arial" w:hAnsi="Arial"/>
      <w:b/>
    </w:rPr>
  </w:style>
  <w:style w:type="paragraph" w:customStyle="1" w:styleId="Instructionbullet">
    <w:name w:val="Instruction bullet"/>
    <w:basedOn w:val="Instructiontext"/>
    <w:qFormat/>
    <w:rsid w:val="00E76F63"/>
    <w:pPr>
      <w:numPr>
        <w:numId w:val="4"/>
      </w:numPr>
      <w:spacing w:after="120"/>
      <w:ind w:left="425" w:hanging="425"/>
    </w:pPr>
    <w:rPr>
      <w:rFonts w:cs="Arial"/>
      <w:b w:val="0"/>
    </w:rPr>
  </w:style>
  <w:style w:type="paragraph" w:customStyle="1" w:styleId="Respondenttips">
    <w:name w:val="Respondent tips"/>
    <w:basedOn w:val="TableText"/>
    <w:qFormat/>
    <w:rsid w:val="00E76F63"/>
    <w:pPr>
      <w:tabs>
        <w:tab w:val="num" w:pos="284"/>
      </w:tabs>
      <w:ind w:left="284" w:hanging="284"/>
    </w:pPr>
    <w:rPr>
      <w:szCs w:val="24"/>
    </w:rPr>
  </w:style>
  <w:style w:type="character" w:customStyle="1" w:styleId="tgc">
    <w:name w:val="_tgc"/>
    <w:basedOn w:val="DefaultParagraphFont"/>
    <w:rsid w:val="00E76F63"/>
  </w:style>
  <w:style w:type="paragraph" w:styleId="ListParagraph">
    <w:name w:val="List Paragraph"/>
    <w:basedOn w:val="Normal"/>
    <w:link w:val="ListParagraphChar"/>
    <w:uiPriority w:val="1"/>
    <w:qFormat/>
    <w:rsid w:val="00E76F63"/>
    <w:pPr>
      <w:ind w:left="720"/>
      <w:contextualSpacing/>
    </w:pPr>
    <w:rPr>
      <w:szCs w:val="24"/>
    </w:rPr>
  </w:style>
  <w:style w:type="paragraph" w:styleId="BalloonText">
    <w:name w:val="Balloon Text"/>
    <w:basedOn w:val="Normal"/>
    <w:link w:val="BalloonTextChar"/>
    <w:uiPriority w:val="99"/>
    <w:semiHidden/>
    <w:unhideWhenUsed/>
    <w:rsid w:val="0038331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310"/>
    <w:rPr>
      <w:rFonts w:ascii="Segoe UI" w:eastAsia="Times New Roman" w:hAnsi="Segoe UI" w:cs="Segoe UI"/>
      <w:sz w:val="18"/>
      <w:szCs w:val="18"/>
      <w:lang w:eastAsia="en-GB"/>
    </w:rPr>
  </w:style>
  <w:style w:type="paragraph" w:styleId="NoSpacing">
    <w:name w:val="No Spacing"/>
    <w:uiPriority w:val="1"/>
    <w:qFormat/>
    <w:rsid w:val="009E6829"/>
    <w:pPr>
      <w:spacing w:after="0" w:line="240" w:lineRule="auto"/>
    </w:pPr>
    <w:rPr>
      <w:rFonts w:ascii="Georgia" w:eastAsia="Times New Roman" w:hAnsi="Georgia" w:cs="Times New Roman"/>
      <w:szCs w:val="20"/>
      <w:lang w:eastAsia="en-GB"/>
    </w:rPr>
  </w:style>
  <w:style w:type="paragraph" w:customStyle="1" w:styleId="Style1">
    <w:name w:val="Style1"/>
    <w:basedOn w:val="TableText"/>
    <w:link w:val="Style1Char"/>
    <w:autoRedefine/>
    <w:qFormat/>
    <w:rsid w:val="001C343C"/>
    <w:pPr>
      <w:spacing w:line="256" w:lineRule="auto"/>
      <w:jc w:val="both"/>
    </w:pPr>
    <w:rPr>
      <w:noProof/>
      <w:lang w:eastAsia="en-NZ"/>
    </w:rPr>
  </w:style>
  <w:style w:type="paragraph" w:customStyle="1" w:styleId="Style2">
    <w:name w:val="Style2"/>
    <w:basedOn w:val="Style1"/>
    <w:link w:val="Style2Char"/>
    <w:qFormat/>
    <w:rsid w:val="00777B29"/>
    <w:pPr>
      <w:framePr w:hSpace="180" w:wrap="around" w:vAnchor="text" w:hAnchor="margin" w:y="120"/>
      <w:ind w:left="387" w:hanging="360"/>
    </w:pPr>
    <w:rPr>
      <w:color w:val="C00000"/>
    </w:rPr>
  </w:style>
  <w:style w:type="character" w:customStyle="1" w:styleId="TableTextChar">
    <w:name w:val="TableText Char"/>
    <w:basedOn w:val="DefaultParagraphFont"/>
    <w:link w:val="TableText"/>
    <w:rsid w:val="009E6829"/>
    <w:rPr>
      <w:rFonts w:ascii="Georgia" w:eastAsia="Times New Roman" w:hAnsi="Georgia" w:cs="Times New Roman"/>
      <w:sz w:val="20"/>
      <w:lang w:eastAsia="en-GB"/>
    </w:rPr>
  </w:style>
  <w:style w:type="character" w:customStyle="1" w:styleId="Style1Char">
    <w:name w:val="Style1 Char"/>
    <w:basedOn w:val="TableTextChar"/>
    <w:link w:val="Style1"/>
    <w:rsid w:val="001C343C"/>
    <w:rPr>
      <w:rFonts w:ascii="Georgia" w:eastAsia="Times New Roman" w:hAnsi="Georgia" w:cs="Times New Roman"/>
      <w:noProof/>
      <w:sz w:val="20"/>
      <w:lang w:eastAsia="en-NZ"/>
    </w:rPr>
  </w:style>
  <w:style w:type="character" w:styleId="SubtleEmphasis">
    <w:name w:val="Subtle Emphasis"/>
    <w:basedOn w:val="DefaultParagraphFont"/>
    <w:uiPriority w:val="19"/>
    <w:qFormat/>
    <w:rsid w:val="009E6829"/>
    <w:rPr>
      <w:i/>
      <w:iCs/>
      <w:color w:val="404040" w:themeColor="text1" w:themeTint="BF"/>
    </w:rPr>
  </w:style>
  <w:style w:type="character" w:customStyle="1" w:styleId="Style2Char">
    <w:name w:val="Style2 Char"/>
    <w:basedOn w:val="Style1Char"/>
    <w:link w:val="Style2"/>
    <w:rsid w:val="00777B29"/>
    <w:rPr>
      <w:rFonts w:ascii="Georgia" w:eastAsia="Times New Roman" w:hAnsi="Georgia" w:cs="Times New Roman"/>
      <w:noProof/>
      <w:color w:val="C00000"/>
      <w:sz w:val="20"/>
      <w:lang w:eastAsia="en-NZ"/>
    </w:rPr>
  </w:style>
  <w:style w:type="paragraph" w:customStyle="1" w:styleId="Style3">
    <w:name w:val="Style3"/>
    <w:basedOn w:val="Style1"/>
    <w:link w:val="Style3Char"/>
    <w:qFormat/>
    <w:rsid w:val="00777B29"/>
    <w:rPr>
      <w:b/>
    </w:rPr>
  </w:style>
  <w:style w:type="character" w:customStyle="1" w:styleId="Style3Char">
    <w:name w:val="Style3 Char"/>
    <w:basedOn w:val="Style1Char"/>
    <w:link w:val="Style3"/>
    <w:rsid w:val="00777B29"/>
    <w:rPr>
      <w:rFonts w:ascii="Georgia" w:eastAsia="Times New Roman" w:hAnsi="Georgia" w:cs="Times New Roman"/>
      <w:b/>
      <w:noProof/>
      <w:sz w:val="20"/>
      <w:lang w:eastAsia="en-NZ"/>
    </w:rPr>
  </w:style>
  <w:style w:type="character" w:styleId="CommentReference">
    <w:name w:val="annotation reference"/>
    <w:basedOn w:val="DefaultParagraphFont"/>
    <w:uiPriority w:val="99"/>
    <w:semiHidden/>
    <w:unhideWhenUsed/>
    <w:rsid w:val="001C2362"/>
    <w:rPr>
      <w:sz w:val="18"/>
      <w:szCs w:val="18"/>
    </w:rPr>
  </w:style>
  <w:style w:type="paragraph" w:styleId="CommentText">
    <w:name w:val="annotation text"/>
    <w:basedOn w:val="Normal"/>
    <w:link w:val="CommentTextChar"/>
    <w:uiPriority w:val="99"/>
    <w:unhideWhenUsed/>
    <w:rsid w:val="001C2362"/>
    <w:pPr>
      <w:spacing w:line="240" w:lineRule="auto"/>
    </w:pPr>
    <w:rPr>
      <w:sz w:val="24"/>
      <w:szCs w:val="24"/>
    </w:rPr>
  </w:style>
  <w:style w:type="character" w:customStyle="1" w:styleId="CommentTextChar">
    <w:name w:val="Comment Text Char"/>
    <w:basedOn w:val="DefaultParagraphFont"/>
    <w:link w:val="CommentText"/>
    <w:uiPriority w:val="99"/>
    <w:rsid w:val="001C2362"/>
    <w:rPr>
      <w:rFonts w:ascii="Georgia" w:eastAsia="Times New Roman" w:hAnsi="Georgia"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C2362"/>
    <w:rPr>
      <w:b/>
      <w:bCs/>
      <w:sz w:val="20"/>
      <w:szCs w:val="20"/>
    </w:rPr>
  </w:style>
  <w:style w:type="character" w:customStyle="1" w:styleId="CommentSubjectChar">
    <w:name w:val="Comment Subject Char"/>
    <w:basedOn w:val="CommentTextChar"/>
    <w:link w:val="CommentSubject"/>
    <w:uiPriority w:val="99"/>
    <w:semiHidden/>
    <w:rsid w:val="001C2362"/>
    <w:rPr>
      <w:rFonts w:ascii="Georgia" w:eastAsia="Times New Roman" w:hAnsi="Georgia" w:cs="Times New Roman"/>
      <w:b/>
      <w:bCs/>
      <w:sz w:val="20"/>
      <w:szCs w:val="20"/>
      <w:lang w:eastAsia="en-GB"/>
    </w:rPr>
  </w:style>
  <w:style w:type="paragraph" w:customStyle="1" w:styleId="Style4">
    <w:name w:val="Style4"/>
    <w:basedOn w:val="Style2"/>
    <w:qFormat/>
    <w:rsid w:val="00C04C9F"/>
    <w:pPr>
      <w:framePr w:wrap="around"/>
      <w:ind w:left="0" w:firstLine="0"/>
    </w:pPr>
  </w:style>
  <w:style w:type="character" w:customStyle="1" w:styleId="ListParagraphChar">
    <w:name w:val="List Paragraph Char"/>
    <w:basedOn w:val="DefaultParagraphFont"/>
    <w:link w:val="ListParagraph"/>
    <w:uiPriority w:val="34"/>
    <w:rsid w:val="001541ED"/>
    <w:rPr>
      <w:rFonts w:ascii="Georgia" w:eastAsia="Times New Roman" w:hAnsi="Georgia" w:cs="Times New Roman"/>
      <w:sz w:val="20"/>
      <w:szCs w:val="24"/>
      <w:lang w:eastAsia="en-GB"/>
    </w:rPr>
  </w:style>
  <w:style w:type="paragraph" w:styleId="Revision">
    <w:name w:val="Revision"/>
    <w:hidden/>
    <w:uiPriority w:val="99"/>
    <w:semiHidden/>
    <w:rsid w:val="00286D66"/>
    <w:pPr>
      <w:spacing w:after="0" w:line="240" w:lineRule="auto"/>
    </w:pPr>
    <w:rPr>
      <w:rFonts w:ascii="Georgia" w:eastAsia="Times New Roman" w:hAnsi="Georgia" w:cs="Times New Roman"/>
      <w:sz w:val="20"/>
      <w:szCs w:val="20"/>
      <w:lang w:eastAsia="en-GB"/>
    </w:rPr>
  </w:style>
  <w:style w:type="character" w:styleId="Hyperlink">
    <w:name w:val="Hyperlink"/>
    <w:basedOn w:val="DefaultParagraphFont"/>
    <w:uiPriority w:val="99"/>
    <w:unhideWhenUsed/>
    <w:rsid w:val="00E24F63"/>
    <w:rPr>
      <w:color w:val="0563C1" w:themeColor="hyperlink"/>
      <w:u w:val="single"/>
    </w:rPr>
  </w:style>
  <w:style w:type="character" w:styleId="FollowedHyperlink">
    <w:name w:val="FollowedHyperlink"/>
    <w:basedOn w:val="DefaultParagraphFont"/>
    <w:uiPriority w:val="99"/>
    <w:semiHidden/>
    <w:unhideWhenUsed/>
    <w:rsid w:val="00E24F63"/>
    <w:rPr>
      <w:color w:val="954F72" w:themeColor="followedHyperlink"/>
      <w:u w:val="single"/>
    </w:rPr>
  </w:style>
  <w:style w:type="paragraph" w:customStyle="1" w:styleId="EndNoteBibliographyTitle">
    <w:name w:val="EndNote Bibliography Title"/>
    <w:basedOn w:val="Normal"/>
    <w:link w:val="EndNoteBibliographyTitleChar"/>
    <w:rsid w:val="00E24F63"/>
    <w:pPr>
      <w:jc w:val="center"/>
    </w:pPr>
    <w:rPr>
      <w:noProof/>
      <w:lang w:val="en-GB"/>
    </w:rPr>
  </w:style>
  <w:style w:type="character" w:customStyle="1" w:styleId="EndNoteBibliographyTitleChar">
    <w:name w:val="EndNote Bibliography Title Char"/>
    <w:basedOn w:val="DefaultParagraphFont"/>
    <w:link w:val="EndNoteBibliographyTitle"/>
    <w:rsid w:val="00E24F63"/>
    <w:rPr>
      <w:rFonts w:ascii="Georgia" w:eastAsia="Times New Roman" w:hAnsi="Georgia" w:cs="Times New Roman"/>
      <w:noProof/>
      <w:sz w:val="20"/>
      <w:szCs w:val="20"/>
      <w:lang w:val="en-GB" w:eastAsia="en-GB"/>
    </w:rPr>
  </w:style>
  <w:style w:type="paragraph" w:customStyle="1" w:styleId="EndNoteBibliography">
    <w:name w:val="EndNote Bibliography"/>
    <w:basedOn w:val="Normal"/>
    <w:link w:val="EndNoteBibliographyChar"/>
    <w:rsid w:val="00E24F63"/>
    <w:pPr>
      <w:spacing w:line="240" w:lineRule="auto"/>
    </w:pPr>
    <w:rPr>
      <w:noProof/>
      <w:lang w:val="en-GB"/>
    </w:rPr>
  </w:style>
  <w:style w:type="character" w:customStyle="1" w:styleId="EndNoteBibliographyChar">
    <w:name w:val="EndNote Bibliography Char"/>
    <w:basedOn w:val="DefaultParagraphFont"/>
    <w:link w:val="EndNoteBibliography"/>
    <w:rsid w:val="00E24F63"/>
    <w:rPr>
      <w:rFonts w:ascii="Georgia" w:eastAsia="Times New Roman" w:hAnsi="Georgia" w:cs="Times New Roman"/>
      <w:noProof/>
      <w:sz w:val="20"/>
      <w:szCs w:val="20"/>
      <w:lang w:val="en-GB" w:eastAsia="en-GB"/>
    </w:rPr>
  </w:style>
  <w:style w:type="character" w:styleId="UnresolvedMention">
    <w:name w:val="Unresolved Mention"/>
    <w:basedOn w:val="DefaultParagraphFont"/>
    <w:uiPriority w:val="99"/>
    <w:semiHidden/>
    <w:unhideWhenUsed/>
    <w:rsid w:val="00E24F63"/>
    <w:rPr>
      <w:color w:val="605E5C"/>
      <w:shd w:val="clear" w:color="auto" w:fill="E1DFDD"/>
    </w:rPr>
  </w:style>
  <w:style w:type="character" w:styleId="PlaceholderText">
    <w:name w:val="Placeholder Text"/>
    <w:basedOn w:val="DefaultParagraphFont"/>
    <w:uiPriority w:val="99"/>
    <w:semiHidden/>
    <w:rsid w:val="00C43429"/>
    <w:rPr>
      <w:color w:val="808080"/>
    </w:rPr>
  </w:style>
  <w:style w:type="paragraph" w:customStyle="1" w:styleId="Default">
    <w:name w:val="Default"/>
    <w:rsid w:val="00D92879"/>
    <w:pPr>
      <w:autoSpaceDE w:val="0"/>
      <w:autoSpaceDN w:val="0"/>
      <w:adjustRightInd w:val="0"/>
      <w:spacing w:after="0" w:line="240" w:lineRule="auto"/>
    </w:pPr>
    <w:rPr>
      <w:rFonts w:ascii="Georgia" w:hAnsi="Georgia" w:cs="Georgia"/>
      <w:color w:val="000000"/>
      <w:sz w:val="24"/>
      <w:szCs w:val="24"/>
    </w:rPr>
  </w:style>
  <w:style w:type="table" w:customStyle="1" w:styleId="TableGrid0">
    <w:name w:val="TableGrid"/>
    <w:rsid w:val="0096087D"/>
    <w:pPr>
      <w:spacing w:after="0" w:line="240" w:lineRule="auto"/>
    </w:pPr>
    <w:rPr>
      <w:rFonts w:eastAsiaTheme="minorEastAsia"/>
      <w:kern w:val="2"/>
      <w:lang w:eastAsia="en-NZ"/>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30584">
      <w:bodyDiv w:val="1"/>
      <w:marLeft w:val="0"/>
      <w:marRight w:val="0"/>
      <w:marTop w:val="0"/>
      <w:marBottom w:val="0"/>
      <w:divBdr>
        <w:top w:val="none" w:sz="0" w:space="0" w:color="auto"/>
        <w:left w:val="none" w:sz="0" w:space="0" w:color="auto"/>
        <w:bottom w:val="none" w:sz="0" w:space="0" w:color="auto"/>
        <w:right w:val="none" w:sz="0" w:space="0" w:color="auto"/>
      </w:divBdr>
    </w:div>
    <w:div w:id="1484203979">
      <w:bodyDiv w:val="1"/>
      <w:marLeft w:val="0"/>
      <w:marRight w:val="0"/>
      <w:marTop w:val="0"/>
      <w:marBottom w:val="0"/>
      <w:divBdr>
        <w:top w:val="none" w:sz="0" w:space="0" w:color="auto"/>
        <w:left w:val="none" w:sz="0" w:space="0" w:color="auto"/>
        <w:bottom w:val="none" w:sz="0" w:space="0" w:color="auto"/>
        <w:right w:val="none" w:sz="0" w:space="0" w:color="auto"/>
      </w:divBdr>
    </w:div>
    <w:div w:id="1550804807">
      <w:bodyDiv w:val="1"/>
      <w:marLeft w:val="0"/>
      <w:marRight w:val="0"/>
      <w:marTop w:val="0"/>
      <w:marBottom w:val="0"/>
      <w:divBdr>
        <w:top w:val="none" w:sz="0" w:space="0" w:color="auto"/>
        <w:left w:val="none" w:sz="0" w:space="0" w:color="auto"/>
        <w:bottom w:val="none" w:sz="0" w:space="0" w:color="auto"/>
        <w:right w:val="none" w:sz="0" w:space="0" w:color="auto"/>
      </w:divBdr>
    </w:div>
    <w:div w:id="1745296193">
      <w:bodyDiv w:val="1"/>
      <w:marLeft w:val="0"/>
      <w:marRight w:val="0"/>
      <w:marTop w:val="0"/>
      <w:marBottom w:val="0"/>
      <w:divBdr>
        <w:top w:val="none" w:sz="0" w:space="0" w:color="auto"/>
        <w:left w:val="none" w:sz="0" w:space="0" w:color="auto"/>
        <w:bottom w:val="none" w:sz="0" w:space="0" w:color="auto"/>
        <w:right w:val="none" w:sz="0" w:space="0" w:color="auto"/>
      </w:divBdr>
    </w:div>
    <w:div w:id="17515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g.cheung@auckland.ac.nz"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87741BB4B941EB999007A21806FA1B"/>
        <w:category>
          <w:name w:val="General"/>
          <w:gallery w:val="placeholder"/>
        </w:category>
        <w:types>
          <w:type w:val="bbPlcHdr"/>
        </w:types>
        <w:behaviors>
          <w:behavior w:val="content"/>
        </w:behaviors>
        <w:guid w:val="{5871778C-FEAD-4D17-AC46-443A5B19FBE0}"/>
      </w:docPartPr>
      <w:docPartBody>
        <w:p w:rsidR="00625164" w:rsidRDefault="00802ECE" w:rsidP="00802ECE">
          <w:pPr>
            <w:pStyle w:val="A587741BB4B941EB999007A21806FA1B"/>
          </w:pPr>
          <w:r w:rsidRPr="00980D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64"/>
    <w:rsid w:val="000B06C2"/>
    <w:rsid w:val="001109AB"/>
    <w:rsid w:val="002010D5"/>
    <w:rsid w:val="002A3A01"/>
    <w:rsid w:val="00333B58"/>
    <w:rsid w:val="0037585D"/>
    <w:rsid w:val="003F7B1F"/>
    <w:rsid w:val="00446A55"/>
    <w:rsid w:val="00467078"/>
    <w:rsid w:val="00566769"/>
    <w:rsid w:val="00567668"/>
    <w:rsid w:val="005C2894"/>
    <w:rsid w:val="00625164"/>
    <w:rsid w:val="007A1751"/>
    <w:rsid w:val="00802ECE"/>
    <w:rsid w:val="00963D70"/>
    <w:rsid w:val="00A877CA"/>
    <w:rsid w:val="00B90559"/>
    <w:rsid w:val="00BE3A53"/>
    <w:rsid w:val="00E75D6B"/>
    <w:rsid w:val="00EF47A6"/>
    <w:rsid w:val="00F34FCB"/>
    <w:rsid w:val="00FB2964"/>
    <w:rsid w:val="00FE69F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ECE"/>
    <w:rPr>
      <w:color w:val="808080"/>
    </w:rPr>
  </w:style>
  <w:style w:type="paragraph" w:customStyle="1" w:styleId="A587741BB4B941EB999007A21806FA1B">
    <w:name w:val="A587741BB4B941EB999007A21806FA1B"/>
    <w:rsid w:val="00802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200" ma:contentTypeDescription="Create a new document." ma:contentTypeScope="" ma:versionID="9f60621e19bc6bdac46972585240e7c3">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469f5bd680f9ef88eeca1d82cb29e184"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MediaLengthInSeconds" minOccurs="0"/>
                <xsd:element ref="ns9:MediaServiceDateTaken" minOccurs="0"/>
                <xsd:element ref="ns9:lcf76f155ced4ddcb4097134ff3c332f" minOccurs="0"/>
                <xsd:element ref="ns2:TaxCatchAll" minOccurs="0"/>
                <xsd:element ref="ns9:MediaServiceObjectDetectorVersions" minOccurs="0"/>
                <xsd:element ref="ns9:MediaServiceOCR" minOccurs="0"/>
                <xsd:element ref="ns9:MediaServiceGenerationTime" minOccurs="0"/>
                <xsd:element ref="ns9:MediaServiceEventHashCode"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91a482fb-4422-4f4e-afc6-6844365c28d6}"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Evidence and Research" ma:hidden="true" ma:internalName="FunctionGroup" ma:readOnly="false">
      <xsd:simpleType>
        <xsd:restriction base="dms:Text">
          <xsd:maxLength value="255"/>
        </xsd:restriction>
      </xsd:simpleType>
    </xsd:element>
    <xsd:element name="Function" ma:index="22" nillable="true" ma:displayName="Function" ma:default="Research"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Research"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LengthInSeconds" ma:index="55" nillable="true" ma:displayName="MediaLengthInSeconds" ma:hidden="true" ma:internalName="MediaLengthInSeconds" ma:readOnly="true">
      <xsd:simpleType>
        <xsd:restriction base="dms:Unknown"/>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0" nillable="true" ma:displayName="MediaServiceObjectDetectorVersions" ma:hidden="true" ma:indexed="true" ma:internalName="MediaServiceObjectDetectorVersions" ma:readOnly="true">
      <xsd:simpleType>
        <xsd:restriction base="dms:Text"/>
      </xsd:simple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Contract management</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Research</Team>
    <Project xmlns="4f9c820c-e7e2-444d-97ee-45f2b3485c1d">NA</Project>
    <HasNHI xmlns="184c05c4-c568-455d-94a4-7e009b164348">false</HasNHI>
    <FunctionGroup xmlns="4f9c820c-e7e2-444d-97ee-45f2b3485c1d">Evidence and Research</FunctionGroup>
    <Function xmlns="4f9c820c-e7e2-444d-97ee-45f2b3485c1d">Research</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COVID-19 and National Immunisation Programme Research</CategoryName>
    <PRADateTrigger xmlns="4f9c820c-e7e2-444d-97ee-45f2b3485c1d" xsi:nil="true"/>
    <PRAText2 xmlns="4f9c820c-e7e2-444d-97ee-45f2b3485c1d" xsi:nil="true"/>
    <zLegacyID xmlns="184c05c4-c568-455d-94a4-7e009b164348" xsi:nil="true"/>
    <_dlc_DocId xmlns="c5b47098-0215-444c-9096-523bda4ac5c6">MOHECM-374881106-6590</_dlc_DocId>
    <_dlc_DocIdUrl xmlns="c5b47098-0215-444c-9096-523bda4ac5c6">
      <Url>https://mohgovtnz.sharepoint.com/sites/moh-ecm-FunComRes/_layouts/15/DocIdRedir.aspx?ID=MOHECM-374881106-6590</Url>
      <Description>MOHECM-374881106-6590</Description>
    </_dlc_DocIdUrl>
    <TaxCatchAll xmlns="c5b47098-0215-444c-9096-523bda4ac5c6" xsi:nil="true"/>
    <lcf76f155ced4ddcb4097134ff3c332f xmlns="54904628-6268-4ac5-9416-97794f1d5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1DD04B-AF94-4B7F-B14B-3CB7607BD09B}">
  <ds:schemaRefs>
    <ds:schemaRef ds:uri="http://schemas.openxmlformats.org/officeDocument/2006/bibliography"/>
  </ds:schemaRefs>
</ds:datastoreItem>
</file>

<file path=customXml/itemProps2.xml><?xml version="1.0" encoding="utf-8"?>
<ds:datastoreItem xmlns:ds="http://schemas.openxmlformats.org/officeDocument/2006/customXml" ds:itemID="{11B3B153-7477-414D-859A-4A26C180B09F}"/>
</file>

<file path=customXml/itemProps3.xml><?xml version="1.0" encoding="utf-8"?>
<ds:datastoreItem xmlns:ds="http://schemas.openxmlformats.org/officeDocument/2006/customXml" ds:itemID="{0D087787-3D14-46C4-9DA8-9A1652D0F0CE}">
  <ds:schemaRefs>
    <ds:schemaRef ds:uri="http://schemas.microsoft.com/sharepoint/events"/>
  </ds:schemaRefs>
</ds:datastoreItem>
</file>

<file path=customXml/itemProps4.xml><?xml version="1.0" encoding="utf-8"?>
<ds:datastoreItem xmlns:ds="http://schemas.openxmlformats.org/officeDocument/2006/customXml" ds:itemID="{4C5297D9-482A-4669-AE59-86A504A9CCBD}">
  <ds:schemaRefs>
    <ds:schemaRef ds:uri="http://schemas.microsoft.com/sharepoint/v3/contenttype/forms"/>
  </ds:schemaRefs>
</ds:datastoreItem>
</file>

<file path=customXml/itemProps5.xml><?xml version="1.0" encoding="utf-8"?>
<ds:datastoreItem xmlns:ds="http://schemas.openxmlformats.org/officeDocument/2006/customXml" ds:itemID="{2BD5B17F-C20F-471C-ADF8-2636E5D6C211}">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c5b47098-0215-444c-9096-523bda4ac5c6"/>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1670</Words>
  <Characters>9767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Progress report: COVID-19 and National Immunisation Programme research</vt:lpstr>
    </vt:vector>
  </TitlesOfParts>
  <Company/>
  <LinksUpToDate>false</LinksUpToDate>
  <CharactersWithSpaces>11415</CharactersWithSpaces>
  <SharedDoc>false</SharedDoc>
  <HLinks>
    <vt:vector size="6" baseType="variant">
      <vt:variant>
        <vt:i4>327798</vt:i4>
      </vt:variant>
      <vt:variant>
        <vt:i4>0</vt:i4>
      </vt:variant>
      <vt:variant>
        <vt:i4>0</vt:i4>
      </vt:variant>
      <vt:variant>
        <vt:i4>5</vt:i4>
      </vt:variant>
      <vt:variant>
        <vt:lpwstr>mailto:research@health.govt.nz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COVID-19 and National Immunisation Programme research</dc:title>
  <dc:subject/>
  <dc:creator>Ministry of Health</dc:creator>
  <cp:keywords/>
  <dc:description/>
  <cp:lastModifiedBy>Emma Bailey</cp:lastModifiedBy>
  <cp:revision>2</cp:revision>
  <dcterms:created xsi:type="dcterms:W3CDTF">2024-08-01T20:49:00Z</dcterms:created>
  <dcterms:modified xsi:type="dcterms:W3CDTF">2024-08-01T20:49:00Z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2022-06-08T01:25:17Z</vt:lpwstr>
  </property>
  <property fmtid="{D5CDD505-2E9C-101B-9397-08002B2CF9AE}" pid="4" name="MSIP_Label_bd9e4d68-54d0-40a5-8c9a-85a36c87352c_Method">
    <vt:lpwstr>Privileged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8bdc69a5-3d17-46fa-b776-8bb62c126ecf</vt:lpwstr>
  </property>
  <property fmtid="{D5CDD505-2E9C-101B-9397-08002B2CF9AE}" pid="8" name="MSIP_Label_bd9e4d68-54d0-40a5-8c9a-85a36c87352c_ContentBits">
    <vt:lpwstr>0</vt:lpwstr>
  </property>
  <property fmtid="{D5CDD505-2E9C-101B-9397-08002B2CF9AE}" pid="9" name="ContentTypeId">
    <vt:lpwstr>0x010100A28230263C7D7A4FB197614F88F6A462</vt:lpwstr>
  </property>
  <property fmtid="{D5CDD505-2E9C-101B-9397-08002B2CF9AE}" pid="10" name="_dlc_DocIdItemGuid">
    <vt:lpwstr>c82f884a-42d4-49ab-a99a-5b980b073f72</vt:lpwstr>
  </property>
  <property fmtid="{D5CDD505-2E9C-101B-9397-08002B2CF9AE}" pid="11" name="GrammarlyDocumentId">
    <vt:lpwstr>5535a0ebdc4e42db7438dfccce46be67641852b5078433007f97764f30de1796</vt:lpwstr>
  </property>
  <property fmtid="{D5CDD505-2E9C-101B-9397-08002B2CF9AE}" pid="12" name="MediaServiceImageTags">
    <vt:lpwstr/>
  </property>
</Properties>
</file>