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80F4" w14:textId="77777777" w:rsidR="00CE362F" w:rsidRDefault="00CE362F" w:rsidP="00CE362F">
      <w:pPr>
        <w:pStyle w:val="Title"/>
      </w:pPr>
    </w:p>
    <w:p w14:paraId="5C81B1FB" w14:textId="77777777" w:rsidR="00CE362F" w:rsidRDefault="00CE362F" w:rsidP="00CE362F">
      <w:pPr>
        <w:pStyle w:val="Title"/>
      </w:pPr>
    </w:p>
    <w:p w14:paraId="7695E3DE" w14:textId="77777777" w:rsidR="00CE362F" w:rsidRPr="006E17A9" w:rsidRDefault="00CE362F" w:rsidP="00CE362F">
      <w:pPr>
        <w:pStyle w:val="Title"/>
        <w:tabs>
          <w:tab w:val="left" w:pos="1985"/>
        </w:tabs>
        <w:rPr>
          <w:sz w:val="56"/>
          <w:szCs w:val="18"/>
        </w:rPr>
      </w:pPr>
      <w:r w:rsidRPr="006E17A9">
        <w:rPr>
          <w:sz w:val="56"/>
          <w:szCs w:val="18"/>
        </w:rPr>
        <w:t>Final report summary</w:t>
      </w:r>
    </w:p>
    <w:p w14:paraId="6F53A059" w14:textId="77777777" w:rsidR="00CE362F" w:rsidRDefault="00CE362F" w:rsidP="00CE362F">
      <w:pPr>
        <w:pStyle w:val="Subhead"/>
        <w:spacing w:after="840"/>
      </w:pPr>
      <w:r w:rsidRPr="00F94476">
        <w:t>COVID-19 and National Immunisation Programme research</w:t>
      </w:r>
    </w:p>
    <w:p w14:paraId="763B7B54" w14:textId="2BEDC36A" w:rsidR="00CE362F" w:rsidRDefault="00CE362F" w:rsidP="00CE362F">
      <w:pPr>
        <w:pStyle w:val="Subhead"/>
        <w:spacing w:after="840"/>
      </w:pPr>
      <w:r w:rsidRPr="00D762B4">
        <w:rPr>
          <w:b/>
        </w:rPr>
        <w:t>Submitted by</w:t>
      </w:r>
      <w:r w:rsidRPr="00D762B4">
        <w:br/>
      </w:r>
      <w:sdt>
        <w:sdtPr>
          <w:alias w:val="Organisation names"/>
          <w:tag w:val="Organisation names"/>
          <w:id w:val="-1840685219"/>
          <w:placeholder>
            <w:docPart w:val="A587741BB4B941EB999007A21806FA1B"/>
          </w:placeholder>
          <w:dropDownList>
            <w:listItem w:value="Choose an item."/>
            <w:listItem w:displayText="Auckland UniServices Ltd" w:value="Auckland UniServices Ltd"/>
            <w:listItem w:displayText="Auckland University of Technology" w:value="Auckland University of Technology"/>
            <w:listItem w:displayText="ESR" w:value="ESR"/>
            <w:listItem w:displayText="Manawa Ora - Centre for Health" w:value="Manawa Ora - Centre for Health"/>
            <w:listItem w:displayText="Moana Research" w:value="Moana Research"/>
            <w:listItem w:displayText="NIWA" w:value="NIWA"/>
            <w:listItem w:displayText="Te Atawhai o Te Ao" w:value="Te Atawhai o Te Ao"/>
            <w:listItem w:displayText="Te Hauora o Tūranganui a Kiwa " w:value="Te Hauora o Tūranganui a Kiwa "/>
            <w:listItem w:displayText="Te Whatu Ora Health New Zealand" w:value="Te Whatu Ora Health New Zealand"/>
            <w:listItem w:displayText="University of Otago" w:value="University of Otago"/>
            <w:listItem w:displayText="Victoria University of Wellington" w:value="Victoria University of Wellington"/>
          </w:dropDownList>
        </w:sdtPr>
        <w:sdtEndPr/>
        <w:sdtContent>
          <w:r w:rsidR="006712B4">
            <w:t>ESR</w:t>
          </w:r>
        </w:sdtContent>
      </w:sdt>
    </w:p>
    <w:p w14:paraId="62F72F3D" w14:textId="77777777" w:rsidR="00CE362F" w:rsidRDefault="00CE362F" w:rsidP="00CE362F">
      <w:pPr>
        <w:pStyle w:val="Subhead"/>
        <w:spacing w:after="840"/>
        <w:rPr>
          <w:b/>
        </w:rPr>
      </w:pPr>
    </w:p>
    <w:p w14:paraId="3FDC1C63" w14:textId="51ACA5B7" w:rsidR="00CE362F" w:rsidRDefault="00CE362F" w:rsidP="00CE362F">
      <w:pPr>
        <w:pStyle w:val="Subhead"/>
        <w:spacing w:after="840"/>
      </w:pPr>
      <w:r>
        <w:rPr>
          <w:b/>
        </w:rPr>
        <w:t>Project title</w:t>
      </w:r>
      <w:r w:rsidRPr="00D762B4">
        <w:rPr>
          <w:b/>
        </w:rPr>
        <w:t xml:space="preserve"> </w:t>
      </w:r>
      <w:r w:rsidRPr="00D762B4">
        <w:br/>
      </w:r>
      <w:sdt>
        <w:sdtPr>
          <w:id w:val="1774748417"/>
          <w:placeholder>
            <w:docPart w:val="A587741BB4B941EB999007A21806FA1B"/>
          </w:placeholder>
          <w:dropDownList>
            <w:listItem w:value="Choose an item."/>
            <w:listItem w:displayText="PROP-002 Impact of the COVID-19 Delta-Omicron outbreak on the health and psychosocial wellbeing of New Zealanders living in aged residential care" w:value="PROP-002 Impact of the COVID-19 Delta-Omicron outbreak on the health and psychosocial wellbeing of New Zealanders living in aged residential care"/>
            <w:listItem w:displayText="PROP-007 Pacific Contribution to the NZ Covid-19 Response – Strengths, Weaknesses and Missed Opportunities" w:value="PROP-007 Pacific Contribution to the NZ Covid-19 Response – Strengths, Weaknesses and Missed Opportunities"/>
            <w:listItem w:displayText="PROP-011 The Burden of Long Covid in Aotearoa New Zealand: Establishing a Registry" w:value="PROP-011 The Burden of Long Covid in Aotearoa New Zealand: Establishing a Registry"/>
            <w:listItem w:displayText="PROP-017 Impact of COVID-19 on childhood vaccine uptake and ways forward for equitable immunisation services" w:value="PROP-017 Impact of COVID-19 on childhood vaccine uptake and ways forward for equitable immunisation services"/>
            <w:listItem w:displayText="PROP-019 The Niue community’s experiences during the COVID-19 pandemic: an application of the Matalili Framework to inform future COVID-19 and vaccination initiatives in Aotearoa New Zealand." w:value="PROP-019 The Niue community’s experiences during the COVID-19 pandemic: an application of the Matalili Framework to inform future COVID-19 and vaccination initiatives in Aotearoa New Zealand."/>
            <w:listItem w:displayText="PROP-020 The role of vaccine mandates in New Zealand’s COVID-19 response" w:value="PROP-020 The role of vaccine mandates in New Zealand’s COVID-19 response"/>
            <w:listItem w:displayText="PROP-028 The impact of COVID-19 vaccination on disease burden and transmission and its vaccine effectiveness among participants of SHIVERS/WellKiwis community and household cohorts" w:value="PROP-028 The impact of COVID-19 vaccination on disease burden and transmission and its vaccine effectiveness among participants of SHIVERS/WellKiwis community and household cohorts"/>
            <w:listItem w:displayText="PROP-031 Whānau, hapū and iwi responses to the vaccination rollout" w:value="PROP-031 Whānau, hapū and iwi responses to the vaccination rollout"/>
            <w:listItem w:displayText="PROP-036 Clearing the air: Reducing COVID-19 transmission through increased ventilation" w:value="PROP-036 Clearing the air: Reducing COVID-19 transmission through increased ventilation"/>
            <w:listItem w:displayText="PROP-041 Impact of COVID-19 on Pacific peoples vaccination beliefs and behaviours, including Pacific COVID-19 + Well Child immunisation rates" w:value="PROP-041 Impact of COVID-19 on Pacific peoples vaccination beliefs and behaviours, including Pacific COVID-19 + Well Child immunisation rates"/>
            <w:listItem w:displayText="PROP-046 Post-Marketing safety monitoring of COVID -19 vaccines in NZ populations – A gold standard approach" w:value="PROP-046 Post-Marketing safety monitoring of COVID -19 vaccines in NZ populations – A gold standard approach"/>
            <w:listItem w:displayText="PROP-047 Examining vaccine effectiveness of two and three doses of Comirnaty mRNA vaccine during the 2022 Omicron wave in Aotearoa" w:value="PROP-047 Examining vaccine effectiveness of two and three doses of Comirnaty mRNA vaccine during the 2022 Omicron wave in Aotearoa"/>
            <w:listItem w:displayText="PROP-048 Turanga Tangata Rite" w:value="PROP-048 Turanga Tangata Rite"/>
            <w:listItem w:displayText="PROP-049 Tino Rangatiratanga during the COVID-19 Pandemic" w:value="PROP-049 Tino Rangatiratanga during the COVID-19 Pandemic"/>
            <w:listItem w:displayText="PROP-051 Child vaccine hesitancy: Predictors of parents’ COVID-19 vaccine uptake for their children, impact on vaccine uptake of the national immunisation schedule, and translational findings for equitable immunisation outcomes among children in Aotearoa N" w:value="PROP-051 Child vaccine hesitancy: Predictors of parents’ COVID-19 vaccine uptake for their children, impact on vaccine uptake of the national immunisation schedule, and translational findings for equitable immunisation outcomes among children in Aotearoa N"/>
            <w:listItem w:displayText="PROP-053 COVID-19 Vaccine Evaluation (COVE) in Aotearoa New Zealand" w:value="PROP-053 COVID-19 Vaccine Evaluation (COVE) in Aotearoa New Zealand"/>
            <w:listItem w:displayText="PROP-055 LOGIC study: LOnG term health Impact of Covid-19: Waikato Hospital Cohort" w:value="PROP-055 LOGIC study: LOnG term health Impact of Covid-19: Waikato Hospital Cohort"/>
            <w:listItem w:displayText="PROP-060 The role of digital contact tracing to support improved pandemic responses" w:value="PROP-060 The role of digital contact tracing to support improved pandemic responses"/>
            <w:listItem w:displayText="PROP-061 Understanding key epidemiological features of the Covid-19 pandemic in New Zealand to improve the response" w:value="PROP-061 Understanding key epidemiological features of the Covid-19 pandemic in New Zealand to improve the response"/>
            <w:listItem w:displayText="PROP-065 What can we learn from factors underpinning the rollout of the COVID-19 vaccination programme and pandemic response in different rural communities? A mixed methods study." w:value="PROP-065 What can we learn from factors underpinning the rollout of the COVID-19 vaccination programme and pandemic response in different rural communities? A mixed methods study."/>
            <w:listItem w:displayText="PROP-067 Understanding the impact of vaccination on Covid-19 infection and long-term health outcomes" w:value="PROP-067 Understanding the impact of vaccination on Covid-19 infection and long-term health outcomes"/>
            <w:listItem w:displayText="PROP-071 Does the increased attention to COVID-19 vaccine-related side effects change reporting behaviour for a comparable adult vaccine?" w:value="PROP-071 Does the increased attention to COVID-19 vaccine-related side effects change reporting behaviour for a comparable adult vaccine?"/>
            <w:listItem w:displayText="PROP-073 Māori Solutions for Global Problems: Ngā Hua Akoranga, Learning from MIHI Māori Mobile Vaccination Programme to Achieve Equity" w:value="PROP-073 Māori Solutions for Global Problems: Ngā Hua Akoranga, Learning from MIHI Māori Mobile Vaccination Programme to Achieve Equity"/>
          </w:dropDownList>
        </w:sdtPr>
        <w:sdtEndPr/>
        <w:sdtContent>
          <w:r w:rsidR="00BC0197">
            <w:t>PROP-028 The impact of COVID-19 vaccination on disease burden and transmission and its vaccine effectiveness among participants of SHIVERS/WellKiwis community and household cohorts</w:t>
          </w:r>
        </w:sdtContent>
      </w:sdt>
    </w:p>
    <w:p w14:paraId="7A39EB03" w14:textId="77777777" w:rsidR="00CE362F" w:rsidRPr="00C43429" w:rsidRDefault="00CE362F" w:rsidP="00CE362F"/>
    <w:p w14:paraId="1AF9C542" w14:textId="77777777" w:rsidR="00CE362F" w:rsidRDefault="00CE362F" w:rsidP="00CE362F">
      <w:pPr>
        <w:spacing w:before="0"/>
      </w:pPr>
    </w:p>
    <w:p w14:paraId="7B112F7E" w14:textId="77777777" w:rsidR="00CE362F" w:rsidRDefault="00CE362F" w:rsidP="00CE362F">
      <w:pPr>
        <w:spacing w:before="0"/>
      </w:pPr>
    </w:p>
    <w:p w14:paraId="5D57EFA8" w14:textId="77777777" w:rsidR="00CE362F" w:rsidRDefault="00CE362F" w:rsidP="00CE362F">
      <w:pPr>
        <w:spacing w:before="0"/>
      </w:pPr>
    </w:p>
    <w:p w14:paraId="1B95C9C5" w14:textId="77777777" w:rsidR="00CE362F" w:rsidRDefault="00CE362F" w:rsidP="00CE362F">
      <w:pPr>
        <w:spacing w:before="0"/>
      </w:pPr>
    </w:p>
    <w:p w14:paraId="5C6A563E" w14:textId="77777777" w:rsidR="00CE362F" w:rsidRPr="00142954" w:rsidRDefault="00CE362F" w:rsidP="00CE362F">
      <w:pPr>
        <w:spacing w:before="0"/>
        <w:sectPr w:rsidR="00CE362F" w:rsidRPr="00142954" w:rsidSect="00CB3831">
          <w:headerReference w:type="even" r:id="rId12"/>
          <w:headerReference w:type="default" r:id="rId13"/>
          <w:footerReference w:type="even" r:id="rId14"/>
          <w:footerReference w:type="default" r:id="rId15"/>
          <w:headerReference w:type="first" r:id="rId16"/>
          <w:footerReference w:type="first" r:id="rId17"/>
          <w:pgSz w:w="11907" w:h="16834" w:code="9"/>
          <w:pgMar w:top="851" w:right="1134" w:bottom="1134" w:left="1134" w:header="851" w:footer="851" w:gutter="0"/>
          <w:cols w:space="720"/>
        </w:sectPr>
      </w:pPr>
    </w:p>
    <w:p w14:paraId="767B73E5" w14:textId="77777777" w:rsidR="00CE362F" w:rsidRDefault="00CE362F" w:rsidP="00CE362F">
      <w:pPr>
        <w:pStyle w:val="Heading1"/>
        <w:rPr>
          <w:rFonts w:eastAsiaTheme="majorEastAsia"/>
        </w:rPr>
      </w:pPr>
      <w:bookmarkStart w:id="0" w:name="_Toc99614157"/>
      <w:bookmarkStart w:id="1" w:name="_Toc457431656"/>
      <w:r>
        <w:rPr>
          <w:rFonts w:eastAsiaTheme="majorEastAsia"/>
        </w:rPr>
        <w:lastRenderedPageBreak/>
        <w:t xml:space="preserve">: </w:t>
      </w:r>
      <w:bookmarkEnd w:id="0"/>
      <w:r>
        <w:rPr>
          <w:rFonts w:eastAsiaTheme="majorEastAsia"/>
        </w:rPr>
        <w:t>Contact information</w:t>
      </w:r>
    </w:p>
    <w:p w14:paraId="7919FD31" w14:textId="77777777" w:rsidR="00CE362F" w:rsidRPr="00764A22" w:rsidRDefault="00CE362F" w:rsidP="00CE362F">
      <w:pPr>
        <w:pStyle w:val="Heading2"/>
      </w:pPr>
      <w:r>
        <w:t>Point of Contact for this report</w:t>
      </w:r>
    </w:p>
    <w:p w14:paraId="75133B4E" w14:textId="77777777" w:rsidR="00CE362F" w:rsidRDefault="00CE362F" w:rsidP="00CE362F">
      <w:pPr>
        <w:pStyle w:val="Heading2"/>
        <w:numPr>
          <w:ilvl w:val="0"/>
          <w:numId w:val="0"/>
        </w:numPr>
        <w:rPr>
          <w:rFonts w:eastAsiaTheme="majorEastAsia"/>
        </w:rPr>
      </w:pPr>
    </w:p>
    <w:tbl>
      <w:tblPr>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1797"/>
        <w:gridCol w:w="7832"/>
      </w:tblGrid>
      <w:tr w:rsidR="00CE362F" w14:paraId="3DCAC30C" w14:textId="77777777" w:rsidTr="001B1063">
        <w:trPr>
          <w:cantSplit/>
        </w:trPr>
        <w:tc>
          <w:tcPr>
            <w:tcW w:w="933"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7DD71EEF" w14:textId="77777777" w:rsidR="00CE362F" w:rsidRDefault="00CE362F" w:rsidP="003C3EBC">
            <w:pPr>
              <w:pStyle w:val="Style1"/>
            </w:pPr>
            <w:r>
              <w:t>Item</w:t>
            </w:r>
          </w:p>
        </w:tc>
        <w:tc>
          <w:tcPr>
            <w:tcW w:w="4067"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40CAC3EA" w14:textId="77777777" w:rsidR="00CE362F" w:rsidRDefault="00CE362F" w:rsidP="003C3EBC">
            <w:pPr>
              <w:pStyle w:val="Style1"/>
            </w:pPr>
            <w:r>
              <w:t>Detail</w:t>
            </w:r>
          </w:p>
        </w:tc>
      </w:tr>
      <w:tr w:rsidR="00CE362F" w14:paraId="19349016" w14:textId="77777777" w:rsidTr="001B1063">
        <w:trPr>
          <w:cantSplit/>
        </w:trPr>
        <w:tc>
          <w:tcPr>
            <w:tcW w:w="933" w:type="pct"/>
            <w:tcBorders>
              <w:top w:val="single" w:sz="4" w:space="0" w:color="002B7F"/>
              <w:left w:val="single" w:sz="4" w:space="0" w:color="002B7F"/>
              <w:bottom w:val="dotted" w:sz="4" w:space="0" w:color="002B7F"/>
              <w:right w:val="single" w:sz="4" w:space="0" w:color="002B7F"/>
            </w:tcBorders>
            <w:shd w:val="clear" w:color="auto" w:fill="DEEAF6" w:themeFill="accent1" w:themeFillTint="33"/>
            <w:hideMark/>
          </w:tcPr>
          <w:p w14:paraId="26A97170" w14:textId="77777777" w:rsidR="00CE362F" w:rsidRDefault="00CE362F" w:rsidP="003C3EBC">
            <w:pPr>
              <w:pStyle w:val="Style1"/>
            </w:pPr>
            <w:r>
              <w:t>Contact person</w:t>
            </w:r>
          </w:p>
        </w:tc>
        <w:tc>
          <w:tcPr>
            <w:tcW w:w="4067" w:type="pct"/>
            <w:tcBorders>
              <w:top w:val="single" w:sz="4" w:space="0" w:color="002B7F"/>
              <w:left w:val="single" w:sz="4" w:space="0" w:color="002B7F"/>
              <w:bottom w:val="dotted" w:sz="4" w:space="0" w:color="002B7F"/>
              <w:right w:val="single" w:sz="4" w:space="0" w:color="002B7F"/>
            </w:tcBorders>
            <w:vAlign w:val="center"/>
            <w:hideMark/>
          </w:tcPr>
          <w:p w14:paraId="4D719381" w14:textId="7C033FF3" w:rsidR="00CE362F" w:rsidRDefault="00BC0197" w:rsidP="003C3EBC">
            <w:pPr>
              <w:pStyle w:val="Style1"/>
            </w:pPr>
            <w:r>
              <w:t>Professor Sue Huang</w:t>
            </w:r>
          </w:p>
        </w:tc>
      </w:tr>
      <w:tr w:rsidR="004C51FF" w14:paraId="452948E9"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108855C4" w14:textId="77777777" w:rsidR="004C51FF" w:rsidRDefault="004C51FF" w:rsidP="003C3EBC">
            <w:pPr>
              <w:pStyle w:val="Style1"/>
            </w:pPr>
            <w:r>
              <w:t>Position</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594EF567" w14:textId="2CA859A2" w:rsidR="004C51FF" w:rsidRDefault="004C51FF" w:rsidP="003C3EBC">
            <w:pPr>
              <w:pStyle w:val="Style1"/>
            </w:pPr>
            <w:r>
              <w:t>Principal Investigator of this grant. Director – WHO National Influenza Centre, ESR</w:t>
            </w:r>
          </w:p>
        </w:tc>
      </w:tr>
      <w:tr w:rsidR="004C51FF" w14:paraId="03079B3E"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5BDED9FA" w14:textId="77777777" w:rsidR="004C51FF" w:rsidRDefault="004C51FF" w:rsidP="003C3EBC">
            <w:pPr>
              <w:pStyle w:val="Style1"/>
            </w:pPr>
            <w:r>
              <w:t>Phone number</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0F5D22AA" w14:textId="7D8E2FB0" w:rsidR="004C51FF" w:rsidRDefault="009E4A9C" w:rsidP="003C3EBC">
            <w:pPr>
              <w:pStyle w:val="Style1"/>
            </w:pPr>
            <w:r>
              <w:t>+64 27 216 7833</w:t>
            </w:r>
          </w:p>
        </w:tc>
      </w:tr>
      <w:tr w:rsidR="004C51FF" w14:paraId="7E057CE9"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55DB57F0" w14:textId="77777777" w:rsidR="004C51FF" w:rsidRDefault="004C51FF" w:rsidP="003C3EBC">
            <w:pPr>
              <w:pStyle w:val="Style1"/>
            </w:pPr>
            <w:r>
              <w:t>Mobile number</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5AC977CB" w14:textId="2C59FA15" w:rsidR="004C51FF" w:rsidRDefault="009E4A9C" w:rsidP="003C3EBC">
            <w:pPr>
              <w:pStyle w:val="Style1"/>
            </w:pPr>
            <w:r>
              <w:t>+64 27 216 7833</w:t>
            </w:r>
          </w:p>
        </w:tc>
      </w:tr>
      <w:tr w:rsidR="004C51FF" w14:paraId="7AC77476" w14:textId="77777777" w:rsidTr="001B1063">
        <w:trPr>
          <w:cantSplit/>
        </w:trPr>
        <w:tc>
          <w:tcPr>
            <w:tcW w:w="933" w:type="pct"/>
            <w:tcBorders>
              <w:top w:val="dotted" w:sz="4" w:space="0" w:color="002B7F"/>
              <w:left w:val="single" w:sz="4" w:space="0" w:color="002B7F"/>
              <w:bottom w:val="single" w:sz="4" w:space="0" w:color="002B7F"/>
              <w:right w:val="single" w:sz="4" w:space="0" w:color="002B7F"/>
            </w:tcBorders>
            <w:shd w:val="clear" w:color="auto" w:fill="DEEAF6" w:themeFill="accent1" w:themeFillTint="33"/>
            <w:hideMark/>
          </w:tcPr>
          <w:p w14:paraId="3395F281" w14:textId="77777777" w:rsidR="004C51FF" w:rsidRDefault="004C51FF" w:rsidP="003C3EBC">
            <w:pPr>
              <w:pStyle w:val="Style1"/>
            </w:pPr>
            <w:r>
              <w:t>Email address</w:t>
            </w:r>
          </w:p>
        </w:tc>
        <w:tc>
          <w:tcPr>
            <w:tcW w:w="4067" w:type="pct"/>
            <w:tcBorders>
              <w:top w:val="dotted" w:sz="4" w:space="0" w:color="002B7F"/>
              <w:left w:val="single" w:sz="4" w:space="0" w:color="002B7F"/>
              <w:bottom w:val="single" w:sz="4" w:space="0" w:color="002B7F"/>
              <w:right w:val="single" w:sz="4" w:space="0" w:color="002B7F"/>
            </w:tcBorders>
            <w:vAlign w:val="center"/>
            <w:hideMark/>
          </w:tcPr>
          <w:p w14:paraId="1A84FC15" w14:textId="333291AA" w:rsidR="004C51FF" w:rsidRDefault="00084E47" w:rsidP="003C3EBC">
            <w:pPr>
              <w:pStyle w:val="Style1"/>
            </w:pPr>
            <w:r>
              <w:t>Sue.Huang@esr.cri.nz</w:t>
            </w:r>
          </w:p>
        </w:tc>
      </w:tr>
    </w:tbl>
    <w:p w14:paraId="50CBD3F8" w14:textId="77777777" w:rsidR="00CE362F" w:rsidRDefault="00CE362F" w:rsidP="00CE362F">
      <w:pPr>
        <w:rPr>
          <w:rFonts w:eastAsiaTheme="majorEastAsia"/>
        </w:rPr>
      </w:pPr>
    </w:p>
    <w:p w14:paraId="30CCE362" w14:textId="77777777" w:rsidR="00CE362F" w:rsidRDefault="00CE362F" w:rsidP="00CE362F">
      <w:pPr>
        <w:sectPr w:rsidR="00CE362F" w:rsidSect="00CB3831">
          <w:headerReference w:type="default" r:id="rId18"/>
          <w:footerReference w:type="default" r:id="rId19"/>
          <w:pgSz w:w="11907" w:h="16834" w:code="9"/>
          <w:pgMar w:top="851" w:right="1134" w:bottom="851" w:left="1134" w:header="284" w:footer="567" w:gutter="0"/>
          <w:pgNumType w:start="1"/>
          <w:cols w:space="720"/>
          <w:docGrid w:linePitch="299"/>
        </w:sectPr>
      </w:pPr>
    </w:p>
    <w:p w14:paraId="3F3C0084" w14:textId="77777777" w:rsidR="00CE362F" w:rsidRDefault="00CE362F" w:rsidP="00CE362F">
      <w:pPr>
        <w:pStyle w:val="Heading1"/>
        <w:rPr>
          <w:rFonts w:eastAsiaTheme="majorEastAsia"/>
        </w:rPr>
      </w:pPr>
      <w:r>
        <w:rPr>
          <w:rFonts w:eastAsiaTheme="majorEastAsia"/>
        </w:rPr>
        <w:lastRenderedPageBreak/>
        <w:t>: Reporting</w:t>
      </w:r>
    </w:p>
    <w:p w14:paraId="7BECA097" w14:textId="77777777" w:rsidR="00CE362F" w:rsidRDefault="00CE362F" w:rsidP="00CE362F">
      <w:pPr>
        <w:pStyle w:val="Heading2"/>
        <w:jc w:val="both"/>
      </w:pPr>
      <w:r>
        <w:t>Overview</w:t>
      </w:r>
    </w:p>
    <w:p w14:paraId="1F20D62A" w14:textId="795F87EB" w:rsidR="00CE362F" w:rsidRPr="00F60F83" w:rsidRDefault="00DD000A" w:rsidP="00CE362F">
      <w:pPr>
        <w:jc w:val="both"/>
      </w:pPr>
      <w:r w:rsidRPr="00F60F83">
        <w:t>Key points from the three publications:</w:t>
      </w:r>
    </w:p>
    <w:p w14:paraId="017488C5" w14:textId="0CF401E4" w:rsidR="00093B84" w:rsidRPr="00F60F83" w:rsidRDefault="00CD405B" w:rsidP="00733012">
      <w:pPr>
        <w:pStyle w:val="ListParagraph"/>
        <w:numPr>
          <w:ilvl w:val="0"/>
          <w:numId w:val="44"/>
        </w:numPr>
        <w:jc w:val="both"/>
        <w:rPr>
          <w:rFonts w:ascii="Arial" w:hAnsi="Arial" w:cs="Arial"/>
          <w:szCs w:val="20"/>
        </w:rPr>
      </w:pPr>
      <w:r w:rsidRPr="00F60F83">
        <w:rPr>
          <w:rFonts w:ascii="Arial" w:hAnsi="Arial" w:cs="Arial"/>
          <w:szCs w:val="20"/>
        </w:rPr>
        <w:t>When the world is transitioning to COVID-19 endemicity and cocirculation with influenza, estimates of burden for mild spectrum of illness in community become increasingly important in understanding the full disease pyrami</w:t>
      </w:r>
      <w:r w:rsidR="00B56EE3" w:rsidRPr="00F60F83">
        <w:rPr>
          <w:rFonts w:ascii="Arial" w:hAnsi="Arial" w:cs="Arial"/>
          <w:szCs w:val="20"/>
        </w:rPr>
        <w:t>d, and informing preventative measures, vaccination eligibility and pr</w:t>
      </w:r>
      <w:r w:rsidR="00215B6D" w:rsidRPr="00F60F83">
        <w:rPr>
          <w:rFonts w:ascii="Arial" w:hAnsi="Arial" w:cs="Arial"/>
          <w:szCs w:val="20"/>
        </w:rPr>
        <w:t>ioritization, and future pandemic preparedness and prediction.</w:t>
      </w:r>
    </w:p>
    <w:p w14:paraId="7F313355" w14:textId="77777777" w:rsidR="00733012" w:rsidRPr="00F60F83" w:rsidRDefault="00733012" w:rsidP="00733012">
      <w:pPr>
        <w:pStyle w:val="ListParagraph"/>
        <w:ind w:left="360"/>
        <w:jc w:val="both"/>
        <w:rPr>
          <w:szCs w:val="20"/>
        </w:rPr>
      </w:pPr>
    </w:p>
    <w:p w14:paraId="7ECD4816" w14:textId="042D58C7" w:rsidR="00733012" w:rsidRPr="00F60F83" w:rsidRDefault="00093B84" w:rsidP="00733012">
      <w:pPr>
        <w:pStyle w:val="ListParagraph"/>
        <w:numPr>
          <w:ilvl w:val="0"/>
          <w:numId w:val="44"/>
        </w:numPr>
        <w:jc w:val="both"/>
        <w:rPr>
          <w:rFonts w:ascii="Arial" w:hAnsi="Arial" w:cs="Arial"/>
          <w:szCs w:val="20"/>
        </w:rPr>
      </w:pPr>
      <w:r w:rsidRPr="00F60F83">
        <w:rPr>
          <w:rFonts w:ascii="Arial" w:eastAsiaTheme="minorHAnsi" w:hAnsi="Arial" w:cs="Arial"/>
          <w:color w:val="000000"/>
          <w:szCs w:val="20"/>
          <w:lang w:eastAsia="en-US"/>
        </w:rPr>
        <w:t>Widespread community transmission of COVID-19 in Aotearoa NZ began with the first Omicron wave starting in February 2022. Our analyses show a significantly lower infection risk for adults who had three vaccine doses, compared with two doses. Unfortunately, children were not eligible for this level of protection</w:t>
      </w:r>
      <w:r w:rsidR="001C226C" w:rsidRPr="00F60F83">
        <w:rPr>
          <w:rFonts w:ascii="Arial" w:eastAsiaTheme="minorHAnsi" w:hAnsi="Arial" w:cs="Arial"/>
          <w:color w:val="000000"/>
          <w:szCs w:val="20"/>
          <w:lang w:eastAsia="en-US"/>
        </w:rPr>
        <w:t xml:space="preserve"> </w:t>
      </w:r>
      <w:r w:rsidRPr="00F60F83">
        <w:rPr>
          <w:rFonts w:ascii="Arial" w:eastAsiaTheme="minorHAnsi" w:hAnsi="Arial" w:cs="Arial"/>
          <w:color w:val="000000"/>
          <w:szCs w:val="20"/>
          <w:lang w:eastAsia="en-US"/>
        </w:rPr>
        <w:t xml:space="preserve">and they experienced high infection rates. These findings show the importance of a strategic </w:t>
      </w:r>
      <w:r w:rsidRPr="00F60F83">
        <w:rPr>
          <w:rFonts w:ascii="Arial" w:hAnsi="Arial" w:cs="Arial"/>
          <w:szCs w:val="20"/>
        </w:rPr>
        <w:t>approach to protecting children during a respiratory pandemic.</w:t>
      </w:r>
    </w:p>
    <w:p w14:paraId="35AA20AF" w14:textId="77777777" w:rsidR="00733012" w:rsidRPr="00F60F83" w:rsidRDefault="00733012" w:rsidP="00BF4724">
      <w:pPr>
        <w:pStyle w:val="ListParagraph"/>
        <w:ind w:left="360"/>
        <w:jc w:val="both"/>
        <w:rPr>
          <w:rFonts w:ascii="Arial" w:hAnsi="Arial" w:cs="Arial"/>
          <w:szCs w:val="20"/>
        </w:rPr>
      </w:pPr>
    </w:p>
    <w:p w14:paraId="58885C8D" w14:textId="441BD7B3" w:rsidR="001C226C" w:rsidRPr="00F60F83" w:rsidRDefault="00733012" w:rsidP="00046AB5">
      <w:pPr>
        <w:pStyle w:val="ListParagraph"/>
        <w:numPr>
          <w:ilvl w:val="0"/>
          <w:numId w:val="44"/>
        </w:numPr>
        <w:jc w:val="both"/>
        <w:rPr>
          <w:szCs w:val="20"/>
        </w:rPr>
      </w:pPr>
      <w:r w:rsidRPr="00F60F83">
        <w:rPr>
          <w:rFonts w:ascii="Arial" w:hAnsi="Arial" w:cs="Arial"/>
          <w:szCs w:val="20"/>
        </w:rPr>
        <w:t>Households have</w:t>
      </w:r>
      <w:r w:rsidRPr="00F60F83">
        <w:rPr>
          <w:rFonts w:ascii="Arial" w:eastAsiaTheme="minorHAnsi" w:hAnsi="Arial" w:cs="Arial"/>
          <w:color w:val="000000"/>
          <w:szCs w:val="20"/>
          <w:lang w:eastAsia="en-US"/>
        </w:rPr>
        <w:t xml:space="preserve"> been one of the most important sites of COVID-19 transmission in New Zealand. Our findings indicate the overall secondary attack rate was 60.6% which was higher than many previous studies. Sharing bathrooms, hand towels/</w:t>
      </w:r>
      <w:r w:rsidR="00D25B69" w:rsidRPr="00D25B69">
        <w:rPr>
          <w:rFonts w:ascii="Arial" w:eastAsiaTheme="minorHAnsi" w:hAnsi="Arial" w:cs="Arial"/>
          <w:color w:val="000000"/>
          <w:szCs w:val="20"/>
          <w:lang w:eastAsia="en-US"/>
        </w:rPr>
        <w:t xml:space="preserve">toothpaste, and hugging/touching hands were related to transmission within the </w:t>
      </w:r>
      <w:r w:rsidRPr="00F60F83">
        <w:rPr>
          <w:rFonts w:ascii="Arial" w:eastAsiaTheme="minorHAnsi" w:hAnsi="Arial" w:cs="Arial"/>
          <w:color w:val="000000"/>
          <w:szCs w:val="20"/>
          <w:lang w:eastAsia="en-US"/>
        </w:rPr>
        <w:t>household and suggest that effective isolation within the home could reduce household transmission.</w:t>
      </w:r>
    </w:p>
    <w:p w14:paraId="49C4B910" w14:textId="77777777" w:rsidR="00CE362F" w:rsidRDefault="00CE362F" w:rsidP="00CE362F">
      <w:pPr>
        <w:pStyle w:val="Heading2"/>
        <w:jc w:val="both"/>
      </w:pPr>
      <w:r>
        <w:t>What is the problem or issue that your research investigated?</w:t>
      </w:r>
    </w:p>
    <w:bookmarkEnd w:id="1"/>
    <w:p w14:paraId="482AB814" w14:textId="4370324A" w:rsidR="00961875" w:rsidRPr="003C3EBC" w:rsidRDefault="0034671E" w:rsidP="003C3EBC">
      <w:pPr>
        <w:pStyle w:val="Style1"/>
      </w:pPr>
      <w:r w:rsidRPr="003C3EBC">
        <w:t>Built on specimens and data from the SHIVERS/</w:t>
      </w:r>
      <w:proofErr w:type="spellStart"/>
      <w:r w:rsidRPr="003C3EBC">
        <w:t>WellKiwis</w:t>
      </w:r>
      <w:proofErr w:type="spellEnd"/>
      <w:r w:rsidRPr="003C3EBC">
        <w:t xml:space="preserve"> community and household cohort with a study population of 3165, we </w:t>
      </w:r>
      <w:r w:rsidR="00C94198" w:rsidRPr="003C3EBC">
        <w:t>aimed</w:t>
      </w:r>
      <w:r w:rsidRPr="003C3EBC">
        <w:t xml:space="preserve"> to conduct data analysis and publications on the impact of COVID-19 vaccination on disease burden and transmission and its vaccine effectiveness among </w:t>
      </w:r>
      <w:r w:rsidR="00C94198" w:rsidRPr="003C3EBC">
        <w:t>participants of the community and household</w:t>
      </w:r>
      <w:r w:rsidRPr="003C3EBC">
        <w:t xml:space="preserve"> cohorts</w:t>
      </w:r>
      <w:r w:rsidR="00C90B9F" w:rsidRPr="003C3EBC">
        <w:t xml:space="preserve"> </w:t>
      </w:r>
      <w:r w:rsidR="00D15EFA" w:rsidRPr="003C3EBC">
        <w:t>including a</w:t>
      </w:r>
      <w:r w:rsidR="00C90B9F" w:rsidRPr="003C3EBC">
        <w:t xml:space="preserve"> household transmission </w:t>
      </w:r>
      <w:proofErr w:type="spellStart"/>
      <w:r w:rsidR="001A7DCC" w:rsidRPr="003C3EBC">
        <w:t>subcohort</w:t>
      </w:r>
      <w:proofErr w:type="spellEnd"/>
      <w:r w:rsidR="00D15EFA" w:rsidRPr="003C3EBC">
        <w:t xml:space="preserve"> (75 households </w:t>
      </w:r>
      <w:r w:rsidR="00367EE2" w:rsidRPr="003C3EBC">
        <w:t>with</w:t>
      </w:r>
      <w:r w:rsidR="008C440F" w:rsidRPr="003C3EBC">
        <w:t xml:space="preserve"> </w:t>
      </w:r>
      <w:r w:rsidR="00D15EFA" w:rsidRPr="003C3EBC">
        <w:t xml:space="preserve"> 3</w:t>
      </w:r>
      <w:r w:rsidR="00367EE2" w:rsidRPr="003C3EBC">
        <w:t>06 participants)</w:t>
      </w:r>
      <w:r w:rsidRPr="003C3EBC">
        <w:t>, particularly those at-risk vulnerable Māori and Pacific groups</w:t>
      </w:r>
      <w:r w:rsidR="00B94B1C" w:rsidRPr="003C3EBC">
        <w:t xml:space="preserve"> during the study period of </w:t>
      </w:r>
      <w:r w:rsidR="00B00892" w:rsidRPr="003C3EBC">
        <w:t>7-Feburary to 2-October 2022.</w:t>
      </w:r>
    </w:p>
    <w:p w14:paraId="08156F0A" w14:textId="77777777" w:rsidR="00CE362F" w:rsidRPr="0085243C" w:rsidRDefault="00CE362F" w:rsidP="00CE362F">
      <w:pPr>
        <w:spacing w:before="120" w:after="120"/>
        <w:ind w:left="357"/>
        <w:jc w:val="both"/>
      </w:pPr>
    </w:p>
    <w:p w14:paraId="39519399" w14:textId="77777777" w:rsidR="00CE362F" w:rsidRDefault="00CE362F" w:rsidP="00CE362F">
      <w:pPr>
        <w:pStyle w:val="Heading2"/>
      </w:pPr>
      <w:r>
        <w:t>What are the p</w:t>
      </w:r>
      <w:r w:rsidRPr="00215471">
        <w:t>ractical solutions and implementation options</w:t>
      </w:r>
      <w:r>
        <w:t xml:space="preserve"> that you recommend?</w:t>
      </w:r>
    </w:p>
    <w:p w14:paraId="36E37B50" w14:textId="2F75C5E9" w:rsidR="004616A1" w:rsidRPr="003C3EBC" w:rsidRDefault="00D91463" w:rsidP="004616A1">
      <w:pPr>
        <w:spacing w:line="240" w:lineRule="auto"/>
        <w:textAlignment w:val="center"/>
        <w:rPr>
          <w:rFonts w:ascii="Arial" w:hAnsi="Arial" w:cs="Arial"/>
          <w:b/>
          <w:bCs/>
        </w:rPr>
      </w:pPr>
      <w:r w:rsidRPr="003C3EBC">
        <w:rPr>
          <w:rFonts w:ascii="Arial" w:hAnsi="Arial" w:cs="Arial"/>
          <w:b/>
          <w:bCs/>
        </w:rPr>
        <w:t>Publication No.</w:t>
      </w:r>
      <w:r w:rsidR="00B736A1" w:rsidRPr="003C3EBC">
        <w:rPr>
          <w:rFonts w:ascii="Arial" w:hAnsi="Arial" w:cs="Arial"/>
          <w:b/>
          <w:bCs/>
        </w:rPr>
        <w:t>1: Comparison of the incidence and risk factors of COVID-19 and influenza</w:t>
      </w:r>
      <w:r w:rsidR="00B94B1C" w:rsidRPr="003C3EBC">
        <w:rPr>
          <w:rFonts w:ascii="Arial" w:hAnsi="Arial" w:cs="Arial"/>
          <w:b/>
          <w:bCs/>
        </w:rPr>
        <w:t xml:space="preserve"> </w:t>
      </w:r>
      <w:r w:rsidR="00B736A1" w:rsidRPr="003C3EBC">
        <w:rPr>
          <w:rFonts w:ascii="Arial" w:hAnsi="Arial" w:cs="Arial"/>
          <w:b/>
          <w:bCs/>
        </w:rPr>
        <w:t>associated acute respiratory illnesses</w:t>
      </w:r>
    </w:p>
    <w:p w14:paraId="1D6EFFF7" w14:textId="52303876" w:rsidR="00E37A48" w:rsidRPr="003C3EBC" w:rsidRDefault="00F80D29" w:rsidP="00E37A48">
      <w:pPr>
        <w:spacing w:line="240" w:lineRule="auto"/>
        <w:ind w:firstLine="284"/>
        <w:textAlignment w:val="center"/>
        <w:rPr>
          <w:rFonts w:ascii="Arial" w:hAnsi="Arial" w:cs="Arial"/>
        </w:rPr>
      </w:pPr>
      <w:r w:rsidRPr="003C3EBC">
        <w:rPr>
          <w:rFonts w:ascii="Arial" w:hAnsi="Arial" w:cs="Arial"/>
        </w:rPr>
        <w:t xml:space="preserve">While comparative studies on severe outcome among hospitalized patients with COVID-19 and influenza are published, comparative studies on community transmission and mild spectrum of illnesses associated with COVID-19 and influenza are lacking. </w:t>
      </w:r>
      <w:r w:rsidR="00E37A48" w:rsidRPr="003C3EBC">
        <w:rPr>
          <w:rFonts w:ascii="Arial" w:hAnsi="Arial" w:cs="Arial"/>
        </w:rPr>
        <w:t>To the best of our knowledge, this is the first comparative evaluation of the acute respiratory infections (ARI) among participants of prospective community cohorts who experienced concurrent SARS-CoV-2 variant Omicron and seasonal influenza infections. One strength of our study is that we followed participants of all ages (adults and children) over 10 months</w:t>
      </w:r>
      <w:r w:rsidR="002033FB" w:rsidRPr="003C3EBC">
        <w:rPr>
          <w:rFonts w:ascii="Arial" w:hAnsi="Arial" w:cs="Arial"/>
        </w:rPr>
        <w:t xml:space="preserve"> (7-Feburary to 2-October 2022)</w:t>
      </w:r>
      <w:r w:rsidR="00E37A48" w:rsidRPr="003C3EBC">
        <w:rPr>
          <w:rFonts w:ascii="Arial" w:hAnsi="Arial" w:cs="Arial"/>
        </w:rPr>
        <w:t xml:space="preserve"> by systematically characterizing and comparing the duration and spectrum of their COVID-19 or influenza associated ARI. Among the SHIVERS-II, III, IV community and household participants who had never had any prior COVID-19 natural infections but had high level of COVID-19 vaccination, we found Omicron incidence rate was 4.7 times higher than seasonal influenza (51% Omicron-associated ARI vs 11% influenza-associated ARI). Among participants with COVID-19, children (0-17 years) consisted of a third (32.7%) of all. Those aged </w:t>
      </w:r>
      <w:r w:rsidR="00E37A48" w:rsidRPr="003C3EBC">
        <w:rPr>
          <w:rFonts w:ascii="Times New Roman" w:hAnsi="Times New Roman"/>
        </w:rPr>
        <w:t>≥</w:t>
      </w:r>
      <w:r w:rsidR="00E37A48" w:rsidRPr="003C3EBC">
        <w:rPr>
          <w:rFonts w:ascii="Arial" w:hAnsi="Arial" w:cs="Arial"/>
        </w:rPr>
        <w:t>18 years with high vaccine coverage of the 3</w:t>
      </w:r>
      <w:r w:rsidR="00E37A48" w:rsidRPr="003C3EBC">
        <w:rPr>
          <w:rFonts w:ascii="Arial" w:hAnsi="Arial" w:cs="Arial"/>
          <w:vertAlign w:val="superscript"/>
        </w:rPr>
        <w:t>rd</w:t>
      </w:r>
      <w:r w:rsidR="00E37A48" w:rsidRPr="003C3EBC">
        <w:rPr>
          <w:rFonts w:ascii="Arial" w:hAnsi="Arial" w:cs="Arial"/>
        </w:rPr>
        <w:t xml:space="preserve"> dose (booster) had nearly 3 times lower peak incidence rate compared to those school aged children (5-17 years) when the booster was mostly not available to them. Participants with Omicron, when compared with influenza, had milder illness with lesser febrile illnesses, but presented more symptoms of sore throat, muscle ache and taste loss. </w:t>
      </w:r>
    </w:p>
    <w:p w14:paraId="237215D3" w14:textId="70E4952C" w:rsidR="00F80D29" w:rsidRPr="003C3EBC" w:rsidRDefault="001A3E3B" w:rsidP="00E37A48">
      <w:pPr>
        <w:spacing w:line="240" w:lineRule="auto"/>
        <w:ind w:firstLine="284"/>
        <w:textAlignment w:val="center"/>
        <w:rPr>
          <w:rFonts w:ascii="Arial" w:hAnsi="Arial" w:cs="Arial"/>
        </w:rPr>
      </w:pPr>
      <w:r w:rsidRPr="003C3EBC">
        <w:rPr>
          <w:rFonts w:ascii="Arial" w:hAnsi="Arial" w:cs="Arial"/>
        </w:rPr>
        <w:t xml:space="preserve">Our study provides important estimates on the impact of COVID-19 variant Omicron on community transmission and associated mild illnesses when influenza was used as a reference pathogen which co-circulated among SHIVERS community cohort participants at the same time within the same population. Our findings support prioritization for childhood vaccination, including expanding vaccine eligibility and </w:t>
      </w:r>
      <w:r w:rsidRPr="003C3EBC">
        <w:rPr>
          <w:rFonts w:ascii="Arial" w:hAnsi="Arial" w:cs="Arial"/>
        </w:rPr>
        <w:lastRenderedPageBreak/>
        <w:t>availability, for direct and indirect benefits including reducing complications from severe disease, long COVID-19 symptoms, minimizing overall hospitalization through herd immunity. When the world is transitioning to COVID-19 endemicity and cocirculation with influenza, the community cohort study is increasingly important to understand the full spectrum of disease burden and inform future modelling to plan and predict viral transmission, model the impact of vaccination, and better prepare for the next pandemic.</w:t>
      </w:r>
    </w:p>
    <w:p w14:paraId="72EEE355" w14:textId="2DDC0DC2" w:rsidR="00522F4E" w:rsidRDefault="001A3E3B" w:rsidP="00CE362F">
      <w:pPr>
        <w:jc w:val="both"/>
        <w:rPr>
          <w:rFonts w:ascii="Arial" w:hAnsi="Arial" w:cs="Arial"/>
          <w:b/>
          <w:bCs/>
        </w:rPr>
      </w:pPr>
      <w:r w:rsidRPr="003C3EBC">
        <w:rPr>
          <w:rFonts w:ascii="Arial" w:hAnsi="Arial" w:cs="Arial"/>
          <w:b/>
          <w:bCs/>
        </w:rPr>
        <w:t>P</w:t>
      </w:r>
      <w:r w:rsidR="00D91463" w:rsidRPr="003C3EBC">
        <w:rPr>
          <w:rFonts w:ascii="Arial" w:hAnsi="Arial" w:cs="Arial"/>
          <w:b/>
          <w:bCs/>
        </w:rPr>
        <w:t>ublication No.</w:t>
      </w:r>
      <w:r w:rsidRPr="003C3EBC">
        <w:rPr>
          <w:rFonts w:ascii="Arial" w:hAnsi="Arial" w:cs="Arial"/>
          <w:b/>
          <w:bCs/>
        </w:rPr>
        <w:t xml:space="preserve">2: </w:t>
      </w:r>
      <w:r w:rsidR="00D91463" w:rsidRPr="003C3EBC">
        <w:rPr>
          <w:rFonts w:ascii="Arial" w:hAnsi="Arial" w:cs="Arial"/>
          <w:b/>
          <w:bCs/>
        </w:rPr>
        <w:t>COVID-19 vaccine effectiveness against the Omicron variant in Aotearoa New Zealand</w:t>
      </w:r>
    </w:p>
    <w:p w14:paraId="246FB537" w14:textId="2B3E1BFC" w:rsidR="006D33DB" w:rsidRDefault="00587B38" w:rsidP="00CE362F">
      <w:pPr>
        <w:jc w:val="both"/>
        <w:rPr>
          <w:rFonts w:ascii="Arial" w:hAnsi="Arial" w:cs="Arial"/>
        </w:rPr>
      </w:pPr>
      <w:r w:rsidRPr="00372DB7">
        <w:rPr>
          <w:rFonts w:ascii="Arial" w:hAnsi="Arial" w:cs="Arial"/>
        </w:rPr>
        <w:t>What is new in this study:</w:t>
      </w:r>
    </w:p>
    <w:p w14:paraId="16D1B10F" w14:textId="77777777" w:rsidR="001C6432" w:rsidRPr="00F16A03" w:rsidRDefault="001C6432" w:rsidP="001C6432">
      <w:pPr>
        <w:numPr>
          <w:ilvl w:val="0"/>
          <w:numId w:val="45"/>
        </w:numPr>
        <w:spacing w:before="0" w:after="160" w:line="240" w:lineRule="auto"/>
        <w:rPr>
          <w:rFonts w:ascii="Arial" w:hAnsi="Arial" w:cs="Arial"/>
        </w:rPr>
      </w:pPr>
      <w:r w:rsidRPr="00F16A03">
        <w:rPr>
          <w:rFonts w:ascii="Arial" w:hAnsi="Arial" w:cs="Arial"/>
        </w:rPr>
        <w:t>This study of COVID-19 vaccine effectiveness was conducted with a cohort of participants who were infection-naïve but highly vaccinated, during a time period of extremely high Omicron variant incidence. This situation presented a unique opportunity to estimate vaccine effectiveness without a confounding effect of immune response from prior infection.</w:t>
      </w:r>
    </w:p>
    <w:p w14:paraId="058251B0" w14:textId="77777777" w:rsidR="001C6432" w:rsidRPr="00F16A03" w:rsidRDefault="001C6432" w:rsidP="001C6432">
      <w:pPr>
        <w:numPr>
          <w:ilvl w:val="0"/>
          <w:numId w:val="45"/>
        </w:numPr>
        <w:spacing w:before="0" w:after="160" w:line="240" w:lineRule="auto"/>
        <w:rPr>
          <w:rFonts w:ascii="Arial" w:hAnsi="Arial" w:cs="Arial"/>
        </w:rPr>
      </w:pPr>
      <w:r w:rsidRPr="00F16A03">
        <w:rPr>
          <w:rFonts w:ascii="Arial" w:hAnsi="Arial" w:cs="Arial"/>
        </w:rPr>
        <w:t>Results for adults are indicative of a 30% additional protective effect against PCR-positive infection for adults who had received three vaccine doses compared with those who had received two (adjusted hazard ratio 0.70; 95%CI 0.53 – 0.92). These results are consistent with international evidence of additional protection from a third vaccine dose.</w:t>
      </w:r>
    </w:p>
    <w:p w14:paraId="73847A1E" w14:textId="77777777" w:rsidR="001C6432" w:rsidRPr="00F16A03" w:rsidRDefault="001C6432" w:rsidP="001C6432">
      <w:pPr>
        <w:numPr>
          <w:ilvl w:val="0"/>
          <w:numId w:val="45"/>
        </w:numPr>
        <w:spacing w:before="0" w:after="160" w:line="240" w:lineRule="auto"/>
        <w:rPr>
          <w:rFonts w:ascii="Arial" w:hAnsi="Arial" w:cs="Arial"/>
        </w:rPr>
      </w:pPr>
      <w:r w:rsidRPr="00F16A03">
        <w:rPr>
          <w:rFonts w:ascii="Arial" w:hAnsi="Arial" w:cs="Arial"/>
        </w:rPr>
        <w:t xml:space="preserve">Depending on age and eligibility, children had generally received zero, one or two doses during the Omicron waves of 2022 and they had higher infection incidence than adult age groups. </w:t>
      </w:r>
    </w:p>
    <w:p w14:paraId="08571AEB" w14:textId="588C4EB6" w:rsidR="00372DB7" w:rsidRDefault="001C6432" w:rsidP="00CE362F">
      <w:pPr>
        <w:jc w:val="both"/>
        <w:rPr>
          <w:rFonts w:ascii="Arial" w:hAnsi="Arial" w:cs="Arial"/>
        </w:rPr>
      </w:pPr>
      <w:r w:rsidRPr="001C6432">
        <w:rPr>
          <w:rFonts w:ascii="Arial" w:hAnsi="Arial" w:cs="Arial"/>
        </w:rPr>
        <w:t>Implications for policy and practice:</w:t>
      </w:r>
    </w:p>
    <w:p w14:paraId="07F06DCA" w14:textId="77777777" w:rsidR="00381AC9" w:rsidRPr="00F16A03" w:rsidRDefault="00381AC9" w:rsidP="00381AC9">
      <w:pPr>
        <w:numPr>
          <w:ilvl w:val="0"/>
          <w:numId w:val="45"/>
        </w:numPr>
        <w:spacing w:before="0" w:after="160" w:line="259" w:lineRule="auto"/>
        <w:rPr>
          <w:rFonts w:ascii="Arial" w:hAnsi="Arial" w:cs="Arial"/>
        </w:rPr>
      </w:pPr>
      <w:r w:rsidRPr="00F16A03">
        <w:rPr>
          <w:rFonts w:ascii="Arial" w:hAnsi="Arial" w:cs="Arial"/>
        </w:rPr>
        <w:t>The study findings support the principle of ensuring good vaccination coverage during times of anticipated high COVID-19 transmission.</w:t>
      </w:r>
    </w:p>
    <w:p w14:paraId="2DB088CB" w14:textId="77777777" w:rsidR="00381AC9" w:rsidRPr="00F16A03" w:rsidRDefault="00381AC9" w:rsidP="00381AC9">
      <w:pPr>
        <w:numPr>
          <w:ilvl w:val="0"/>
          <w:numId w:val="45"/>
        </w:numPr>
        <w:spacing w:before="0" w:after="160" w:line="259" w:lineRule="auto"/>
        <w:rPr>
          <w:rFonts w:ascii="Arial" w:hAnsi="Arial" w:cs="Arial"/>
        </w:rPr>
      </w:pPr>
      <w:r w:rsidRPr="00F16A03">
        <w:rPr>
          <w:rFonts w:ascii="Arial" w:hAnsi="Arial" w:cs="Arial"/>
        </w:rPr>
        <w:t>High infection rates in children suggest that earlier and more widespread availability of vaccines for younger age groups might have provided better protection during the 2022 Omicron waves, if this option had been available to them. These findings show the importance of a strategic approach to protecting children during a respiratory pandemic.</w:t>
      </w:r>
    </w:p>
    <w:p w14:paraId="687CA63D" w14:textId="5453595C" w:rsidR="00381AC9" w:rsidRPr="00754D7C" w:rsidRDefault="00381AC9" w:rsidP="00381AC9">
      <w:pPr>
        <w:numPr>
          <w:ilvl w:val="0"/>
          <w:numId w:val="45"/>
        </w:numPr>
        <w:spacing w:before="0" w:after="160" w:line="259" w:lineRule="auto"/>
        <w:rPr>
          <w:rFonts w:ascii="Arial" w:hAnsi="Arial" w:cs="Arial"/>
        </w:rPr>
      </w:pPr>
      <w:r w:rsidRPr="00F16A03">
        <w:rPr>
          <w:rFonts w:ascii="Arial" w:hAnsi="Arial" w:cs="Arial"/>
        </w:rPr>
        <w:t xml:space="preserve">The high quality of the data available for this analysis illustrates the value of having a well-established longitudinal cohort in place before the onset of a pandemic. The SHIVERS </w:t>
      </w:r>
      <w:proofErr w:type="spellStart"/>
      <w:r w:rsidRPr="00F16A03">
        <w:rPr>
          <w:rFonts w:ascii="Arial" w:hAnsi="Arial" w:cs="Arial"/>
        </w:rPr>
        <w:t>WellKiwis</w:t>
      </w:r>
      <w:proofErr w:type="spellEnd"/>
      <w:r w:rsidRPr="00F16A03">
        <w:rPr>
          <w:rFonts w:ascii="Arial" w:hAnsi="Arial" w:cs="Arial"/>
        </w:rPr>
        <w:t xml:space="preserve"> cohorts are providing unique evidence and policy insights about COVID-19 in the community. The need to sustain and further develop this high-quality respiratory surveillance platform is a key lesson for future pandemic preparedness.</w:t>
      </w:r>
    </w:p>
    <w:p w14:paraId="50471EA5" w14:textId="5EEB6C20" w:rsidR="00CE362F" w:rsidRDefault="00004949" w:rsidP="00CE362F">
      <w:pPr>
        <w:jc w:val="both"/>
        <w:rPr>
          <w:rFonts w:ascii="Arial" w:hAnsi="Arial" w:cs="Arial"/>
          <w:b/>
          <w:bCs/>
        </w:rPr>
      </w:pPr>
      <w:r w:rsidRPr="003C3EBC">
        <w:rPr>
          <w:rFonts w:ascii="Arial" w:hAnsi="Arial" w:cs="Arial"/>
          <w:b/>
          <w:bCs/>
        </w:rPr>
        <w:t>Publication No.3: Household transmission of COVID-19 Omicron variant</w:t>
      </w:r>
    </w:p>
    <w:p w14:paraId="7BEBF5BB" w14:textId="77777777" w:rsidR="009E18BE" w:rsidRPr="007E63EE" w:rsidRDefault="009E18BE" w:rsidP="009E18BE">
      <w:pPr>
        <w:spacing w:line="240" w:lineRule="auto"/>
        <w:ind w:firstLine="284"/>
        <w:textAlignment w:val="center"/>
        <w:rPr>
          <w:rFonts w:ascii="Arial" w:hAnsi="Arial" w:cs="Arial"/>
        </w:rPr>
      </w:pPr>
      <w:r w:rsidRPr="007E63EE">
        <w:rPr>
          <w:rFonts w:ascii="Arial" w:hAnsi="Arial" w:cs="Arial"/>
        </w:rPr>
        <w:t>Households have been one of the most important sites of transmission. To measure transmissibility and identify risk factors, the current study was conducted during the Omicron variant-dominant period of COVID-19 in New Zealand.</w:t>
      </w:r>
      <w:r>
        <w:rPr>
          <w:rFonts w:ascii="Arial" w:hAnsi="Arial" w:cs="Arial"/>
        </w:rPr>
        <w:t xml:space="preserve"> To our knowledge, this is the first study examining the household transmission characteristics of SARS-CoV-2 Omicron variant.</w:t>
      </w:r>
    </w:p>
    <w:p w14:paraId="263F1154" w14:textId="77777777" w:rsidR="009E18BE" w:rsidRPr="007E63EE" w:rsidRDefault="009E18BE" w:rsidP="009E18BE">
      <w:pPr>
        <w:spacing w:line="240" w:lineRule="auto"/>
        <w:ind w:firstLine="284"/>
        <w:textAlignment w:val="center"/>
        <w:rPr>
          <w:rFonts w:ascii="Arial" w:hAnsi="Arial" w:cs="Arial"/>
        </w:rPr>
      </w:pPr>
      <w:r w:rsidRPr="007E63EE">
        <w:rPr>
          <w:rFonts w:ascii="Arial" w:hAnsi="Arial" w:cs="Arial"/>
        </w:rPr>
        <w:t xml:space="preserve">We recruited </w:t>
      </w:r>
      <w:r>
        <w:rPr>
          <w:rFonts w:ascii="Arial" w:hAnsi="Arial" w:cs="Arial"/>
        </w:rPr>
        <w:t xml:space="preserve">75 </w:t>
      </w:r>
      <w:r w:rsidRPr="007E63EE">
        <w:rPr>
          <w:rFonts w:ascii="Arial" w:hAnsi="Arial" w:cs="Arial"/>
        </w:rPr>
        <w:t xml:space="preserve">households </w:t>
      </w:r>
      <w:r>
        <w:rPr>
          <w:rFonts w:ascii="Arial" w:hAnsi="Arial" w:cs="Arial"/>
        </w:rPr>
        <w:t>(306 participants) from</w:t>
      </w:r>
      <w:r w:rsidRPr="007E63EE">
        <w:rPr>
          <w:rFonts w:ascii="Arial" w:hAnsi="Arial" w:cs="Arial"/>
        </w:rPr>
        <w:t xml:space="preserve"> the SHIVERS</w:t>
      </w:r>
      <w:r>
        <w:rPr>
          <w:rFonts w:ascii="Arial" w:hAnsi="Arial" w:cs="Arial"/>
        </w:rPr>
        <w:t>/</w:t>
      </w:r>
      <w:proofErr w:type="spellStart"/>
      <w:r>
        <w:rPr>
          <w:rFonts w:ascii="Arial" w:hAnsi="Arial" w:cs="Arial"/>
        </w:rPr>
        <w:t>WellKiwis</w:t>
      </w:r>
      <w:proofErr w:type="spellEnd"/>
      <w:r w:rsidRPr="007E63EE">
        <w:rPr>
          <w:rFonts w:ascii="Arial" w:hAnsi="Arial" w:cs="Arial"/>
        </w:rPr>
        <w:t xml:space="preserve"> household </w:t>
      </w:r>
      <w:r>
        <w:rPr>
          <w:rFonts w:ascii="Arial" w:hAnsi="Arial" w:cs="Arial"/>
        </w:rPr>
        <w:t>cohort</w:t>
      </w:r>
      <w:r w:rsidRPr="007E63EE">
        <w:rPr>
          <w:rFonts w:ascii="Arial" w:hAnsi="Arial" w:cs="Arial"/>
        </w:rPr>
        <w:t xml:space="preserve"> </w:t>
      </w:r>
      <w:r>
        <w:rPr>
          <w:rFonts w:ascii="Arial" w:hAnsi="Arial" w:cs="Arial"/>
        </w:rPr>
        <w:t>for a transmission sub-study during a period of 7-</w:t>
      </w:r>
      <w:r w:rsidRPr="007E63EE">
        <w:rPr>
          <w:rFonts w:ascii="Arial" w:hAnsi="Arial" w:cs="Arial"/>
        </w:rPr>
        <w:t xml:space="preserve">February </w:t>
      </w:r>
      <w:r>
        <w:rPr>
          <w:rFonts w:ascii="Arial" w:hAnsi="Arial" w:cs="Arial"/>
        </w:rPr>
        <w:t>to 2-October</w:t>
      </w:r>
      <w:r w:rsidRPr="007E63EE">
        <w:rPr>
          <w:rFonts w:ascii="Arial" w:hAnsi="Arial" w:cs="Arial"/>
        </w:rPr>
        <w:t xml:space="preserve"> 2022.</w:t>
      </w:r>
    </w:p>
    <w:p w14:paraId="5C8889DF" w14:textId="77777777" w:rsidR="009E18BE" w:rsidRPr="007E63EE" w:rsidRDefault="009E18BE" w:rsidP="009E18BE">
      <w:pPr>
        <w:spacing w:line="240" w:lineRule="auto"/>
        <w:ind w:firstLine="284"/>
        <w:textAlignment w:val="center"/>
        <w:rPr>
          <w:rFonts w:ascii="Arial" w:hAnsi="Arial" w:cs="Arial"/>
        </w:rPr>
      </w:pPr>
      <w:r w:rsidRPr="007E63EE">
        <w:rPr>
          <w:rFonts w:ascii="Arial" w:hAnsi="Arial" w:cs="Arial"/>
        </w:rPr>
        <w:t>The median serial interval was 4 (IQR: 2.5-6)</w:t>
      </w:r>
      <w:r>
        <w:rPr>
          <w:rFonts w:ascii="Arial" w:hAnsi="Arial" w:cs="Arial"/>
        </w:rPr>
        <w:t>, shorter than previous variants. T</w:t>
      </w:r>
      <w:r w:rsidRPr="007E63EE">
        <w:rPr>
          <w:rFonts w:ascii="Arial" w:hAnsi="Arial" w:cs="Arial"/>
        </w:rPr>
        <w:t>he overall secondary attack rate (SAR) was 60.6%,</w:t>
      </w:r>
      <w:r>
        <w:rPr>
          <w:rFonts w:ascii="Arial" w:hAnsi="Arial" w:cs="Arial"/>
        </w:rPr>
        <w:t xml:space="preserve"> </w:t>
      </w:r>
      <w:r w:rsidRPr="007E63EE">
        <w:rPr>
          <w:rFonts w:ascii="Arial" w:hAnsi="Arial" w:cs="Arial"/>
        </w:rPr>
        <w:t>higher than many previous studies. Although 60% of primary cases were children &lt;18 years old, they were less likely to be secondary cases.</w:t>
      </w:r>
    </w:p>
    <w:p w14:paraId="7D1E1F5A" w14:textId="77777777" w:rsidR="009E18BE" w:rsidRPr="007E63EE" w:rsidRDefault="009E18BE" w:rsidP="009E18BE">
      <w:pPr>
        <w:spacing w:line="240" w:lineRule="auto"/>
        <w:ind w:firstLine="284"/>
        <w:textAlignment w:val="center"/>
        <w:rPr>
          <w:rFonts w:ascii="Arial" w:hAnsi="Arial" w:cs="Arial"/>
        </w:rPr>
      </w:pPr>
      <w:r w:rsidRPr="007E63EE">
        <w:rPr>
          <w:rFonts w:ascii="Arial" w:hAnsi="Arial" w:cs="Arial"/>
        </w:rPr>
        <w:t>The SAR varied by vaccination history, household size, and socioeconomic status; it was lowest among those who received two or three doses of the vaccine and highest in those who lived in larger households with low socioeconomic status.</w:t>
      </w:r>
    </w:p>
    <w:p w14:paraId="07A5BCC1" w14:textId="77777777" w:rsidR="009E18BE" w:rsidRPr="007E63EE" w:rsidRDefault="009E18BE" w:rsidP="009E18BE">
      <w:pPr>
        <w:spacing w:line="240" w:lineRule="auto"/>
        <w:ind w:firstLine="284"/>
        <w:textAlignment w:val="center"/>
        <w:rPr>
          <w:rFonts w:ascii="Arial" w:hAnsi="Arial" w:cs="Arial"/>
        </w:rPr>
      </w:pPr>
      <w:r w:rsidRPr="007E63EE">
        <w:rPr>
          <w:rFonts w:ascii="Arial" w:hAnsi="Arial" w:cs="Arial"/>
        </w:rPr>
        <w:t xml:space="preserve">The transmission rate was highest (88%) when both primary cases and household contacts were unvaccinated or had only one dose of the vaccine (P value=0.03). </w:t>
      </w:r>
      <w:r>
        <w:rPr>
          <w:rFonts w:ascii="Arial" w:hAnsi="Arial" w:cs="Arial"/>
        </w:rPr>
        <w:t>This transmission rate was three times higher than those vaccinated primary cases and household contacts.</w:t>
      </w:r>
    </w:p>
    <w:p w14:paraId="7C46F1BB" w14:textId="77777777" w:rsidR="009E18BE" w:rsidRDefault="009E18BE" w:rsidP="009E18BE">
      <w:pPr>
        <w:spacing w:line="240" w:lineRule="auto"/>
        <w:ind w:firstLine="284"/>
        <w:textAlignment w:val="center"/>
        <w:rPr>
          <w:rFonts w:ascii="Arial" w:hAnsi="Arial" w:cs="Arial"/>
        </w:rPr>
      </w:pPr>
      <w:r w:rsidRPr="007E63EE">
        <w:rPr>
          <w:rFonts w:ascii="Arial" w:hAnsi="Arial" w:cs="Arial"/>
        </w:rPr>
        <w:t>Our findings indicate that sharing bathrooms, hand towels/toothpaste, and hugging/touching hands were related to transmission within the household, suggesting that effective isolation within the home could reduce household transmission.</w:t>
      </w:r>
    </w:p>
    <w:p w14:paraId="62E992FD" w14:textId="5F8EDB2D" w:rsidR="00AD363B" w:rsidRDefault="005009D2" w:rsidP="009E18BE">
      <w:pPr>
        <w:spacing w:line="240" w:lineRule="auto"/>
        <w:ind w:firstLine="284"/>
        <w:textAlignment w:val="center"/>
        <w:rPr>
          <w:rFonts w:ascii="Arial" w:hAnsi="Arial" w:cs="Arial"/>
        </w:rPr>
      </w:pPr>
      <w:r w:rsidRPr="007E63EE">
        <w:rPr>
          <w:rFonts w:ascii="Arial" w:hAnsi="Arial" w:cs="Arial"/>
        </w:rPr>
        <w:lastRenderedPageBreak/>
        <w:t>Our findings indicate that sharing bathrooms, hand towels/toothpaste, and hugging/touching hands were related to transmission within the household, suggesting that effective isolation within the home could reduce household transmission.</w:t>
      </w:r>
    </w:p>
    <w:p w14:paraId="3D78AFA9" w14:textId="77777777" w:rsidR="009E18BE" w:rsidRPr="009E18BE" w:rsidRDefault="009E18BE" w:rsidP="009E18BE">
      <w:pPr>
        <w:spacing w:line="240" w:lineRule="auto"/>
        <w:ind w:firstLine="284"/>
        <w:textAlignment w:val="center"/>
        <w:rPr>
          <w:rFonts w:ascii="Arial" w:hAnsi="Arial" w:cs="Arial"/>
        </w:rPr>
      </w:pPr>
    </w:p>
    <w:p w14:paraId="536F7DFA" w14:textId="77777777" w:rsidR="00CE362F" w:rsidRDefault="00CE362F" w:rsidP="00CE362F">
      <w:pPr>
        <w:pStyle w:val="Heading2"/>
        <w:jc w:val="both"/>
      </w:pPr>
      <w:r>
        <w:t>What considerations need to be taken into account when implementing the solutions?</w:t>
      </w:r>
    </w:p>
    <w:p w14:paraId="380B7A61" w14:textId="4368157C" w:rsidR="00705E94" w:rsidRPr="003C3EBC" w:rsidRDefault="00D041FB" w:rsidP="00CE362F">
      <w:pPr>
        <w:jc w:val="both"/>
        <w:rPr>
          <w:rFonts w:ascii="Arial" w:hAnsi="Arial" w:cs="Arial"/>
        </w:rPr>
      </w:pPr>
      <w:r w:rsidRPr="003C3EBC">
        <w:rPr>
          <w:rFonts w:ascii="Arial" w:hAnsi="Arial" w:cs="Arial"/>
        </w:rPr>
        <w:t>Th</w:t>
      </w:r>
      <w:r w:rsidR="00DC3D95" w:rsidRPr="003C3EBC">
        <w:rPr>
          <w:rFonts w:ascii="Arial" w:hAnsi="Arial" w:cs="Arial"/>
        </w:rPr>
        <w:t xml:space="preserve">ese </w:t>
      </w:r>
      <w:r w:rsidR="00777DBB" w:rsidRPr="003C3EBC">
        <w:rPr>
          <w:rFonts w:ascii="Arial" w:hAnsi="Arial" w:cs="Arial"/>
        </w:rPr>
        <w:t xml:space="preserve">three publications all highlighted the importance of the COVID-19 vaccination in reducing </w:t>
      </w:r>
      <w:r w:rsidR="006F66B7" w:rsidRPr="003C3EBC">
        <w:rPr>
          <w:rFonts w:ascii="Arial" w:hAnsi="Arial" w:cs="Arial"/>
        </w:rPr>
        <w:t>community transmission</w:t>
      </w:r>
      <w:r w:rsidR="00AF1B8C" w:rsidRPr="003C3EBC">
        <w:rPr>
          <w:rFonts w:ascii="Arial" w:hAnsi="Arial" w:cs="Arial"/>
        </w:rPr>
        <w:t>. I</w:t>
      </w:r>
      <w:r w:rsidR="009B4358" w:rsidRPr="003C3EBC">
        <w:rPr>
          <w:rFonts w:ascii="Arial" w:hAnsi="Arial" w:cs="Arial"/>
        </w:rPr>
        <w:t xml:space="preserve">n particular, </w:t>
      </w:r>
      <w:r w:rsidR="006D4C78" w:rsidRPr="003C3EBC">
        <w:rPr>
          <w:rFonts w:ascii="Arial" w:hAnsi="Arial" w:cs="Arial"/>
        </w:rPr>
        <w:t>the 3</w:t>
      </w:r>
      <w:r w:rsidR="006D4C78" w:rsidRPr="003C3EBC">
        <w:rPr>
          <w:rFonts w:ascii="Arial" w:hAnsi="Arial" w:cs="Arial"/>
          <w:vertAlign w:val="superscript"/>
        </w:rPr>
        <w:t>rd</w:t>
      </w:r>
      <w:r w:rsidR="006D4C78" w:rsidRPr="003C3EBC">
        <w:rPr>
          <w:rFonts w:ascii="Arial" w:hAnsi="Arial" w:cs="Arial"/>
        </w:rPr>
        <w:t xml:space="preserve"> dose (booster) provided </w:t>
      </w:r>
      <w:r w:rsidR="00E97DE0" w:rsidRPr="003C3EBC">
        <w:rPr>
          <w:rFonts w:ascii="Arial" w:hAnsi="Arial" w:cs="Arial"/>
        </w:rPr>
        <w:t>30% improved protection for adults compared with</w:t>
      </w:r>
      <w:r w:rsidR="006A5D73" w:rsidRPr="003C3EBC">
        <w:rPr>
          <w:rFonts w:ascii="Arial" w:hAnsi="Arial" w:cs="Arial"/>
        </w:rPr>
        <w:t xml:space="preserve"> 2 doses</w:t>
      </w:r>
      <w:r w:rsidR="003D3E8E" w:rsidRPr="003C3EBC">
        <w:rPr>
          <w:rFonts w:ascii="Arial" w:hAnsi="Arial" w:cs="Arial"/>
        </w:rPr>
        <w:t>. Children aged 5-17 years for whom</w:t>
      </w:r>
      <w:r w:rsidR="007E2FDD" w:rsidRPr="003C3EBC">
        <w:rPr>
          <w:rFonts w:ascii="Arial" w:hAnsi="Arial" w:cs="Arial"/>
        </w:rPr>
        <w:t xml:space="preserve"> the booster vaccination was largely not available, presented with higher </w:t>
      </w:r>
      <w:r w:rsidR="00BC668A" w:rsidRPr="003C3EBC">
        <w:rPr>
          <w:rFonts w:ascii="Arial" w:hAnsi="Arial" w:cs="Arial"/>
        </w:rPr>
        <w:t>incidence rate</w:t>
      </w:r>
      <w:r w:rsidR="00BA6775">
        <w:rPr>
          <w:rFonts w:ascii="Arial" w:hAnsi="Arial" w:cs="Arial"/>
        </w:rPr>
        <w:t xml:space="preserve"> than adults</w:t>
      </w:r>
      <w:r w:rsidR="00BC668A" w:rsidRPr="003C3EBC">
        <w:rPr>
          <w:rFonts w:ascii="Arial" w:hAnsi="Arial" w:cs="Arial"/>
        </w:rPr>
        <w:t xml:space="preserve">. </w:t>
      </w:r>
      <w:r w:rsidR="004D6F62" w:rsidRPr="003C3EBC">
        <w:rPr>
          <w:rFonts w:ascii="Arial" w:hAnsi="Arial" w:cs="Arial"/>
        </w:rPr>
        <w:t>Our findings support prioritization for childhood vaccination, including expanding vaccine eligibility and availability.</w:t>
      </w:r>
      <w:r w:rsidR="00705E94" w:rsidRPr="003C3EBC">
        <w:rPr>
          <w:rFonts w:ascii="Arial" w:hAnsi="Arial" w:cs="Arial"/>
        </w:rPr>
        <w:t xml:space="preserve"> </w:t>
      </w:r>
    </w:p>
    <w:p w14:paraId="72E1C3BD" w14:textId="33D1AF3D" w:rsidR="003C3EBC" w:rsidRPr="00C144E8" w:rsidRDefault="00705E94" w:rsidP="00CE362F">
      <w:pPr>
        <w:jc w:val="both"/>
        <w:rPr>
          <w:rFonts w:ascii="Arial" w:hAnsi="Arial" w:cs="Arial"/>
        </w:rPr>
      </w:pPr>
      <w:r w:rsidRPr="003C3EBC">
        <w:rPr>
          <w:rFonts w:ascii="Arial" w:hAnsi="Arial" w:cs="Arial"/>
        </w:rPr>
        <w:t xml:space="preserve">Our findings also highlighted the value to </w:t>
      </w:r>
      <w:r w:rsidR="00681C1E" w:rsidRPr="003C3EBC">
        <w:rPr>
          <w:rFonts w:ascii="Arial" w:hAnsi="Arial" w:cs="Arial"/>
        </w:rPr>
        <w:t xml:space="preserve">maintain </w:t>
      </w:r>
      <w:r w:rsidR="000C177C" w:rsidRPr="003C3EBC">
        <w:rPr>
          <w:rFonts w:ascii="Arial" w:hAnsi="Arial" w:cs="Arial"/>
        </w:rPr>
        <w:t>the community longitudinal cohort study</w:t>
      </w:r>
      <w:r w:rsidR="00723BFD" w:rsidRPr="003C3EBC">
        <w:rPr>
          <w:rFonts w:ascii="Arial" w:hAnsi="Arial" w:cs="Arial"/>
        </w:rPr>
        <w:t xml:space="preserve"> </w:t>
      </w:r>
      <w:r w:rsidR="00681C1E" w:rsidRPr="003C3EBC">
        <w:rPr>
          <w:rFonts w:ascii="Arial" w:hAnsi="Arial" w:cs="Arial"/>
        </w:rPr>
        <w:t xml:space="preserve">in the future in NZ </w:t>
      </w:r>
      <w:r w:rsidR="00723BFD" w:rsidRPr="003C3EBC">
        <w:rPr>
          <w:rFonts w:ascii="Arial" w:hAnsi="Arial" w:cs="Arial"/>
        </w:rPr>
        <w:t>in understanding the full spectrum of disease burden and assessing vaccine effectiveness and informing future modelling to plan and predict viral transmission, model the impact of vaccin</w:t>
      </w:r>
      <w:r w:rsidR="00681C1E" w:rsidRPr="003C3EBC">
        <w:rPr>
          <w:rFonts w:ascii="Arial" w:hAnsi="Arial" w:cs="Arial"/>
        </w:rPr>
        <w:t>ation and better prepare for the next pandemic.</w:t>
      </w:r>
      <w:r w:rsidR="00954B2F" w:rsidRPr="003C3EBC">
        <w:rPr>
          <w:rFonts w:ascii="Arial" w:hAnsi="Arial" w:cs="Arial"/>
        </w:rPr>
        <w:t xml:space="preserve"> </w:t>
      </w:r>
    </w:p>
    <w:p w14:paraId="7EDCF84A" w14:textId="43410A43" w:rsidR="003C3EBC" w:rsidRPr="00B01F25" w:rsidRDefault="00F229B5" w:rsidP="00CE362F">
      <w:pPr>
        <w:jc w:val="both"/>
      </w:pPr>
      <w:r>
        <w:t xml:space="preserve">Note: HDEC provided ethics approval for </w:t>
      </w:r>
      <w:r w:rsidR="00320FCB">
        <w:t>the SHIVERS/</w:t>
      </w:r>
      <w:proofErr w:type="spellStart"/>
      <w:r w:rsidR="00320FCB">
        <w:t>WellKiwis</w:t>
      </w:r>
      <w:proofErr w:type="spellEnd"/>
      <w:r w:rsidR="00320FCB">
        <w:t xml:space="preserve"> study (</w:t>
      </w:r>
      <w:r w:rsidR="009B7D7D">
        <w:t>NTX/11/11/102)</w:t>
      </w:r>
    </w:p>
    <w:p w14:paraId="2D015D7A" w14:textId="0D92BF15" w:rsidR="00B01F25" w:rsidRPr="00CE362F" w:rsidRDefault="001D5278" w:rsidP="00CE362F">
      <w:r>
        <w:t>Attach infographic</w:t>
      </w:r>
      <w:r w:rsidR="000244F2">
        <w:t xml:space="preserve">s file </w:t>
      </w:r>
    </w:p>
    <w:sectPr w:rsidR="00B01F25" w:rsidRPr="00CE362F" w:rsidSect="00CB3831">
      <w:footerReference w:type="default" r:id="rId20"/>
      <w:pgSz w:w="11907" w:h="16834" w:code="9"/>
      <w:pgMar w:top="851" w:right="1134" w:bottom="851" w:left="1134"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F358" w14:textId="77777777" w:rsidR="00CB3831" w:rsidRDefault="00CB3831" w:rsidP="009B34A8">
      <w:pPr>
        <w:spacing w:before="0" w:line="240" w:lineRule="auto"/>
      </w:pPr>
      <w:r>
        <w:separator/>
      </w:r>
    </w:p>
  </w:endnote>
  <w:endnote w:type="continuationSeparator" w:id="0">
    <w:p w14:paraId="36C9EE52" w14:textId="77777777" w:rsidR="00CB3831" w:rsidRDefault="00CB3831" w:rsidP="009B34A8">
      <w:pPr>
        <w:spacing w:before="0" w:line="240" w:lineRule="auto"/>
      </w:pPr>
      <w:r>
        <w:continuationSeparator/>
      </w:r>
    </w:p>
  </w:endnote>
  <w:endnote w:type="continuationNotice" w:id="1">
    <w:p w14:paraId="58C91206" w14:textId="77777777" w:rsidR="00CB3831" w:rsidRDefault="00CB383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D0D2" w14:textId="77777777" w:rsidR="00BA10C2" w:rsidRDefault="00BA1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8748" w14:textId="77777777" w:rsidR="00CE362F" w:rsidRPr="00B9660F" w:rsidRDefault="00CE362F" w:rsidP="00A230A7">
    <w:pPr>
      <w:pStyle w:val="Footer"/>
      <w:tabs>
        <w:tab w:val="right" w:pos="9355"/>
      </w:tabs>
      <w:rPr>
        <w:b/>
      </w:rPr>
    </w:pPr>
    <w:r w:rsidRPr="00B9660F">
      <w:rPr>
        <w:b/>
      </w:rPr>
      <w:tab/>
      <w:t>health.govt.nz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C841" w14:textId="77777777" w:rsidR="00BA10C2" w:rsidRDefault="00BA1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6063" w14:textId="77777777" w:rsidR="00CE362F" w:rsidRDefault="00CE362F" w:rsidP="00593E39">
    <w:pPr>
      <w:pStyle w:val="RectoFooter"/>
      <w:tabs>
        <w:tab w:val="left" w:pos="284"/>
      </w:tabs>
    </w:pPr>
    <w:r>
      <w:tab/>
      <w:t xml:space="preserve">Final report summary: </w:t>
    </w:r>
    <w:r w:rsidRPr="00F94476">
      <w:t>COVID-19 and National Immunisation Programme research</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7C2C" w14:textId="05307905" w:rsidR="00171228" w:rsidRDefault="009B3258" w:rsidP="00171228">
    <w:pPr>
      <w:pStyle w:val="RectoFooter"/>
      <w:tabs>
        <w:tab w:val="clear" w:pos="8647"/>
        <w:tab w:val="clear" w:pos="9356"/>
        <w:tab w:val="left" w:pos="284"/>
        <w:tab w:val="left" w:pos="13892"/>
      </w:tabs>
    </w:pPr>
    <w:r>
      <w:t>Final</w:t>
    </w:r>
    <w:r w:rsidR="00171228">
      <w:t xml:space="preserve"> report</w:t>
    </w:r>
    <w:r>
      <w:t xml:space="preserve"> </w:t>
    </w:r>
    <w:r w:rsidR="00B01F25">
      <w:t>summary</w:t>
    </w:r>
    <w:r w:rsidR="00171228">
      <w:t xml:space="preserve">: </w:t>
    </w:r>
    <w:r w:rsidR="00171228" w:rsidRPr="00F94476">
      <w:t>COVID-19 and National Immunisation Programme research</w:t>
    </w:r>
    <w:r w:rsidR="00171228">
      <w:tab/>
    </w:r>
    <w:r w:rsidR="00171228">
      <w:rPr>
        <w:rStyle w:val="PageNumber"/>
      </w:rPr>
      <w:fldChar w:fldCharType="begin"/>
    </w:r>
    <w:r w:rsidR="00171228">
      <w:rPr>
        <w:rStyle w:val="PageNumber"/>
      </w:rPr>
      <w:instrText xml:space="preserve"> PAGE </w:instrText>
    </w:r>
    <w:r w:rsidR="00171228">
      <w:rPr>
        <w:rStyle w:val="PageNumber"/>
      </w:rPr>
      <w:fldChar w:fldCharType="separate"/>
    </w:r>
    <w:r w:rsidR="00171228">
      <w:rPr>
        <w:rStyle w:val="PageNumber"/>
        <w:noProof/>
      </w:rPr>
      <w:t>16</w:t>
    </w:r>
    <w:r w:rsidR="0017122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E4DB" w14:textId="77777777" w:rsidR="00CB3831" w:rsidRDefault="00CB3831" w:rsidP="009B34A8">
      <w:pPr>
        <w:spacing w:before="0" w:line="240" w:lineRule="auto"/>
      </w:pPr>
      <w:r>
        <w:separator/>
      </w:r>
    </w:p>
  </w:footnote>
  <w:footnote w:type="continuationSeparator" w:id="0">
    <w:p w14:paraId="07992836" w14:textId="77777777" w:rsidR="00CB3831" w:rsidRDefault="00CB3831" w:rsidP="009B34A8">
      <w:pPr>
        <w:spacing w:before="0" w:line="240" w:lineRule="auto"/>
      </w:pPr>
      <w:r>
        <w:continuationSeparator/>
      </w:r>
    </w:p>
  </w:footnote>
  <w:footnote w:type="continuationNotice" w:id="1">
    <w:p w14:paraId="68384085" w14:textId="77777777" w:rsidR="00CB3831" w:rsidRDefault="00CB383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9C9D" w14:textId="77777777" w:rsidR="00BA10C2" w:rsidRDefault="00BA1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8884" w14:textId="7DAC37CF" w:rsidR="00CE362F" w:rsidRDefault="00CE362F" w:rsidP="00D35D1B">
    <w:pPr>
      <w:pStyle w:val="Header"/>
      <w:tabs>
        <w:tab w:val="center" w:pos="8080"/>
      </w:tabs>
    </w:pPr>
    <w:r>
      <w:tab/>
    </w:r>
  </w:p>
  <w:p w14:paraId="4F1FEF91" w14:textId="77777777" w:rsidR="00CE362F" w:rsidRDefault="00CE362F" w:rsidP="00A230A7">
    <w:pPr>
      <w:pStyle w:val="Header"/>
      <w:ind w:left="-155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0E75" w14:textId="77777777" w:rsidR="00BA10C2" w:rsidRDefault="00BA1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EB05" w14:textId="77777777" w:rsidR="00CE362F" w:rsidRDefault="00CE362F" w:rsidP="00A23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5C2E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30286"/>
    <w:multiLevelType w:val="hybridMultilevel"/>
    <w:tmpl w:val="0020212C"/>
    <w:lvl w:ilvl="0" w:tplc="A25E6D5E">
      <w:start w:val="13"/>
      <w:numFmt w:val="bullet"/>
      <w:lvlText w:val="-"/>
      <w:lvlJc w:val="left"/>
      <w:pPr>
        <w:ind w:left="747" w:hanging="360"/>
      </w:pPr>
      <w:rPr>
        <w:rFonts w:ascii="Georgia" w:eastAsia="Times New Roman" w:hAnsi="Georgia" w:cs="Times New Roman" w:hint="default"/>
      </w:rPr>
    </w:lvl>
    <w:lvl w:ilvl="1" w:tplc="14090003" w:tentative="1">
      <w:start w:val="1"/>
      <w:numFmt w:val="bullet"/>
      <w:lvlText w:val="o"/>
      <w:lvlJc w:val="left"/>
      <w:pPr>
        <w:ind w:left="1467" w:hanging="360"/>
      </w:pPr>
      <w:rPr>
        <w:rFonts w:ascii="Courier New" w:hAnsi="Courier New" w:cs="Courier New" w:hint="default"/>
      </w:rPr>
    </w:lvl>
    <w:lvl w:ilvl="2" w:tplc="14090005" w:tentative="1">
      <w:start w:val="1"/>
      <w:numFmt w:val="bullet"/>
      <w:lvlText w:val=""/>
      <w:lvlJc w:val="left"/>
      <w:pPr>
        <w:ind w:left="2187" w:hanging="360"/>
      </w:pPr>
      <w:rPr>
        <w:rFonts w:ascii="Wingdings" w:hAnsi="Wingdings" w:hint="default"/>
      </w:rPr>
    </w:lvl>
    <w:lvl w:ilvl="3" w:tplc="14090001" w:tentative="1">
      <w:start w:val="1"/>
      <w:numFmt w:val="bullet"/>
      <w:lvlText w:val=""/>
      <w:lvlJc w:val="left"/>
      <w:pPr>
        <w:ind w:left="2907" w:hanging="360"/>
      </w:pPr>
      <w:rPr>
        <w:rFonts w:ascii="Symbol" w:hAnsi="Symbol" w:hint="default"/>
      </w:rPr>
    </w:lvl>
    <w:lvl w:ilvl="4" w:tplc="14090003" w:tentative="1">
      <w:start w:val="1"/>
      <w:numFmt w:val="bullet"/>
      <w:lvlText w:val="o"/>
      <w:lvlJc w:val="left"/>
      <w:pPr>
        <w:ind w:left="3627" w:hanging="360"/>
      </w:pPr>
      <w:rPr>
        <w:rFonts w:ascii="Courier New" w:hAnsi="Courier New" w:cs="Courier New" w:hint="default"/>
      </w:rPr>
    </w:lvl>
    <w:lvl w:ilvl="5" w:tplc="14090005" w:tentative="1">
      <w:start w:val="1"/>
      <w:numFmt w:val="bullet"/>
      <w:lvlText w:val=""/>
      <w:lvlJc w:val="left"/>
      <w:pPr>
        <w:ind w:left="4347" w:hanging="360"/>
      </w:pPr>
      <w:rPr>
        <w:rFonts w:ascii="Wingdings" w:hAnsi="Wingdings" w:hint="default"/>
      </w:rPr>
    </w:lvl>
    <w:lvl w:ilvl="6" w:tplc="14090001" w:tentative="1">
      <w:start w:val="1"/>
      <w:numFmt w:val="bullet"/>
      <w:lvlText w:val=""/>
      <w:lvlJc w:val="left"/>
      <w:pPr>
        <w:ind w:left="5067" w:hanging="360"/>
      </w:pPr>
      <w:rPr>
        <w:rFonts w:ascii="Symbol" w:hAnsi="Symbol" w:hint="default"/>
      </w:rPr>
    </w:lvl>
    <w:lvl w:ilvl="7" w:tplc="14090003" w:tentative="1">
      <w:start w:val="1"/>
      <w:numFmt w:val="bullet"/>
      <w:lvlText w:val="o"/>
      <w:lvlJc w:val="left"/>
      <w:pPr>
        <w:ind w:left="5787" w:hanging="360"/>
      </w:pPr>
      <w:rPr>
        <w:rFonts w:ascii="Courier New" w:hAnsi="Courier New" w:cs="Courier New" w:hint="default"/>
      </w:rPr>
    </w:lvl>
    <w:lvl w:ilvl="8" w:tplc="14090005" w:tentative="1">
      <w:start w:val="1"/>
      <w:numFmt w:val="bullet"/>
      <w:lvlText w:val=""/>
      <w:lvlJc w:val="left"/>
      <w:pPr>
        <w:ind w:left="6507" w:hanging="360"/>
      </w:pPr>
      <w:rPr>
        <w:rFonts w:ascii="Wingdings" w:hAnsi="Wingding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E116244"/>
    <w:multiLevelType w:val="hybridMultilevel"/>
    <w:tmpl w:val="670A505A"/>
    <w:lvl w:ilvl="0" w:tplc="EA346E22">
      <w:start w:val="1"/>
      <w:numFmt w:val="bullet"/>
      <w:pStyle w:val="Instruction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437FF8"/>
    <w:multiLevelType w:val="hybridMultilevel"/>
    <w:tmpl w:val="379CA8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99C358A"/>
    <w:multiLevelType w:val="hybridMultilevel"/>
    <w:tmpl w:val="7270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92CBA"/>
    <w:multiLevelType w:val="hybridMultilevel"/>
    <w:tmpl w:val="50704D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384E7F"/>
    <w:multiLevelType w:val="hybridMultilevel"/>
    <w:tmpl w:val="31F84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574DF9"/>
    <w:multiLevelType w:val="hybridMultilevel"/>
    <w:tmpl w:val="F9721F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1D52D61"/>
    <w:multiLevelType w:val="hybridMultilevel"/>
    <w:tmpl w:val="54943F94"/>
    <w:lvl w:ilvl="0" w:tplc="61B6E9E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D793486"/>
    <w:multiLevelType w:val="hybridMultilevel"/>
    <w:tmpl w:val="62943BD2"/>
    <w:lvl w:ilvl="0" w:tplc="1409000F">
      <w:start w:val="1"/>
      <w:numFmt w:val="decimal"/>
      <w:lvlText w:val="%1."/>
      <w:lvlJc w:val="left"/>
      <w:pPr>
        <w:ind w:left="720" w:hanging="360"/>
      </w:pPr>
      <w:rPr>
        <w:rFonts w:hint="default"/>
      </w:rPr>
    </w:lvl>
    <w:lvl w:ilvl="1" w:tplc="0A7ED950">
      <w:start w:val="1"/>
      <w:numFmt w:val="bullet"/>
      <w:lvlText w:val="o"/>
      <w:lvlJc w:val="left"/>
      <w:pPr>
        <w:ind w:left="1440" w:hanging="360"/>
      </w:pPr>
      <w:rPr>
        <w:rFonts w:ascii="Courier New" w:hAnsi="Courier New" w:hint="default"/>
      </w:rPr>
    </w:lvl>
    <w:lvl w:ilvl="2" w:tplc="5B94D8FC">
      <w:start w:val="1"/>
      <w:numFmt w:val="bullet"/>
      <w:lvlText w:val=""/>
      <w:lvlJc w:val="left"/>
      <w:pPr>
        <w:ind w:left="2160" w:hanging="360"/>
      </w:pPr>
      <w:rPr>
        <w:rFonts w:ascii="Wingdings" w:hAnsi="Wingdings" w:hint="default"/>
      </w:rPr>
    </w:lvl>
    <w:lvl w:ilvl="3" w:tplc="E3E4291A">
      <w:start w:val="1"/>
      <w:numFmt w:val="bullet"/>
      <w:lvlText w:val=""/>
      <w:lvlJc w:val="left"/>
      <w:pPr>
        <w:ind w:left="2880" w:hanging="360"/>
      </w:pPr>
      <w:rPr>
        <w:rFonts w:ascii="Symbol" w:hAnsi="Symbol" w:hint="default"/>
      </w:rPr>
    </w:lvl>
    <w:lvl w:ilvl="4" w:tplc="34F02B9E">
      <w:start w:val="1"/>
      <w:numFmt w:val="bullet"/>
      <w:lvlText w:val="o"/>
      <w:lvlJc w:val="left"/>
      <w:pPr>
        <w:ind w:left="3600" w:hanging="360"/>
      </w:pPr>
      <w:rPr>
        <w:rFonts w:ascii="Courier New" w:hAnsi="Courier New" w:hint="default"/>
      </w:rPr>
    </w:lvl>
    <w:lvl w:ilvl="5" w:tplc="CEE6F032">
      <w:start w:val="1"/>
      <w:numFmt w:val="bullet"/>
      <w:lvlText w:val=""/>
      <w:lvlJc w:val="left"/>
      <w:pPr>
        <w:ind w:left="4320" w:hanging="360"/>
      </w:pPr>
      <w:rPr>
        <w:rFonts w:ascii="Wingdings" w:hAnsi="Wingdings" w:hint="default"/>
      </w:rPr>
    </w:lvl>
    <w:lvl w:ilvl="6" w:tplc="7704522E">
      <w:start w:val="1"/>
      <w:numFmt w:val="bullet"/>
      <w:lvlText w:val=""/>
      <w:lvlJc w:val="left"/>
      <w:pPr>
        <w:ind w:left="5040" w:hanging="360"/>
      </w:pPr>
      <w:rPr>
        <w:rFonts w:ascii="Symbol" w:hAnsi="Symbol" w:hint="default"/>
      </w:rPr>
    </w:lvl>
    <w:lvl w:ilvl="7" w:tplc="2A4E5858">
      <w:start w:val="1"/>
      <w:numFmt w:val="bullet"/>
      <w:lvlText w:val="o"/>
      <w:lvlJc w:val="left"/>
      <w:pPr>
        <w:ind w:left="5760" w:hanging="360"/>
      </w:pPr>
      <w:rPr>
        <w:rFonts w:ascii="Courier New" w:hAnsi="Courier New" w:hint="default"/>
      </w:rPr>
    </w:lvl>
    <w:lvl w:ilvl="8" w:tplc="A58C9152">
      <w:start w:val="1"/>
      <w:numFmt w:val="bullet"/>
      <w:lvlText w:val=""/>
      <w:lvlJc w:val="left"/>
      <w:pPr>
        <w:ind w:left="6480" w:hanging="360"/>
      </w:pPr>
      <w:rPr>
        <w:rFonts w:ascii="Wingdings" w:hAnsi="Wingdings" w:hint="default"/>
      </w:rPr>
    </w:lvl>
  </w:abstractNum>
  <w:abstractNum w:abstractNumId="11" w15:restartNumberingAfterBreak="0">
    <w:nsid w:val="2F7F62ED"/>
    <w:multiLevelType w:val="hybridMultilevel"/>
    <w:tmpl w:val="DDE6560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6966272"/>
    <w:multiLevelType w:val="hybridMultilevel"/>
    <w:tmpl w:val="09EE6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A4118E3"/>
    <w:multiLevelType w:val="hybridMultilevel"/>
    <w:tmpl w:val="D958B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217D4E"/>
    <w:multiLevelType w:val="hybridMultilevel"/>
    <w:tmpl w:val="DDF21FF4"/>
    <w:lvl w:ilvl="0" w:tplc="A25E6D5E">
      <w:start w:val="13"/>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A39C5"/>
    <w:multiLevelType w:val="hybridMultilevel"/>
    <w:tmpl w:val="1ED88A70"/>
    <w:lvl w:ilvl="0" w:tplc="A25E6D5E">
      <w:start w:val="13"/>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EC5694"/>
    <w:multiLevelType w:val="hybridMultilevel"/>
    <w:tmpl w:val="6200ED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4866C6"/>
    <w:multiLevelType w:val="hybridMultilevel"/>
    <w:tmpl w:val="5C5C9A42"/>
    <w:lvl w:ilvl="0" w:tplc="646ABB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07E7357"/>
    <w:multiLevelType w:val="multilevel"/>
    <w:tmpl w:val="31D8AEC8"/>
    <w:lvl w:ilvl="0">
      <w:start w:val="1"/>
      <w:numFmt w:val="decimal"/>
      <w:pStyle w:val="Heading1"/>
      <w:suff w:val="nothing"/>
      <w:lvlText w:val="Section %1"/>
      <w:lvlJc w:val="left"/>
      <w:pPr>
        <w:ind w:left="1134"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703"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54DB5"/>
    <w:multiLevelType w:val="hybridMultilevel"/>
    <w:tmpl w:val="CEFAF4D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CFF2051"/>
    <w:multiLevelType w:val="hybridMultilevel"/>
    <w:tmpl w:val="F820ABF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DAB535C"/>
    <w:multiLevelType w:val="hybridMultilevel"/>
    <w:tmpl w:val="9042D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24" w15:restartNumberingAfterBreak="0">
    <w:nsid w:val="56A9000D"/>
    <w:multiLevelType w:val="hybridMultilevel"/>
    <w:tmpl w:val="3D3AAE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6C47826"/>
    <w:multiLevelType w:val="hybridMultilevel"/>
    <w:tmpl w:val="AB1E307C"/>
    <w:lvl w:ilvl="0" w:tplc="FB022A00">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85D2317"/>
    <w:multiLevelType w:val="hybridMultilevel"/>
    <w:tmpl w:val="9F3A18A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8" w15:restartNumberingAfterBreak="0">
    <w:nsid w:val="58B905C6"/>
    <w:multiLevelType w:val="hybridMultilevel"/>
    <w:tmpl w:val="53CC4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C242807"/>
    <w:multiLevelType w:val="multilevel"/>
    <w:tmpl w:val="EF0410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4A130AA"/>
    <w:multiLevelType w:val="hybridMultilevel"/>
    <w:tmpl w:val="81CAB598"/>
    <w:lvl w:ilvl="0" w:tplc="F4EC826E">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696635B8"/>
    <w:multiLevelType w:val="hybridMultilevel"/>
    <w:tmpl w:val="EEBEA7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E126DF5"/>
    <w:multiLevelType w:val="hybridMultilevel"/>
    <w:tmpl w:val="20D4B12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3" w15:restartNumberingAfterBreak="0">
    <w:nsid w:val="6F2C328E"/>
    <w:multiLevelType w:val="hybridMultilevel"/>
    <w:tmpl w:val="7A126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763231"/>
    <w:multiLevelType w:val="hybridMultilevel"/>
    <w:tmpl w:val="ED70852A"/>
    <w:lvl w:ilvl="0" w:tplc="0DC6B54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951691"/>
    <w:multiLevelType w:val="hybridMultilevel"/>
    <w:tmpl w:val="C0201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3E18FD"/>
    <w:multiLevelType w:val="hybridMultilevel"/>
    <w:tmpl w:val="8AFC90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79697D7C"/>
    <w:multiLevelType w:val="hybridMultilevel"/>
    <w:tmpl w:val="ACAA767A"/>
    <w:lvl w:ilvl="0" w:tplc="9DA075D0">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A2815FC"/>
    <w:multiLevelType w:val="hybridMultilevel"/>
    <w:tmpl w:val="2C6A5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D6E32D1"/>
    <w:multiLevelType w:val="hybridMultilevel"/>
    <w:tmpl w:val="8602A1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E195399"/>
    <w:multiLevelType w:val="hybridMultilevel"/>
    <w:tmpl w:val="3D704FF4"/>
    <w:lvl w:ilvl="0" w:tplc="E2F8D5B0">
      <w:start w:val="13"/>
      <w:numFmt w:val="bullet"/>
      <w:lvlText w:val="-"/>
      <w:lvlJc w:val="left"/>
      <w:pPr>
        <w:ind w:left="387" w:hanging="360"/>
      </w:pPr>
      <w:rPr>
        <w:rFonts w:ascii="Georgia" w:eastAsia="Times New Roman" w:hAnsi="Georgia" w:cs="Times New Roman" w:hint="default"/>
      </w:rPr>
    </w:lvl>
    <w:lvl w:ilvl="1" w:tplc="14090003" w:tentative="1">
      <w:start w:val="1"/>
      <w:numFmt w:val="bullet"/>
      <w:lvlText w:val="o"/>
      <w:lvlJc w:val="left"/>
      <w:pPr>
        <w:ind w:left="1107" w:hanging="360"/>
      </w:pPr>
      <w:rPr>
        <w:rFonts w:ascii="Courier New" w:hAnsi="Courier New" w:cs="Courier New" w:hint="default"/>
      </w:rPr>
    </w:lvl>
    <w:lvl w:ilvl="2" w:tplc="14090005" w:tentative="1">
      <w:start w:val="1"/>
      <w:numFmt w:val="bullet"/>
      <w:lvlText w:val=""/>
      <w:lvlJc w:val="left"/>
      <w:pPr>
        <w:ind w:left="1827" w:hanging="360"/>
      </w:pPr>
      <w:rPr>
        <w:rFonts w:ascii="Wingdings" w:hAnsi="Wingdings" w:hint="default"/>
      </w:rPr>
    </w:lvl>
    <w:lvl w:ilvl="3" w:tplc="14090001" w:tentative="1">
      <w:start w:val="1"/>
      <w:numFmt w:val="bullet"/>
      <w:lvlText w:val=""/>
      <w:lvlJc w:val="left"/>
      <w:pPr>
        <w:ind w:left="2547" w:hanging="360"/>
      </w:pPr>
      <w:rPr>
        <w:rFonts w:ascii="Symbol" w:hAnsi="Symbol" w:hint="default"/>
      </w:rPr>
    </w:lvl>
    <w:lvl w:ilvl="4" w:tplc="14090003" w:tentative="1">
      <w:start w:val="1"/>
      <w:numFmt w:val="bullet"/>
      <w:lvlText w:val="o"/>
      <w:lvlJc w:val="left"/>
      <w:pPr>
        <w:ind w:left="3267" w:hanging="360"/>
      </w:pPr>
      <w:rPr>
        <w:rFonts w:ascii="Courier New" w:hAnsi="Courier New" w:cs="Courier New" w:hint="default"/>
      </w:rPr>
    </w:lvl>
    <w:lvl w:ilvl="5" w:tplc="14090005" w:tentative="1">
      <w:start w:val="1"/>
      <w:numFmt w:val="bullet"/>
      <w:lvlText w:val=""/>
      <w:lvlJc w:val="left"/>
      <w:pPr>
        <w:ind w:left="3987" w:hanging="360"/>
      </w:pPr>
      <w:rPr>
        <w:rFonts w:ascii="Wingdings" w:hAnsi="Wingdings" w:hint="default"/>
      </w:rPr>
    </w:lvl>
    <w:lvl w:ilvl="6" w:tplc="14090001" w:tentative="1">
      <w:start w:val="1"/>
      <w:numFmt w:val="bullet"/>
      <w:lvlText w:val=""/>
      <w:lvlJc w:val="left"/>
      <w:pPr>
        <w:ind w:left="4707" w:hanging="360"/>
      </w:pPr>
      <w:rPr>
        <w:rFonts w:ascii="Symbol" w:hAnsi="Symbol" w:hint="default"/>
      </w:rPr>
    </w:lvl>
    <w:lvl w:ilvl="7" w:tplc="14090003" w:tentative="1">
      <w:start w:val="1"/>
      <w:numFmt w:val="bullet"/>
      <w:lvlText w:val="o"/>
      <w:lvlJc w:val="left"/>
      <w:pPr>
        <w:ind w:left="5427" w:hanging="360"/>
      </w:pPr>
      <w:rPr>
        <w:rFonts w:ascii="Courier New" w:hAnsi="Courier New" w:cs="Courier New" w:hint="default"/>
      </w:rPr>
    </w:lvl>
    <w:lvl w:ilvl="8" w:tplc="14090005" w:tentative="1">
      <w:start w:val="1"/>
      <w:numFmt w:val="bullet"/>
      <w:lvlText w:val=""/>
      <w:lvlJc w:val="left"/>
      <w:pPr>
        <w:ind w:left="6147" w:hanging="360"/>
      </w:pPr>
      <w:rPr>
        <w:rFonts w:ascii="Wingdings" w:hAnsi="Wingdings" w:hint="default"/>
      </w:rPr>
    </w:lvl>
  </w:abstractNum>
  <w:num w:numId="1" w16cid:durableId="985399691">
    <w:abstractNumId w:val="19"/>
  </w:num>
  <w:num w:numId="2" w16cid:durableId="167066517">
    <w:abstractNumId w:val="29"/>
  </w:num>
  <w:num w:numId="3" w16cid:durableId="232593646">
    <w:abstractNumId w:val="19"/>
  </w:num>
  <w:num w:numId="4" w16cid:durableId="1191184698">
    <w:abstractNumId w:val="15"/>
  </w:num>
  <w:num w:numId="5" w16cid:durableId="1591230057">
    <w:abstractNumId w:val="2"/>
  </w:num>
  <w:num w:numId="6" w16cid:durableId="1371876566">
    <w:abstractNumId w:val="26"/>
  </w:num>
  <w:num w:numId="7" w16cid:durableId="1320769936">
    <w:abstractNumId w:val="3"/>
  </w:num>
  <w:num w:numId="8" w16cid:durableId="1169711022">
    <w:abstractNumId w:val="30"/>
  </w:num>
  <w:num w:numId="9" w16cid:durableId="882324105">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7995778">
    <w:abstractNumId w:val="32"/>
  </w:num>
  <w:num w:numId="11" w16cid:durableId="1874031692">
    <w:abstractNumId w:val="39"/>
  </w:num>
  <w:num w:numId="12" w16cid:durableId="914972492">
    <w:abstractNumId w:val="17"/>
  </w:num>
  <w:num w:numId="13" w16cid:durableId="1582523880">
    <w:abstractNumId w:val="28"/>
  </w:num>
  <w:num w:numId="14" w16cid:durableId="2115322109">
    <w:abstractNumId w:val="8"/>
  </w:num>
  <w:num w:numId="15" w16cid:durableId="1230843477">
    <w:abstractNumId w:val="22"/>
  </w:num>
  <w:num w:numId="16" w16cid:durableId="454181931">
    <w:abstractNumId w:val="7"/>
  </w:num>
  <w:num w:numId="17" w16cid:durableId="2070565714">
    <w:abstractNumId w:val="13"/>
  </w:num>
  <w:num w:numId="18" w16cid:durableId="516579960">
    <w:abstractNumId w:val="34"/>
  </w:num>
  <w:num w:numId="19" w16cid:durableId="1727298996">
    <w:abstractNumId w:val="16"/>
  </w:num>
  <w:num w:numId="20" w16cid:durableId="107360994">
    <w:abstractNumId w:val="14"/>
  </w:num>
  <w:num w:numId="21" w16cid:durableId="1581019135">
    <w:abstractNumId w:val="1"/>
  </w:num>
  <w:num w:numId="22" w16cid:durableId="828178966">
    <w:abstractNumId w:val="41"/>
  </w:num>
  <w:num w:numId="23" w16cid:durableId="615215671">
    <w:abstractNumId w:val="9"/>
  </w:num>
  <w:num w:numId="24" w16cid:durableId="282121">
    <w:abstractNumId w:val="0"/>
  </w:num>
  <w:num w:numId="25" w16cid:durableId="1561668908">
    <w:abstractNumId w:val="5"/>
  </w:num>
  <w:num w:numId="26" w16cid:durableId="1514346656">
    <w:abstractNumId w:val="18"/>
  </w:num>
  <w:num w:numId="27" w16cid:durableId="1839073717">
    <w:abstractNumId w:val="23"/>
  </w:num>
  <w:num w:numId="28" w16cid:durableId="1672298472">
    <w:abstractNumId w:val="35"/>
  </w:num>
  <w:num w:numId="29" w16cid:durableId="297303809">
    <w:abstractNumId w:val="38"/>
  </w:num>
  <w:num w:numId="30" w16cid:durableId="920022513">
    <w:abstractNumId w:val="20"/>
  </w:num>
  <w:num w:numId="31" w16cid:durableId="731469281">
    <w:abstractNumId w:val="11"/>
  </w:num>
  <w:num w:numId="32" w16cid:durableId="1110916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6301094">
    <w:abstractNumId w:val="10"/>
  </w:num>
  <w:num w:numId="34" w16cid:durableId="1898398495">
    <w:abstractNumId w:val="31"/>
  </w:num>
  <w:num w:numId="35" w16cid:durableId="1169249921">
    <w:abstractNumId w:val="33"/>
  </w:num>
  <w:num w:numId="36" w16cid:durableId="330110987">
    <w:abstractNumId w:val="12"/>
  </w:num>
  <w:num w:numId="37" w16cid:durableId="1352218038">
    <w:abstractNumId w:val="37"/>
  </w:num>
  <w:num w:numId="38" w16cid:durableId="309599066">
    <w:abstractNumId w:val="27"/>
  </w:num>
  <w:num w:numId="39" w16cid:durableId="122890071">
    <w:abstractNumId w:val="6"/>
  </w:num>
  <w:num w:numId="40" w16cid:durableId="1980718415">
    <w:abstractNumId w:val="24"/>
  </w:num>
  <w:num w:numId="41" w16cid:durableId="1185707298">
    <w:abstractNumId w:val="36"/>
  </w:num>
  <w:num w:numId="42" w16cid:durableId="303898721">
    <w:abstractNumId w:val="25"/>
  </w:num>
  <w:num w:numId="43" w16cid:durableId="576326000">
    <w:abstractNumId w:val="21"/>
  </w:num>
  <w:num w:numId="44" w16cid:durableId="160508753">
    <w:abstractNumId w:val="4"/>
  </w:num>
  <w:num w:numId="45" w16cid:durableId="183372009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bc0tDAxMbM0sTBS0lEKTi0uzszPAykwNKsFANebr7I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Georgi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tere2e6ws9phewr9aptdss50rx2w0fwpex&quot;&gt;Natural Hazards&lt;record-ids&gt;&lt;item&gt;90&lt;/item&gt;&lt;item&gt;96&lt;/item&gt;&lt;item&gt;104&lt;/item&gt;&lt;item&gt;160&lt;/item&gt;&lt;item&gt;162&lt;/item&gt;&lt;item&gt;165&lt;/item&gt;&lt;item&gt;166&lt;/item&gt;&lt;item&gt;167&lt;/item&gt;&lt;item&gt;181&lt;/item&gt;&lt;item&gt;205&lt;/item&gt;&lt;item&gt;208&lt;/item&gt;&lt;item&gt;225&lt;/item&gt;&lt;item&gt;246&lt;/item&gt;&lt;item&gt;247&lt;/item&gt;&lt;item&gt;248&lt;/item&gt;&lt;item&gt;252&lt;/item&gt;&lt;item&gt;253&lt;/item&gt;&lt;item&gt;256&lt;/item&gt;&lt;item&gt;278&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5&lt;/item&gt;&lt;item&gt;306&lt;/item&gt;&lt;item&gt;307&lt;/item&gt;&lt;item&gt;308&lt;/item&gt;&lt;/record-ids&gt;&lt;/item&gt;&lt;/Libraries&gt;"/>
  </w:docVars>
  <w:rsids>
    <w:rsidRoot w:val="00E76F63"/>
    <w:rsid w:val="00004949"/>
    <w:rsid w:val="00004AAC"/>
    <w:rsid w:val="000173F7"/>
    <w:rsid w:val="000244F2"/>
    <w:rsid w:val="00046AB5"/>
    <w:rsid w:val="00072B1C"/>
    <w:rsid w:val="00084343"/>
    <w:rsid w:val="00084E47"/>
    <w:rsid w:val="000857DD"/>
    <w:rsid w:val="00087043"/>
    <w:rsid w:val="000920F9"/>
    <w:rsid w:val="00093B84"/>
    <w:rsid w:val="000A13FD"/>
    <w:rsid w:val="000A6423"/>
    <w:rsid w:val="000B0D02"/>
    <w:rsid w:val="000B4B15"/>
    <w:rsid w:val="000B57D8"/>
    <w:rsid w:val="000C177C"/>
    <w:rsid w:val="000C3AA1"/>
    <w:rsid w:val="000C4D40"/>
    <w:rsid w:val="000D0B1F"/>
    <w:rsid w:val="000E6069"/>
    <w:rsid w:val="000F2B9A"/>
    <w:rsid w:val="00106F79"/>
    <w:rsid w:val="00107852"/>
    <w:rsid w:val="0011067C"/>
    <w:rsid w:val="001111CC"/>
    <w:rsid w:val="00120CDF"/>
    <w:rsid w:val="00127924"/>
    <w:rsid w:val="00130B5D"/>
    <w:rsid w:val="00131EAD"/>
    <w:rsid w:val="00135E7F"/>
    <w:rsid w:val="00142408"/>
    <w:rsid w:val="001541ED"/>
    <w:rsid w:val="00162191"/>
    <w:rsid w:val="00162A5C"/>
    <w:rsid w:val="001660D0"/>
    <w:rsid w:val="00171228"/>
    <w:rsid w:val="00171685"/>
    <w:rsid w:val="001873B2"/>
    <w:rsid w:val="00187511"/>
    <w:rsid w:val="00187DB2"/>
    <w:rsid w:val="00190754"/>
    <w:rsid w:val="001A07D9"/>
    <w:rsid w:val="001A358B"/>
    <w:rsid w:val="001A3E3B"/>
    <w:rsid w:val="001A7DCC"/>
    <w:rsid w:val="001B5229"/>
    <w:rsid w:val="001C226C"/>
    <w:rsid w:val="001C2362"/>
    <w:rsid w:val="001C47FF"/>
    <w:rsid w:val="001C4C6B"/>
    <w:rsid w:val="001C6432"/>
    <w:rsid w:val="001D2D44"/>
    <w:rsid w:val="001D3DA8"/>
    <w:rsid w:val="001D5278"/>
    <w:rsid w:val="001D5C30"/>
    <w:rsid w:val="001E01CD"/>
    <w:rsid w:val="001E5E84"/>
    <w:rsid w:val="001E6AE3"/>
    <w:rsid w:val="001F02F3"/>
    <w:rsid w:val="001F1BA1"/>
    <w:rsid w:val="002026F6"/>
    <w:rsid w:val="002033FB"/>
    <w:rsid w:val="00215438"/>
    <w:rsid w:val="00215471"/>
    <w:rsid w:val="00215B6D"/>
    <w:rsid w:val="00222738"/>
    <w:rsid w:val="00222E9C"/>
    <w:rsid w:val="0022615E"/>
    <w:rsid w:val="00231415"/>
    <w:rsid w:val="002318F8"/>
    <w:rsid w:val="00236935"/>
    <w:rsid w:val="00255925"/>
    <w:rsid w:val="00270352"/>
    <w:rsid w:val="00270545"/>
    <w:rsid w:val="002713D7"/>
    <w:rsid w:val="00277462"/>
    <w:rsid w:val="002838FC"/>
    <w:rsid w:val="00286D66"/>
    <w:rsid w:val="002A0081"/>
    <w:rsid w:val="002A0148"/>
    <w:rsid w:val="002A7847"/>
    <w:rsid w:val="002C3191"/>
    <w:rsid w:val="002C6DB1"/>
    <w:rsid w:val="002D50CD"/>
    <w:rsid w:val="002D520D"/>
    <w:rsid w:val="002D530F"/>
    <w:rsid w:val="002D75B9"/>
    <w:rsid w:val="002E3370"/>
    <w:rsid w:val="002E5766"/>
    <w:rsid w:val="002E6619"/>
    <w:rsid w:val="002F57C3"/>
    <w:rsid w:val="00302AF6"/>
    <w:rsid w:val="003053C8"/>
    <w:rsid w:val="0031278D"/>
    <w:rsid w:val="00320FCB"/>
    <w:rsid w:val="00324130"/>
    <w:rsid w:val="00325FCC"/>
    <w:rsid w:val="003275A9"/>
    <w:rsid w:val="0033066E"/>
    <w:rsid w:val="0033250B"/>
    <w:rsid w:val="0033309E"/>
    <w:rsid w:val="00336FBC"/>
    <w:rsid w:val="00337229"/>
    <w:rsid w:val="003373B1"/>
    <w:rsid w:val="00344644"/>
    <w:rsid w:val="0034671E"/>
    <w:rsid w:val="003471AE"/>
    <w:rsid w:val="0035018C"/>
    <w:rsid w:val="00354898"/>
    <w:rsid w:val="00355FCB"/>
    <w:rsid w:val="003569B7"/>
    <w:rsid w:val="003634EC"/>
    <w:rsid w:val="00363D85"/>
    <w:rsid w:val="00367EE2"/>
    <w:rsid w:val="00370B34"/>
    <w:rsid w:val="00372DB7"/>
    <w:rsid w:val="003743F5"/>
    <w:rsid w:val="00374E87"/>
    <w:rsid w:val="00381AC9"/>
    <w:rsid w:val="00383310"/>
    <w:rsid w:val="00385446"/>
    <w:rsid w:val="003A2E66"/>
    <w:rsid w:val="003C3EBC"/>
    <w:rsid w:val="003C4828"/>
    <w:rsid w:val="003D3836"/>
    <w:rsid w:val="003D38BC"/>
    <w:rsid w:val="003D3E8E"/>
    <w:rsid w:val="003D4B44"/>
    <w:rsid w:val="003E1C23"/>
    <w:rsid w:val="003E3933"/>
    <w:rsid w:val="003E7D18"/>
    <w:rsid w:val="003F17B2"/>
    <w:rsid w:val="003F2859"/>
    <w:rsid w:val="004040B3"/>
    <w:rsid w:val="00404174"/>
    <w:rsid w:val="00406AA2"/>
    <w:rsid w:val="00406F34"/>
    <w:rsid w:val="00410B69"/>
    <w:rsid w:val="00422458"/>
    <w:rsid w:val="00426787"/>
    <w:rsid w:val="00431FDF"/>
    <w:rsid w:val="00433397"/>
    <w:rsid w:val="004361E1"/>
    <w:rsid w:val="00442858"/>
    <w:rsid w:val="004454B0"/>
    <w:rsid w:val="00445766"/>
    <w:rsid w:val="004616A1"/>
    <w:rsid w:val="004621CD"/>
    <w:rsid w:val="00463D68"/>
    <w:rsid w:val="00465BC4"/>
    <w:rsid w:val="004706AA"/>
    <w:rsid w:val="00480A96"/>
    <w:rsid w:val="00481425"/>
    <w:rsid w:val="00481D81"/>
    <w:rsid w:val="0049311E"/>
    <w:rsid w:val="004A2390"/>
    <w:rsid w:val="004A283E"/>
    <w:rsid w:val="004B3DE3"/>
    <w:rsid w:val="004B3E60"/>
    <w:rsid w:val="004B4579"/>
    <w:rsid w:val="004C51FF"/>
    <w:rsid w:val="004C7B82"/>
    <w:rsid w:val="004D6F62"/>
    <w:rsid w:val="004E1362"/>
    <w:rsid w:val="004E3959"/>
    <w:rsid w:val="004F650C"/>
    <w:rsid w:val="005009D2"/>
    <w:rsid w:val="00507EDA"/>
    <w:rsid w:val="00513078"/>
    <w:rsid w:val="00514447"/>
    <w:rsid w:val="00522F4E"/>
    <w:rsid w:val="00530DBA"/>
    <w:rsid w:val="005449C8"/>
    <w:rsid w:val="00544BED"/>
    <w:rsid w:val="00550228"/>
    <w:rsid w:val="00556887"/>
    <w:rsid w:val="00562A76"/>
    <w:rsid w:val="00570004"/>
    <w:rsid w:val="00587B38"/>
    <w:rsid w:val="00593E39"/>
    <w:rsid w:val="00595F7F"/>
    <w:rsid w:val="005D0392"/>
    <w:rsid w:val="005E5522"/>
    <w:rsid w:val="005E5649"/>
    <w:rsid w:val="005E5E96"/>
    <w:rsid w:val="005F26E3"/>
    <w:rsid w:val="005F4BA6"/>
    <w:rsid w:val="0061700E"/>
    <w:rsid w:val="006248DB"/>
    <w:rsid w:val="00636BF9"/>
    <w:rsid w:val="00643502"/>
    <w:rsid w:val="00644276"/>
    <w:rsid w:val="006479D7"/>
    <w:rsid w:val="0066610F"/>
    <w:rsid w:val="00666664"/>
    <w:rsid w:val="006712B4"/>
    <w:rsid w:val="00680544"/>
    <w:rsid w:val="00681C1E"/>
    <w:rsid w:val="00695355"/>
    <w:rsid w:val="006A5D73"/>
    <w:rsid w:val="006A6F74"/>
    <w:rsid w:val="006C01C1"/>
    <w:rsid w:val="006C168D"/>
    <w:rsid w:val="006C3142"/>
    <w:rsid w:val="006D33DB"/>
    <w:rsid w:val="006D4C78"/>
    <w:rsid w:val="006D794E"/>
    <w:rsid w:val="006E17A9"/>
    <w:rsid w:val="006E2317"/>
    <w:rsid w:val="006E3E99"/>
    <w:rsid w:val="006E7E46"/>
    <w:rsid w:val="006F1E57"/>
    <w:rsid w:val="006F4720"/>
    <w:rsid w:val="006F66B7"/>
    <w:rsid w:val="006F7984"/>
    <w:rsid w:val="006F7F27"/>
    <w:rsid w:val="00702439"/>
    <w:rsid w:val="0070404A"/>
    <w:rsid w:val="007056C9"/>
    <w:rsid w:val="00705E94"/>
    <w:rsid w:val="00715E37"/>
    <w:rsid w:val="00717871"/>
    <w:rsid w:val="00717895"/>
    <w:rsid w:val="00720BF3"/>
    <w:rsid w:val="00723BFD"/>
    <w:rsid w:val="00732EC9"/>
    <w:rsid w:val="00733012"/>
    <w:rsid w:val="00737C56"/>
    <w:rsid w:val="00751E10"/>
    <w:rsid w:val="00753C46"/>
    <w:rsid w:val="00760258"/>
    <w:rsid w:val="0076337A"/>
    <w:rsid w:val="007662A9"/>
    <w:rsid w:val="007778FA"/>
    <w:rsid w:val="00777B29"/>
    <w:rsid w:val="00777DBB"/>
    <w:rsid w:val="00781A58"/>
    <w:rsid w:val="00785553"/>
    <w:rsid w:val="00786809"/>
    <w:rsid w:val="007A1B20"/>
    <w:rsid w:val="007A50DF"/>
    <w:rsid w:val="007A5E42"/>
    <w:rsid w:val="007B04A8"/>
    <w:rsid w:val="007B1F27"/>
    <w:rsid w:val="007B3589"/>
    <w:rsid w:val="007B4C80"/>
    <w:rsid w:val="007D14EB"/>
    <w:rsid w:val="007D23E2"/>
    <w:rsid w:val="007D429B"/>
    <w:rsid w:val="007E0746"/>
    <w:rsid w:val="007E2FDD"/>
    <w:rsid w:val="007E3659"/>
    <w:rsid w:val="007E63EE"/>
    <w:rsid w:val="007E7839"/>
    <w:rsid w:val="007E78E7"/>
    <w:rsid w:val="007F1011"/>
    <w:rsid w:val="007F3D1C"/>
    <w:rsid w:val="007F401D"/>
    <w:rsid w:val="0080618B"/>
    <w:rsid w:val="0081434F"/>
    <w:rsid w:val="008156FD"/>
    <w:rsid w:val="00815DCE"/>
    <w:rsid w:val="00817DB4"/>
    <w:rsid w:val="008223BA"/>
    <w:rsid w:val="00825426"/>
    <w:rsid w:val="00827706"/>
    <w:rsid w:val="008343AF"/>
    <w:rsid w:val="00837E13"/>
    <w:rsid w:val="00840947"/>
    <w:rsid w:val="00842DBE"/>
    <w:rsid w:val="00844EC6"/>
    <w:rsid w:val="0085243C"/>
    <w:rsid w:val="00865BFF"/>
    <w:rsid w:val="00883C78"/>
    <w:rsid w:val="0089717C"/>
    <w:rsid w:val="008A1C8A"/>
    <w:rsid w:val="008B1580"/>
    <w:rsid w:val="008B1AD9"/>
    <w:rsid w:val="008B648F"/>
    <w:rsid w:val="008B672C"/>
    <w:rsid w:val="008C0347"/>
    <w:rsid w:val="008C440F"/>
    <w:rsid w:val="008D0525"/>
    <w:rsid w:val="008D1FBA"/>
    <w:rsid w:val="008D30E4"/>
    <w:rsid w:val="008D3218"/>
    <w:rsid w:val="008E5C5E"/>
    <w:rsid w:val="008F4D7B"/>
    <w:rsid w:val="008F5371"/>
    <w:rsid w:val="008F6A51"/>
    <w:rsid w:val="00902173"/>
    <w:rsid w:val="00904C5A"/>
    <w:rsid w:val="00912331"/>
    <w:rsid w:val="0091580F"/>
    <w:rsid w:val="009249CB"/>
    <w:rsid w:val="00925B48"/>
    <w:rsid w:val="00934AC4"/>
    <w:rsid w:val="00936D1A"/>
    <w:rsid w:val="00942478"/>
    <w:rsid w:val="00945214"/>
    <w:rsid w:val="00945652"/>
    <w:rsid w:val="00950ED4"/>
    <w:rsid w:val="00954B2F"/>
    <w:rsid w:val="00956C31"/>
    <w:rsid w:val="00961875"/>
    <w:rsid w:val="00973A1E"/>
    <w:rsid w:val="009760A3"/>
    <w:rsid w:val="009815E2"/>
    <w:rsid w:val="00987367"/>
    <w:rsid w:val="009B0D55"/>
    <w:rsid w:val="009B244F"/>
    <w:rsid w:val="009B3258"/>
    <w:rsid w:val="009B34A8"/>
    <w:rsid w:val="009B4358"/>
    <w:rsid w:val="009B7D7D"/>
    <w:rsid w:val="009C03D8"/>
    <w:rsid w:val="009C4807"/>
    <w:rsid w:val="009C5CC4"/>
    <w:rsid w:val="009C5CFE"/>
    <w:rsid w:val="009D2A3E"/>
    <w:rsid w:val="009E18BE"/>
    <w:rsid w:val="009E4A9C"/>
    <w:rsid w:val="009E6829"/>
    <w:rsid w:val="00A15988"/>
    <w:rsid w:val="00A16773"/>
    <w:rsid w:val="00A2141D"/>
    <w:rsid w:val="00A21EFA"/>
    <w:rsid w:val="00A230A7"/>
    <w:rsid w:val="00A244A3"/>
    <w:rsid w:val="00A2508B"/>
    <w:rsid w:val="00A40433"/>
    <w:rsid w:val="00A47EA4"/>
    <w:rsid w:val="00A53E5D"/>
    <w:rsid w:val="00A65A6D"/>
    <w:rsid w:val="00A90057"/>
    <w:rsid w:val="00A903C8"/>
    <w:rsid w:val="00AB1EAA"/>
    <w:rsid w:val="00AB5D69"/>
    <w:rsid w:val="00AC00BF"/>
    <w:rsid w:val="00AC307B"/>
    <w:rsid w:val="00AC57F4"/>
    <w:rsid w:val="00AD363B"/>
    <w:rsid w:val="00AE62DA"/>
    <w:rsid w:val="00AF17EF"/>
    <w:rsid w:val="00AF1B8C"/>
    <w:rsid w:val="00AF79D8"/>
    <w:rsid w:val="00AF7FE5"/>
    <w:rsid w:val="00B00892"/>
    <w:rsid w:val="00B01F25"/>
    <w:rsid w:val="00B1702B"/>
    <w:rsid w:val="00B44310"/>
    <w:rsid w:val="00B54E4C"/>
    <w:rsid w:val="00B54E7A"/>
    <w:rsid w:val="00B56EE3"/>
    <w:rsid w:val="00B6063B"/>
    <w:rsid w:val="00B66EC9"/>
    <w:rsid w:val="00B731E5"/>
    <w:rsid w:val="00B736A1"/>
    <w:rsid w:val="00B76E4F"/>
    <w:rsid w:val="00B81D61"/>
    <w:rsid w:val="00B94B1C"/>
    <w:rsid w:val="00B951A8"/>
    <w:rsid w:val="00BA10C2"/>
    <w:rsid w:val="00BA6775"/>
    <w:rsid w:val="00BB0C74"/>
    <w:rsid w:val="00BB0F4E"/>
    <w:rsid w:val="00BB178A"/>
    <w:rsid w:val="00BB79FA"/>
    <w:rsid w:val="00BC0197"/>
    <w:rsid w:val="00BC668A"/>
    <w:rsid w:val="00BD3759"/>
    <w:rsid w:val="00BE152F"/>
    <w:rsid w:val="00BF4724"/>
    <w:rsid w:val="00C01DE8"/>
    <w:rsid w:val="00C02C9D"/>
    <w:rsid w:val="00C04C9F"/>
    <w:rsid w:val="00C05D0E"/>
    <w:rsid w:val="00C1181D"/>
    <w:rsid w:val="00C131E9"/>
    <w:rsid w:val="00C144E8"/>
    <w:rsid w:val="00C16350"/>
    <w:rsid w:val="00C17119"/>
    <w:rsid w:val="00C22CD9"/>
    <w:rsid w:val="00C32FC4"/>
    <w:rsid w:val="00C373F6"/>
    <w:rsid w:val="00C4304C"/>
    <w:rsid w:val="00C43429"/>
    <w:rsid w:val="00C54B30"/>
    <w:rsid w:val="00C619E1"/>
    <w:rsid w:val="00C71A84"/>
    <w:rsid w:val="00C74364"/>
    <w:rsid w:val="00C829F1"/>
    <w:rsid w:val="00C8445F"/>
    <w:rsid w:val="00C90B9F"/>
    <w:rsid w:val="00C94198"/>
    <w:rsid w:val="00CB1CEB"/>
    <w:rsid w:val="00CB3831"/>
    <w:rsid w:val="00CB3A0C"/>
    <w:rsid w:val="00CB43CA"/>
    <w:rsid w:val="00CC26C9"/>
    <w:rsid w:val="00CC26FF"/>
    <w:rsid w:val="00CD405B"/>
    <w:rsid w:val="00CE362F"/>
    <w:rsid w:val="00CE40AF"/>
    <w:rsid w:val="00CF04EF"/>
    <w:rsid w:val="00CF551A"/>
    <w:rsid w:val="00CF5E1C"/>
    <w:rsid w:val="00CF7058"/>
    <w:rsid w:val="00D01C7E"/>
    <w:rsid w:val="00D041FB"/>
    <w:rsid w:val="00D06437"/>
    <w:rsid w:val="00D074B0"/>
    <w:rsid w:val="00D15EFA"/>
    <w:rsid w:val="00D217EA"/>
    <w:rsid w:val="00D24AD6"/>
    <w:rsid w:val="00D25B69"/>
    <w:rsid w:val="00D27625"/>
    <w:rsid w:val="00D35D1B"/>
    <w:rsid w:val="00D5264F"/>
    <w:rsid w:val="00D53A7B"/>
    <w:rsid w:val="00D555C8"/>
    <w:rsid w:val="00D55865"/>
    <w:rsid w:val="00D6169C"/>
    <w:rsid w:val="00D6591B"/>
    <w:rsid w:val="00D846D8"/>
    <w:rsid w:val="00D862DA"/>
    <w:rsid w:val="00D87038"/>
    <w:rsid w:val="00D9046F"/>
    <w:rsid w:val="00D91463"/>
    <w:rsid w:val="00D92108"/>
    <w:rsid w:val="00D92879"/>
    <w:rsid w:val="00DA35C4"/>
    <w:rsid w:val="00DA5D31"/>
    <w:rsid w:val="00DA6C6B"/>
    <w:rsid w:val="00DB09DC"/>
    <w:rsid w:val="00DB6004"/>
    <w:rsid w:val="00DB62BF"/>
    <w:rsid w:val="00DC3D95"/>
    <w:rsid w:val="00DC41C4"/>
    <w:rsid w:val="00DC5AC4"/>
    <w:rsid w:val="00DD000A"/>
    <w:rsid w:val="00DD1A7A"/>
    <w:rsid w:val="00DF4A8A"/>
    <w:rsid w:val="00DF5B99"/>
    <w:rsid w:val="00E01001"/>
    <w:rsid w:val="00E07BC6"/>
    <w:rsid w:val="00E215EA"/>
    <w:rsid w:val="00E24F63"/>
    <w:rsid w:val="00E35C36"/>
    <w:rsid w:val="00E37A48"/>
    <w:rsid w:val="00E41BBC"/>
    <w:rsid w:val="00E4203E"/>
    <w:rsid w:val="00E42614"/>
    <w:rsid w:val="00E54279"/>
    <w:rsid w:val="00E64DE0"/>
    <w:rsid w:val="00E72C9E"/>
    <w:rsid w:val="00E72D54"/>
    <w:rsid w:val="00E76854"/>
    <w:rsid w:val="00E76F63"/>
    <w:rsid w:val="00E80345"/>
    <w:rsid w:val="00E91ED2"/>
    <w:rsid w:val="00E953C3"/>
    <w:rsid w:val="00E95C1D"/>
    <w:rsid w:val="00E97DE0"/>
    <w:rsid w:val="00EA059D"/>
    <w:rsid w:val="00EA163B"/>
    <w:rsid w:val="00EB4FC3"/>
    <w:rsid w:val="00EC41D1"/>
    <w:rsid w:val="00EC47A9"/>
    <w:rsid w:val="00EE10DA"/>
    <w:rsid w:val="00EE77C9"/>
    <w:rsid w:val="00F012E9"/>
    <w:rsid w:val="00F05847"/>
    <w:rsid w:val="00F2005B"/>
    <w:rsid w:val="00F229B5"/>
    <w:rsid w:val="00F32CEC"/>
    <w:rsid w:val="00F369EF"/>
    <w:rsid w:val="00F36E94"/>
    <w:rsid w:val="00F409E5"/>
    <w:rsid w:val="00F47EE5"/>
    <w:rsid w:val="00F53C52"/>
    <w:rsid w:val="00F60F83"/>
    <w:rsid w:val="00F659EE"/>
    <w:rsid w:val="00F80D29"/>
    <w:rsid w:val="00F86943"/>
    <w:rsid w:val="00F94476"/>
    <w:rsid w:val="00F94FAB"/>
    <w:rsid w:val="00FB078F"/>
    <w:rsid w:val="00FC4C40"/>
    <w:rsid w:val="00FE0C32"/>
    <w:rsid w:val="00FF56B9"/>
    <w:rsid w:val="010C74CF"/>
    <w:rsid w:val="0426E519"/>
    <w:rsid w:val="04D05448"/>
    <w:rsid w:val="09AC3F0C"/>
    <w:rsid w:val="0A6296E1"/>
    <w:rsid w:val="0C6DD6DE"/>
    <w:rsid w:val="11D2A58A"/>
    <w:rsid w:val="11DC1982"/>
    <w:rsid w:val="13380B19"/>
    <w:rsid w:val="13A7C9E3"/>
    <w:rsid w:val="15FA3FF7"/>
    <w:rsid w:val="160FE1A6"/>
    <w:rsid w:val="173A4BA2"/>
    <w:rsid w:val="18EA9FC1"/>
    <w:rsid w:val="1C86023C"/>
    <w:rsid w:val="1C8D69D0"/>
    <w:rsid w:val="1D24F682"/>
    <w:rsid w:val="1D66DC7E"/>
    <w:rsid w:val="1DD33DBC"/>
    <w:rsid w:val="201C80B9"/>
    <w:rsid w:val="23DCF82A"/>
    <w:rsid w:val="25C4C0BF"/>
    <w:rsid w:val="2894B3E2"/>
    <w:rsid w:val="29592AF8"/>
    <w:rsid w:val="2B385C57"/>
    <w:rsid w:val="2BC3E284"/>
    <w:rsid w:val="2FDB3AEA"/>
    <w:rsid w:val="33C6E7CA"/>
    <w:rsid w:val="3655529B"/>
    <w:rsid w:val="3A96CFFE"/>
    <w:rsid w:val="3BF05B04"/>
    <w:rsid w:val="3CCD6F32"/>
    <w:rsid w:val="3E513FDA"/>
    <w:rsid w:val="42528A1D"/>
    <w:rsid w:val="4330ECFC"/>
    <w:rsid w:val="45310FC2"/>
    <w:rsid w:val="458B953C"/>
    <w:rsid w:val="463C9C2D"/>
    <w:rsid w:val="46CCE023"/>
    <w:rsid w:val="46EE39AA"/>
    <w:rsid w:val="47456082"/>
    <w:rsid w:val="49096478"/>
    <w:rsid w:val="4CABD877"/>
    <w:rsid w:val="506BD99D"/>
    <w:rsid w:val="51349D61"/>
    <w:rsid w:val="54D339E7"/>
    <w:rsid w:val="55018A28"/>
    <w:rsid w:val="5649FBFF"/>
    <w:rsid w:val="566F0A48"/>
    <w:rsid w:val="5A52AEC5"/>
    <w:rsid w:val="62363E65"/>
    <w:rsid w:val="62F34335"/>
    <w:rsid w:val="66C7627A"/>
    <w:rsid w:val="68AB28BF"/>
    <w:rsid w:val="6A45848D"/>
    <w:rsid w:val="6A4C0A32"/>
    <w:rsid w:val="6A6355A1"/>
    <w:rsid w:val="70DD9E40"/>
    <w:rsid w:val="7798D338"/>
    <w:rsid w:val="7C3896FD"/>
    <w:rsid w:val="7D344A9A"/>
    <w:rsid w:val="7E52FF1A"/>
    <w:rsid w:val="7F2C887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91518"/>
  <w15:chartTrackingRefBased/>
  <w15:docId w15:val="{598DCDF8-6DDF-4AE9-A32B-C92DF432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EC"/>
    <w:pPr>
      <w:spacing w:before="240" w:after="0" w:line="264" w:lineRule="auto"/>
    </w:pPr>
    <w:rPr>
      <w:rFonts w:ascii="Georgia" w:eastAsia="Times New Roman" w:hAnsi="Georgia" w:cs="Times New Roman"/>
      <w:sz w:val="20"/>
      <w:szCs w:val="20"/>
      <w:lang w:eastAsia="en-GB"/>
    </w:rPr>
  </w:style>
  <w:style w:type="paragraph" w:styleId="Heading1">
    <w:name w:val="heading 1"/>
    <w:basedOn w:val="Normal"/>
    <w:next w:val="Normal"/>
    <w:link w:val="Heading1Char"/>
    <w:autoRedefine/>
    <w:uiPriority w:val="9"/>
    <w:qFormat/>
    <w:rsid w:val="00865BFF"/>
    <w:pPr>
      <w:numPr>
        <w:numId w:val="1"/>
      </w:numPr>
      <w:pBdr>
        <w:top w:val="single" w:sz="24" w:space="16" w:color="002B7F"/>
      </w:pBdr>
      <w:spacing w:before="360" w:after="360"/>
      <w:ind w:left="0"/>
      <w:jc w:val="both"/>
      <w:outlineLvl w:val="0"/>
    </w:pPr>
    <w:rPr>
      <w:b/>
      <w:color w:val="002B7F"/>
      <w:sz w:val="32"/>
    </w:rPr>
  </w:style>
  <w:style w:type="paragraph" w:styleId="Heading2">
    <w:name w:val="heading 2"/>
    <w:basedOn w:val="Normal"/>
    <w:next w:val="Normal"/>
    <w:link w:val="Heading2Char"/>
    <w:autoRedefine/>
    <w:uiPriority w:val="9"/>
    <w:qFormat/>
    <w:rsid w:val="00E953C3"/>
    <w:pPr>
      <w:keepNext/>
      <w:numPr>
        <w:ilvl w:val="1"/>
        <w:numId w:val="1"/>
      </w:numPr>
      <w:spacing w:before="120" w:after="120" w:line="240" w:lineRule="auto"/>
      <w:ind w:left="851"/>
      <w:outlineLvl w:val="1"/>
    </w:pPr>
    <w:rPr>
      <w:b/>
      <w:color w:val="002B7F"/>
    </w:rPr>
  </w:style>
  <w:style w:type="paragraph" w:styleId="Heading3">
    <w:name w:val="heading 3"/>
    <w:basedOn w:val="Normal"/>
    <w:next w:val="Normal"/>
    <w:link w:val="Heading3Char"/>
    <w:qFormat/>
    <w:rsid w:val="00E76F63"/>
    <w:pPr>
      <w:keepNext/>
      <w:tabs>
        <w:tab w:val="num" w:pos="567"/>
      </w:tabs>
      <w:spacing w:before="120" w:after="120"/>
      <w:ind w:left="567" w:hanging="567"/>
      <w:outlineLvl w:val="2"/>
    </w:pPr>
    <w:rPr>
      <w:b/>
    </w:rPr>
  </w:style>
  <w:style w:type="paragraph" w:styleId="Heading4">
    <w:name w:val="heading 4"/>
    <w:basedOn w:val="Normal"/>
    <w:next w:val="Normal"/>
    <w:link w:val="Heading4Char"/>
    <w:autoRedefine/>
    <w:qFormat/>
    <w:rsid w:val="009E6829"/>
    <w:pPr>
      <w:spacing w:before="120" w:after="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953C3"/>
    <w:rPr>
      <w:rFonts w:ascii="Georgia" w:eastAsia="Times New Roman" w:hAnsi="Georgia" w:cs="Times New Roman"/>
      <w:b/>
      <w:color w:val="002B7F"/>
      <w:sz w:val="20"/>
      <w:szCs w:val="20"/>
      <w:lang w:eastAsia="en-GB"/>
    </w:rPr>
  </w:style>
  <w:style w:type="character" w:customStyle="1" w:styleId="Heading1Char">
    <w:name w:val="Heading 1 Char"/>
    <w:link w:val="Heading1"/>
    <w:uiPriority w:val="9"/>
    <w:rsid w:val="00865BFF"/>
    <w:rPr>
      <w:rFonts w:ascii="Georgia" w:eastAsia="Times New Roman" w:hAnsi="Georgia" w:cs="Times New Roman"/>
      <w:b/>
      <w:color w:val="002B7F"/>
      <w:sz w:val="32"/>
      <w:szCs w:val="20"/>
      <w:lang w:eastAsia="en-GB"/>
    </w:rPr>
  </w:style>
  <w:style w:type="character" w:customStyle="1" w:styleId="Heading3Char">
    <w:name w:val="Heading 3 Char"/>
    <w:basedOn w:val="DefaultParagraphFont"/>
    <w:link w:val="Heading3"/>
    <w:rsid w:val="00E76F63"/>
    <w:rPr>
      <w:rFonts w:ascii="Georgia" w:eastAsia="Times New Roman" w:hAnsi="Georgia" w:cs="Times New Roman"/>
      <w:b/>
      <w:szCs w:val="20"/>
      <w:lang w:eastAsia="en-GB"/>
    </w:rPr>
  </w:style>
  <w:style w:type="character" w:customStyle="1" w:styleId="Heading4Char">
    <w:name w:val="Heading 4 Char"/>
    <w:basedOn w:val="DefaultParagraphFont"/>
    <w:link w:val="Heading4"/>
    <w:rsid w:val="009E6829"/>
    <w:rPr>
      <w:rFonts w:ascii="Georgia" w:eastAsia="Times New Roman" w:hAnsi="Georgia" w:cs="Times New Roman"/>
      <w:szCs w:val="20"/>
      <w:lang w:eastAsia="en-GB"/>
    </w:rPr>
  </w:style>
  <w:style w:type="paragraph" w:styleId="TOC1">
    <w:name w:val="toc 1"/>
    <w:basedOn w:val="Normal"/>
    <w:next w:val="Normal"/>
    <w:uiPriority w:val="39"/>
    <w:rsid w:val="00E76F63"/>
    <w:pPr>
      <w:tabs>
        <w:tab w:val="right" w:pos="9356"/>
      </w:tabs>
      <w:spacing w:before="300"/>
      <w:ind w:right="567"/>
    </w:pPr>
    <w:rPr>
      <w:b/>
    </w:rPr>
  </w:style>
  <w:style w:type="paragraph" w:styleId="TOC2">
    <w:name w:val="toc 2"/>
    <w:basedOn w:val="Normal"/>
    <w:next w:val="Normal"/>
    <w:uiPriority w:val="39"/>
    <w:rsid w:val="00E76F63"/>
    <w:pPr>
      <w:tabs>
        <w:tab w:val="right" w:pos="9356"/>
      </w:tabs>
      <w:spacing w:before="60"/>
      <w:ind w:left="567" w:right="567" w:hanging="567"/>
    </w:pPr>
  </w:style>
  <w:style w:type="paragraph" w:styleId="Header">
    <w:name w:val="header"/>
    <w:basedOn w:val="Normal"/>
    <w:link w:val="HeaderChar"/>
    <w:qFormat/>
    <w:rsid w:val="00E76F63"/>
    <w:pPr>
      <w:spacing w:before="0" w:line="240" w:lineRule="auto"/>
    </w:pPr>
  </w:style>
  <w:style w:type="character" w:customStyle="1" w:styleId="HeaderChar">
    <w:name w:val="Header Char"/>
    <w:basedOn w:val="DefaultParagraphFont"/>
    <w:link w:val="Header"/>
    <w:uiPriority w:val="99"/>
    <w:rsid w:val="00E76F63"/>
    <w:rPr>
      <w:rFonts w:ascii="Georgia" w:eastAsia="Times New Roman" w:hAnsi="Georgia" w:cs="Times New Roman"/>
      <w:szCs w:val="20"/>
      <w:lang w:eastAsia="en-GB"/>
    </w:rPr>
  </w:style>
  <w:style w:type="paragraph" w:styleId="Title">
    <w:name w:val="Title"/>
    <w:basedOn w:val="Normal"/>
    <w:next w:val="Normal"/>
    <w:link w:val="TitleChar"/>
    <w:qFormat/>
    <w:rsid w:val="00E76F63"/>
    <w:pPr>
      <w:pBdr>
        <w:bottom w:val="single" w:sz="48" w:space="6" w:color="002B7F"/>
      </w:pBdr>
      <w:spacing w:before="0"/>
      <w:ind w:right="1701"/>
    </w:pPr>
    <w:rPr>
      <w:b/>
      <w:color w:val="002B7F"/>
      <w:sz w:val="72"/>
    </w:rPr>
  </w:style>
  <w:style w:type="character" w:customStyle="1" w:styleId="TitleChar">
    <w:name w:val="Title Char"/>
    <w:basedOn w:val="DefaultParagraphFont"/>
    <w:link w:val="Title"/>
    <w:rsid w:val="00E76F63"/>
    <w:rPr>
      <w:rFonts w:ascii="Georgia" w:eastAsia="Times New Roman" w:hAnsi="Georgia" w:cs="Times New Roman"/>
      <w:b/>
      <w:color w:val="002B7F"/>
      <w:sz w:val="72"/>
      <w:szCs w:val="20"/>
      <w:lang w:eastAsia="en-GB"/>
    </w:rPr>
  </w:style>
  <w:style w:type="paragraph" w:styleId="Footer">
    <w:name w:val="footer"/>
    <w:basedOn w:val="Normal"/>
    <w:link w:val="FooterChar"/>
    <w:uiPriority w:val="99"/>
    <w:qFormat/>
    <w:rsid w:val="00E76F63"/>
    <w:pPr>
      <w:pBdr>
        <w:bottom w:val="single" w:sz="4" w:space="4" w:color="auto"/>
      </w:pBdr>
    </w:pPr>
  </w:style>
  <w:style w:type="character" w:customStyle="1" w:styleId="FooterChar">
    <w:name w:val="Footer Char"/>
    <w:basedOn w:val="DefaultParagraphFont"/>
    <w:link w:val="Footer"/>
    <w:uiPriority w:val="99"/>
    <w:rsid w:val="00E76F63"/>
    <w:rPr>
      <w:rFonts w:ascii="Georgia" w:eastAsia="Times New Roman" w:hAnsi="Georgia" w:cs="Times New Roman"/>
      <w:szCs w:val="20"/>
      <w:lang w:eastAsia="en-GB"/>
    </w:rPr>
  </w:style>
  <w:style w:type="character" w:styleId="PageNumber">
    <w:name w:val="page number"/>
    <w:rsid w:val="00E76F63"/>
    <w:rPr>
      <w:rFonts w:ascii="Georgia" w:hAnsi="Georgia"/>
      <w:b/>
      <w:sz w:val="22"/>
    </w:rPr>
  </w:style>
  <w:style w:type="paragraph" w:customStyle="1" w:styleId="RectoFooter">
    <w:name w:val="Recto Footer"/>
    <w:basedOn w:val="Footer"/>
    <w:rsid w:val="00E76F63"/>
    <w:pPr>
      <w:pBdr>
        <w:top w:val="single" w:sz="4" w:space="4" w:color="002B7F"/>
        <w:bottom w:val="none" w:sz="0" w:space="0" w:color="auto"/>
      </w:pBdr>
      <w:tabs>
        <w:tab w:val="right" w:pos="8647"/>
        <w:tab w:val="right" w:pos="9356"/>
      </w:tabs>
      <w:spacing w:before="0" w:line="240" w:lineRule="auto"/>
    </w:pPr>
    <w:rPr>
      <w:color w:val="002B7F"/>
    </w:rPr>
  </w:style>
  <w:style w:type="paragraph" w:customStyle="1" w:styleId="Dash">
    <w:name w:val="Dash"/>
    <w:basedOn w:val="Normal"/>
    <w:qFormat/>
    <w:rsid w:val="00E76F63"/>
    <w:pPr>
      <w:numPr>
        <w:numId w:val="4"/>
      </w:numPr>
      <w:spacing w:before="60"/>
    </w:pPr>
  </w:style>
  <w:style w:type="paragraph" w:customStyle="1" w:styleId="TableText">
    <w:name w:val="TableText"/>
    <w:basedOn w:val="Normal"/>
    <w:link w:val="TableTextChar"/>
    <w:autoRedefine/>
    <w:rsid w:val="00383310"/>
    <w:pPr>
      <w:spacing w:before="120" w:after="120" w:line="240" w:lineRule="auto"/>
    </w:pPr>
    <w:rPr>
      <w:szCs w:val="22"/>
    </w:rPr>
  </w:style>
  <w:style w:type="paragraph" w:customStyle="1" w:styleId="TableBullet">
    <w:name w:val="TableBullet"/>
    <w:basedOn w:val="TableText"/>
    <w:rsid w:val="00383310"/>
    <w:pPr>
      <w:numPr>
        <w:numId w:val="5"/>
      </w:numPr>
    </w:pPr>
  </w:style>
  <w:style w:type="paragraph" w:customStyle="1" w:styleId="IntroHead">
    <w:name w:val="IntroHead"/>
    <w:basedOn w:val="Heading1"/>
    <w:next w:val="Normal"/>
    <w:autoRedefine/>
    <w:qFormat/>
    <w:rsid w:val="00236935"/>
    <w:pPr>
      <w:numPr>
        <w:numId w:val="0"/>
      </w:numPr>
      <w:outlineLvl w:val="9"/>
    </w:pPr>
    <w:rPr>
      <w:rFonts w:eastAsiaTheme="majorEastAsia"/>
      <w:sz w:val="28"/>
      <w:szCs w:val="28"/>
    </w:rPr>
  </w:style>
  <w:style w:type="paragraph" w:customStyle="1" w:styleId="Subhead">
    <w:name w:val="Subhead"/>
    <w:basedOn w:val="Normal"/>
    <w:next w:val="Normal"/>
    <w:qFormat/>
    <w:rsid w:val="00E76F63"/>
    <w:pPr>
      <w:spacing w:before="180"/>
      <w:ind w:right="1701"/>
    </w:pPr>
    <w:rPr>
      <w:color w:val="002B7F"/>
      <w:sz w:val="36"/>
    </w:rPr>
  </w:style>
  <w:style w:type="table" w:styleId="TableGrid">
    <w:name w:val="Table Grid"/>
    <w:basedOn w:val="TableNormal"/>
    <w:uiPriority w:val="39"/>
    <w:rsid w:val="00E76F63"/>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text">
    <w:name w:val="Instruction text"/>
    <w:basedOn w:val="Normal"/>
    <w:qFormat/>
    <w:rsid w:val="00E76F63"/>
    <w:pPr>
      <w:spacing w:before="120" w:line="240" w:lineRule="auto"/>
    </w:pPr>
    <w:rPr>
      <w:rFonts w:ascii="Arial" w:hAnsi="Arial"/>
      <w:b/>
    </w:rPr>
  </w:style>
  <w:style w:type="paragraph" w:customStyle="1" w:styleId="Instructionbullet">
    <w:name w:val="Instruction bullet"/>
    <w:basedOn w:val="Instructiontext"/>
    <w:qFormat/>
    <w:rsid w:val="00E76F63"/>
    <w:pPr>
      <w:numPr>
        <w:numId w:val="7"/>
      </w:numPr>
      <w:spacing w:after="120"/>
      <w:ind w:left="425" w:hanging="425"/>
    </w:pPr>
    <w:rPr>
      <w:rFonts w:cs="Arial"/>
      <w:b w:val="0"/>
    </w:rPr>
  </w:style>
  <w:style w:type="paragraph" w:customStyle="1" w:styleId="Respondenttips">
    <w:name w:val="Respondent tips"/>
    <w:basedOn w:val="TableText"/>
    <w:qFormat/>
    <w:rsid w:val="00E76F63"/>
    <w:pPr>
      <w:tabs>
        <w:tab w:val="num" w:pos="284"/>
      </w:tabs>
      <w:ind w:left="284" w:hanging="284"/>
    </w:pPr>
    <w:rPr>
      <w:szCs w:val="24"/>
    </w:rPr>
  </w:style>
  <w:style w:type="character" w:customStyle="1" w:styleId="tgc">
    <w:name w:val="_tgc"/>
    <w:basedOn w:val="DefaultParagraphFont"/>
    <w:rsid w:val="00E76F63"/>
  </w:style>
  <w:style w:type="paragraph" w:styleId="ListParagraph">
    <w:name w:val="List Paragraph"/>
    <w:basedOn w:val="Normal"/>
    <w:link w:val="ListParagraphChar"/>
    <w:uiPriority w:val="34"/>
    <w:qFormat/>
    <w:rsid w:val="00E76F63"/>
    <w:pPr>
      <w:ind w:left="720"/>
      <w:contextualSpacing/>
    </w:pPr>
    <w:rPr>
      <w:szCs w:val="24"/>
    </w:rPr>
  </w:style>
  <w:style w:type="paragraph" w:styleId="BalloonText">
    <w:name w:val="Balloon Text"/>
    <w:basedOn w:val="Normal"/>
    <w:link w:val="BalloonTextChar"/>
    <w:uiPriority w:val="99"/>
    <w:semiHidden/>
    <w:unhideWhenUsed/>
    <w:rsid w:val="0038331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310"/>
    <w:rPr>
      <w:rFonts w:ascii="Segoe UI" w:eastAsia="Times New Roman" w:hAnsi="Segoe UI" w:cs="Segoe UI"/>
      <w:sz w:val="18"/>
      <w:szCs w:val="18"/>
      <w:lang w:eastAsia="en-GB"/>
    </w:rPr>
  </w:style>
  <w:style w:type="paragraph" w:styleId="NoSpacing">
    <w:name w:val="No Spacing"/>
    <w:uiPriority w:val="1"/>
    <w:qFormat/>
    <w:rsid w:val="009E6829"/>
    <w:pPr>
      <w:spacing w:after="0" w:line="240" w:lineRule="auto"/>
    </w:pPr>
    <w:rPr>
      <w:rFonts w:ascii="Georgia" w:eastAsia="Times New Roman" w:hAnsi="Georgia" w:cs="Times New Roman"/>
      <w:szCs w:val="20"/>
      <w:lang w:eastAsia="en-GB"/>
    </w:rPr>
  </w:style>
  <w:style w:type="paragraph" w:customStyle="1" w:styleId="Style1">
    <w:name w:val="Style1"/>
    <w:basedOn w:val="TableText"/>
    <w:link w:val="Style1Char"/>
    <w:autoRedefine/>
    <w:qFormat/>
    <w:rsid w:val="003C3EBC"/>
    <w:pPr>
      <w:spacing w:line="256" w:lineRule="auto"/>
      <w:jc w:val="both"/>
    </w:pPr>
    <w:rPr>
      <w:rFonts w:ascii="Arial" w:hAnsi="Arial" w:cs="Arial"/>
      <w:szCs w:val="20"/>
    </w:rPr>
  </w:style>
  <w:style w:type="paragraph" w:customStyle="1" w:styleId="Style2">
    <w:name w:val="Style2"/>
    <w:basedOn w:val="Style1"/>
    <w:link w:val="Style2Char"/>
    <w:qFormat/>
    <w:rsid w:val="00777B29"/>
    <w:pPr>
      <w:framePr w:hSpace="180" w:wrap="around" w:vAnchor="text" w:hAnchor="margin" w:y="120"/>
      <w:ind w:left="387" w:hanging="360"/>
    </w:pPr>
    <w:rPr>
      <w:color w:val="C00000"/>
    </w:rPr>
  </w:style>
  <w:style w:type="character" w:customStyle="1" w:styleId="TableTextChar">
    <w:name w:val="TableText Char"/>
    <w:basedOn w:val="DefaultParagraphFont"/>
    <w:link w:val="TableText"/>
    <w:rsid w:val="009E6829"/>
    <w:rPr>
      <w:rFonts w:ascii="Georgia" w:eastAsia="Times New Roman" w:hAnsi="Georgia" w:cs="Times New Roman"/>
      <w:sz w:val="20"/>
      <w:lang w:eastAsia="en-GB"/>
    </w:rPr>
  </w:style>
  <w:style w:type="character" w:customStyle="1" w:styleId="Style1Char">
    <w:name w:val="Style1 Char"/>
    <w:basedOn w:val="TableTextChar"/>
    <w:link w:val="Style1"/>
    <w:rsid w:val="003C3EBC"/>
    <w:rPr>
      <w:rFonts w:ascii="Arial" w:eastAsia="Times New Roman" w:hAnsi="Arial" w:cs="Arial"/>
      <w:sz w:val="20"/>
      <w:szCs w:val="20"/>
      <w:lang w:eastAsia="en-GB"/>
    </w:rPr>
  </w:style>
  <w:style w:type="character" w:styleId="SubtleEmphasis">
    <w:name w:val="Subtle Emphasis"/>
    <w:basedOn w:val="DefaultParagraphFont"/>
    <w:uiPriority w:val="19"/>
    <w:qFormat/>
    <w:rsid w:val="009E6829"/>
    <w:rPr>
      <w:i/>
      <w:iCs/>
      <w:color w:val="404040" w:themeColor="text1" w:themeTint="BF"/>
    </w:rPr>
  </w:style>
  <w:style w:type="character" w:customStyle="1" w:styleId="Style2Char">
    <w:name w:val="Style2 Char"/>
    <w:basedOn w:val="Style1Char"/>
    <w:link w:val="Style2"/>
    <w:rsid w:val="00777B29"/>
    <w:rPr>
      <w:rFonts w:ascii="Georgia" w:eastAsia="Times New Roman" w:hAnsi="Georgia" w:cs="Times New Roman"/>
      <w:noProof/>
      <w:color w:val="C00000"/>
      <w:sz w:val="20"/>
      <w:szCs w:val="20"/>
      <w:lang w:eastAsia="en-NZ"/>
    </w:rPr>
  </w:style>
  <w:style w:type="paragraph" w:customStyle="1" w:styleId="Style3">
    <w:name w:val="Style3"/>
    <w:basedOn w:val="Style1"/>
    <w:link w:val="Style3Char"/>
    <w:qFormat/>
    <w:rsid w:val="00777B29"/>
    <w:rPr>
      <w:b/>
    </w:rPr>
  </w:style>
  <w:style w:type="character" w:customStyle="1" w:styleId="Style3Char">
    <w:name w:val="Style3 Char"/>
    <w:basedOn w:val="Style1Char"/>
    <w:link w:val="Style3"/>
    <w:rsid w:val="00777B29"/>
    <w:rPr>
      <w:rFonts w:ascii="Georgia" w:eastAsia="Times New Roman" w:hAnsi="Georgia" w:cs="Times New Roman"/>
      <w:b/>
      <w:noProof/>
      <w:sz w:val="20"/>
      <w:szCs w:val="20"/>
      <w:lang w:eastAsia="en-NZ"/>
    </w:rPr>
  </w:style>
  <w:style w:type="character" w:styleId="CommentReference">
    <w:name w:val="annotation reference"/>
    <w:basedOn w:val="DefaultParagraphFont"/>
    <w:uiPriority w:val="99"/>
    <w:semiHidden/>
    <w:unhideWhenUsed/>
    <w:rsid w:val="001C2362"/>
    <w:rPr>
      <w:sz w:val="18"/>
      <w:szCs w:val="18"/>
    </w:rPr>
  </w:style>
  <w:style w:type="paragraph" w:styleId="CommentText">
    <w:name w:val="annotation text"/>
    <w:basedOn w:val="Normal"/>
    <w:link w:val="CommentTextChar"/>
    <w:uiPriority w:val="99"/>
    <w:unhideWhenUsed/>
    <w:rsid w:val="001C2362"/>
    <w:pPr>
      <w:spacing w:line="240" w:lineRule="auto"/>
    </w:pPr>
    <w:rPr>
      <w:sz w:val="24"/>
      <w:szCs w:val="24"/>
    </w:rPr>
  </w:style>
  <w:style w:type="character" w:customStyle="1" w:styleId="CommentTextChar">
    <w:name w:val="Comment Text Char"/>
    <w:basedOn w:val="DefaultParagraphFont"/>
    <w:link w:val="CommentText"/>
    <w:uiPriority w:val="99"/>
    <w:rsid w:val="001C2362"/>
    <w:rPr>
      <w:rFonts w:ascii="Georgia" w:eastAsia="Times New Roman" w:hAnsi="Georgia"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C2362"/>
    <w:rPr>
      <w:b/>
      <w:bCs/>
      <w:sz w:val="20"/>
      <w:szCs w:val="20"/>
    </w:rPr>
  </w:style>
  <w:style w:type="character" w:customStyle="1" w:styleId="CommentSubjectChar">
    <w:name w:val="Comment Subject Char"/>
    <w:basedOn w:val="CommentTextChar"/>
    <w:link w:val="CommentSubject"/>
    <w:uiPriority w:val="99"/>
    <w:semiHidden/>
    <w:rsid w:val="001C2362"/>
    <w:rPr>
      <w:rFonts w:ascii="Georgia" w:eastAsia="Times New Roman" w:hAnsi="Georgia" w:cs="Times New Roman"/>
      <w:b/>
      <w:bCs/>
      <w:sz w:val="20"/>
      <w:szCs w:val="20"/>
      <w:lang w:eastAsia="en-GB"/>
    </w:rPr>
  </w:style>
  <w:style w:type="paragraph" w:customStyle="1" w:styleId="Style4">
    <w:name w:val="Style4"/>
    <w:basedOn w:val="Style2"/>
    <w:qFormat/>
    <w:rsid w:val="00C04C9F"/>
    <w:pPr>
      <w:framePr w:wrap="around"/>
      <w:ind w:left="0" w:firstLine="0"/>
    </w:pPr>
  </w:style>
  <w:style w:type="character" w:customStyle="1" w:styleId="ListParagraphChar">
    <w:name w:val="List Paragraph Char"/>
    <w:basedOn w:val="DefaultParagraphFont"/>
    <w:link w:val="ListParagraph"/>
    <w:uiPriority w:val="34"/>
    <w:rsid w:val="001541ED"/>
    <w:rPr>
      <w:rFonts w:ascii="Georgia" w:eastAsia="Times New Roman" w:hAnsi="Georgia" w:cs="Times New Roman"/>
      <w:sz w:val="20"/>
      <w:szCs w:val="24"/>
      <w:lang w:eastAsia="en-GB"/>
    </w:rPr>
  </w:style>
  <w:style w:type="paragraph" w:styleId="Revision">
    <w:name w:val="Revision"/>
    <w:hidden/>
    <w:uiPriority w:val="99"/>
    <w:semiHidden/>
    <w:rsid w:val="00286D66"/>
    <w:pPr>
      <w:spacing w:after="0" w:line="240" w:lineRule="auto"/>
    </w:pPr>
    <w:rPr>
      <w:rFonts w:ascii="Georgia" w:eastAsia="Times New Roman" w:hAnsi="Georgia" w:cs="Times New Roman"/>
      <w:sz w:val="20"/>
      <w:szCs w:val="20"/>
      <w:lang w:eastAsia="en-GB"/>
    </w:rPr>
  </w:style>
  <w:style w:type="character" w:styleId="Hyperlink">
    <w:name w:val="Hyperlink"/>
    <w:basedOn w:val="DefaultParagraphFont"/>
    <w:uiPriority w:val="99"/>
    <w:unhideWhenUsed/>
    <w:rsid w:val="00E24F63"/>
    <w:rPr>
      <w:color w:val="0563C1" w:themeColor="hyperlink"/>
      <w:u w:val="single"/>
    </w:rPr>
  </w:style>
  <w:style w:type="character" w:styleId="FollowedHyperlink">
    <w:name w:val="FollowedHyperlink"/>
    <w:basedOn w:val="DefaultParagraphFont"/>
    <w:uiPriority w:val="99"/>
    <w:semiHidden/>
    <w:unhideWhenUsed/>
    <w:rsid w:val="00E24F63"/>
    <w:rPr>
      <w:color w:val="954F72" w:themeColor="followedHyperlink"/>
      <w:u w:val="single"/>
    </w:rPr>
  </w:style>
  <w:style w:type="paragraph" w:customStyle="1" w:styleId="EndNoteBibliographyTitle">
    <w:name w:val="EndNote Bibliography Title"/>
    <w:basedOn w:val="Normal"/>
    <w:link w:val="EndNoteBibliographyTitleChar"/>
    <w:rsid w:val="00E24F63"/>
    <w:pPr>
      <w:jc w:val="center"/>
    </w:pPr>
    <w:rPr>
      <w:noProof/>
      <w:lang w:val="en-GB"/>
    </w:rPr>
  </w:style>
  <w:style w:type="character" w:customStyle="1" w:styleId="EndNoteBibliographyTitleChar">
    <w:name w:val="EndNote Bibliography Title Char"/>
    <w:basedOn w:val="DefaultParagraphFont"/>
    <w:link w:val="EndNoteBibliographyTitle"/>
    <w:rsid w:val="00E24F63"/>
    <w:rPr>
      <w:rFonts w:ascii="Georgia" w:eastAsia="Times New Roman" w:hAnsi="Georgia" w:cs="Times New Roman"/>
      <w:noProof/>
      <w:sz w:val="20"/>
      <w:szCs w:val="20"/>
      <w:lang w:val="en-GB" w:eastAsia="en-GB"/>
    </w:rPr>
  </w:style>
  <w:style w:type="paragraph" w:customStyle="1" w:styleId="EndNoteBibliography">
    <w:name w:val="EndNote Bibliography"/>
    <w:basedOn w:val="Normal"/>
    <w:link w:val="EndNoteBibliographyChar"/>
    <w:rsid w:val="00E24F63"/>
    <w:pPr>
      <w:spacing w:line="240" w:lineRule="auto"/>
    </w:pPr>
    <w:rPr>
      <w:noProof/>
      <w:lang w:val="en-GB"/>
    </w:rPr>
  </w:style>
  <w:style w:type="character" w:customStyle="1" w:styleId="EndNoteBibliographyChar">
    <w:name w:val="EndNote Bibliography Char"/>
    <w:basedOn w:val="DefaultParagraphFont"/>
    <w:link w:val="EndNoteBibliography"/>
    <w:rsid w:val="00E24F63"/>
    <w:rPr>
      <w:rFonts w:ascii="Georgia" w:eastAsia="Times New Roman" w:hAnsi="Georgia" w:cs="Times New Roman"/>
      <w:noProof/>
      <w:sz w:val="20"/>
      <w:szCs w:val="20"/>
      <w:lang w:val="en-GB" w:eastAsia="en-GB"/>
    </w:rPr>
  </w:style>
  <w:style w:type="character" w:styleId="UnresolvedMention">
    <w:name w:val="Unresolved Mention"/>
    <w:basedOn w:val="DefaultParagraphFont"/>
    <w:uiPriority w:val="99"/>
    <w:semiHidden/>
    <w:unhideWhenUsed/>
    <w:rsid w:val="00E24F63"/>
    <w:rPr>
      <w:color w:val="605E5C"/>
      <w:shd w:val="clear" w:color="auto" w:fill="E1DFDD"/>
    </w:rPr>
  </w:style>
  <w:style w:type="character" w:styleId="PlaceholderText">
    <w:name w:val="Placeholder Text"/>
    <w:basedOn w:val="DefaultParagraphFont"/>
    <w:uiPriority w:val="99"/>
    <w:semiHidden/>
    <w:rsid w:val="00C43429"/>
    <w:rPr>
      <w:color w:val="808080"/>
    </w:rPr>
  </w:style>
  <w:style w:type="paragraph" w:customStyle="1" w:styleId="Default">
    <w:name w:val="Default"/>
    <w:rsid w:val="00D92879"/>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30584">
      <w:bodyDiv w:val="1"/>
      <w:marLeft w:val="0"/>
      <w:marRight w:val="0"/>
      <w:marTop w:val="0"/>
      <w:marBottom w:val="0"/>
      <w:divBdr>
        <w:top w:val="none" w:sz="0" w:space="0" w:color="auto"/>
        <w:left w:val="none" w:sz="0" w:space="0" w:color="auto"/>
        <w:bottom w:val="none" w:sz="0" w:space="0" w:color="auto"/>
        <w:right w:val="none" w:sz="0" w:space="0" w:color="auto"/>
      </w:divBdr>
    </w:div>
    <w:div w:id="1484203979">
      <w:bodyDiv w:val="1"/>
      <w:marLeft w:val="0"/>
      <w:marRight w:val="0"/>
      <w:marTop w:val="0"/>
      <w:marBottom w:val="0"/>
      <w:divBdr>
        <w:top w:val="none" w:sz="0" w:space="0" w:color="auto"/>
        <w:left w:val="none" w:sz="0" w:space="0" w:color="auto"/>
        <w:bottom w:val="none" w:sz="0" w:space="0" w:color="auto"/>
        <w:right w:val="none" w:sz="0" w:space="0" w:color="auto"/>
      </w:divBdr>
    </w:div>
    <w:div w:id="1550804807">
      <w:bodyDiv w:val="1"/>
      <w:marLeft w:val="0"/>
      <w:marRight w:val="0"/>
      <w:marTop w:val="0"/>
      <w:marBottom w:val="0"/>
      <w:divBdr>
        <w:top w:val="none" w:sz="0" w:space="0" w:color="auto"/>
        <w:left w:val="none" w:sz="0" w:space="0" w:color="auto"/>
        <w:bottom w:val="none" w:sz="0" w:space="0" w:color="auto"/>
        <w:right w:val="none" w:sz="0" w:space="0" w:color="auto"/>
      </w:divBdr>
    </w:div>
    <w:div w:id="1745296193">
      <w:bodyDiv w:val="1"/>
      <w:marLeft w:val="0"/>
      <w:marRight w:val="0"/>
      <w:marTop w:val="0"/>
      <w:marBottom w:val="0"/>
      <w:divBdr>
        <w:top w:val="none" w:sz="0" w:space="0" w:color="auto"/>
        <w:left w:val="none" w:sz="0" w:space="0" w:color="auto"/>
        <w:bottom w:val="none" w:sz="0" w:space="0" w:color="auto"/>
        <w:right w:val="none" w:sz="0" w:space="0" w:color="auto"/>
      </w:divBdr>
    </w:div>
    <w:div w:id="17515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87741BB4B941EB999007A21806FA1B"/>
        <w:category>
          <w:name w:val="General"/>
          <w:gallery w:val="placeholder"/>
        </w:category>
        <w:types>
          <w:type w:val="bbPlcHdr"/>
        </w:types>
        <w:behaviors>
          <w:behavior w:val="content"/>
        </w:behaviors>
        <w:guid w:val="{5871778C-FEAD-4D17-AC46-443A5B19FBE0}"/>
      </w:docPartPr>
      <w:docPartBody>
        <w:p w:rsidR="00625164" w:rsidRDefault="00802ECE" w:rsidP="00802ECE">
          <w:pPr>
            <w:pStyle w:val="A587741BB4B941EB999007A21806FA1B"/>
          </w:pPr>
          <w:r w:rsidRPr="00980D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4"/>
    <w:rsid w:val="001109AB"/>
    <w:rsid w:val="002A3A01"/>
    <w:rsid w:val="00333B58"/>
    <w:rsid w:val="00446A55"/>
    <w:rsid w:val="00467078"/>
    <w:rsid w:val="00625164"/>
    <w:rsid w:val="00802ECE"/>
    <w:rsid w:val="00B2041D"/>
    <w:rsid w:val="00CC314F"/>
    <w:rsid w:val="00EF47A6"/>
    <w:rsid w:val="00F34FCB"/>
    <w:rsid w:val="00FB29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ECE"/>
    <w:rPr>
      <w:color w:val="808080"/>
    </w:rPr>
  </w:style>
  <w:style w:type="paragraph" w:customStyle="1" w:styleId="A587741BB4B941EB999007A21806FA1B">
    <w:name w:val="A587741BB4B941EB999007A21806FA1B"/>
    <w:rsid w:val="00802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Contract management</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Research</Team>
    <Project xmlns="4f9c820c-e7e2-444d-97ee-45f2b3485c1d">NA</Project>
    <HasNHI xmlns="184c05c4-c568-455d-94a4-7e009b164348">false</HasNHI>
    <FunctionGroup xmlns="4f9c820c-e7e2-444d-97ee-45f2b3485c1d">Evidence and Research</FunctionGroup>
    <Function xmlns="4f9c820c-e7e2-444d-97ee-45f2b3485c1d">Research</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COVID-19 and National Immunisation Programme Research</CategoryName>
    <PRADateTrigger xmlns="4f9c820c-e7e2-444d-97ee-45f2b3485c1d" xsi:nil="true"/>
    <PRAText2 xmlns="4f9c820c-e7e2-444d-97ee-45f2b3485c1d" xsi:nil="true"/>
    <zLegacyID xmlns="184c05c4-c568-455d-94a4-7e009b164348" xsi:nil="true"/>
    <_dlc_DocId xmlns="c5b47098-0215-444c-9096-523bda4ac5c6">MOHECM-374881106-6547</_dlc_DocId>
    <_dlc_DocIdUrl xmlns="c5b47098-0215-444c-9096-523bda4ac5c6">
      <Url>https://mohgovtnz.sharepoint.com/sites/moh-ecm-FunComRes/_layouts/15/DocIdRedir.aspx?ID=MOHECM-374881106-6547</Url>
      <Description>MOHECM-374881106-6547</Description>
    </_dlc_DocIdUrl>
    <TaxCatchAll xmlns="c5b47098-0215-444c-9096-523bda4ac5c6" xsi:nil="true"/>
    <lcf76f155ced4ddcb4097134ff3c332f xmlns="54904628-6268-4ac5-9416-97794f1d508d">
      <Terms xmlns="http://schemas.microsoft.com/office/infopath/2007/PartnerControls"/>
    </lcf76f155ced4ddcb4097134ff3c332f>
    <SharedWithUsers xmlns="c5b47098-0215-444c-9096-523bda4ac5c6">
      <UserInfo>
        <DisplayName>Sayali Pendharkar</DisplayName>
        <AccountId>96</AccountId>
        <AccountType/>
      </UserInfo>
      <UserInfo>
        <DisplayName>Jeremy Tuohy</DisplayName>
        <AccountId>329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00" ma:contentTypeDescription="Create a new document." ma:contentTypeScope="" ma:versionID="9f60621e19bc6bdac46972585240e7c3">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469f5bd680f9ef88eeca1d82cb29e184"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MediaLengthInSeconds" minOccurs="0"/>
                <xsd:element ref="ns9:MediaServiceDateTaken" minOccurs="0"/>
                <xsd:element ref="ns9:lcf76f155ced4ddcb4097134ff3c332f" minOccurs="0"/>
                <xsd:element ref="ns2:TaxCatchAll" minOccurs="0"/>
                <xsd:element ref="ns9:MediaServiceObjectDetectorVersions" minOccurs="0"/>
                <xsd:element ref="ns9:MediaServiceOCR" minOccurs="0"/>
                <xsd:element ref="ns9:MediaServiceGenerationTime" minOccurs="0"/>
                <xsd:element ref="ns9:MediaServiceEventHashCode"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91a482fb-4422-4f4e-afc6-6844365c28d6}"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Evidence and Research" ma:hidden="true" ma:internalName="FunctionGroup" ma:readOnly="false">
      <xsd:simpleType>
        <xsd:restriction base="dms:Text">
          <xsd:maxLength value="255"/>
        </xsd:restriction>
      </xsd:simpleType>
    </xsd:element>
    <xsd:element name="Function" ma:index="22" nillable="true" ma:displayName="Function" ma:default="Research"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Research"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LengthInSeconds" ma:index="55" nillable="true" ma:displayName="MediaLengthInSeconds" ma:hidden="true" ma:internalName="MediaLengthInSeconds" ma:readOnly="true">
      <xsd:simpleType>
        <xsd:restriction base="dms:Unknown"/>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5B17F-C20F-471C-ADF8-2636E5D6C21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c5b47098-0215-444c-9096-523bda4ac5c6"/>
    <ds:schemaRef ds:uri="54904628-6268-4ac5-9416-97794f1d508d"/>
  </ds:schemaRefs>
</ds:datastoreItem>
</file>

<file path=customXml/itemProps2.xml><?xml version="1.0" encoding="utf-8"?>
<ds:datastoreItem xmlns:ds="http://schemas.openxmlformats.org/officeDocument/2006/customXml" ds:itemID="{4C5297D9-482A-4669-AE59-86A504A9CCBD}">
  <ds:schemaRefs>
    <ds:schemaRef ds:uri="http://schemas.microsoft.com/sharepoint/v3/contenttype/forms"/>
  </ds:schemaRefs>
</ds:datastoreItem>
</file>

<file path=customXml/itemProps3.xml><?xml version="1.0" encoding="utf-8"?>
<ds:datastoreItem xmlns:ds="http://schemas.openxmlformats.org/officeDocument/2006/customXml" ds:itemID="{0D087787-3D14-46C4-9DA8-9A1652D0F0CE}">
  <ds:schemaRefs>
    <ds:schemaRef ds:uri="http://schemas.microsoft.com/sharepoint/events"/>
  </ds:schemaRefs>
</ds:datastoreItem>
</file>

<file path=customXml/itemProps4.xml><?xml version="1.0" encoding="utf-8"?>
<ds:datastoreItem xmlns:ds="http://schemas.openxmlformats.org/officeDocument/2006/customXml" ds:itemID="{0049E8FE-FD5E-4BA6-A6DC-3EF21579C5AA}"/>
</file>

<file path=customXml/itemProps5.xml><?xml version="1.0" encoding="utf-8"?>
<ds:datastoreItem xmlns:ds="http://schemas.openxmlformats.org/officeDocument/2006/customXml" ds:itemID="{9C1DD04B-AF94-4B7F-B14B-3CB7607B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Progress report: COVID-19 and National Immunisation Programme research</vt:lpstr>
    </vt:vector>
  </TitlesOfParts>
  <Company/>
  <LinksUpToDate>false</LinksUpToDate>
  <CharactersWithSpaces>9983</CharactersWithSpaces>
  <SharedDoc>false</SharedDoc>
  <HLinks>
    <vt:vector size="6" baseType="variant">
      <vt:variant>
        <vt:i4>327798</vt:i4>
      </vt:variant>
      <vt:variant>
        <vt:i4>0</vt:i4>
      </vt:variant>
      <vt:variant>
        <vt:i4>0</vt:i4>
      </vt:variant>
      <vt:variant>
        <vt:i4>5</vt:i4>
      </vt:variant>
      <vt:variant>
        <vt:lpwstr>mailto:research@health.govt.nz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20240301FinalReportSummary_covid-19_and_national_immunisation_programme_SHIVERS-WellKiwis</dc:title>
  <dc:subject/>
  <dc:creator>Ministry of Health</dc:creator>
  <cp:keywords/>
  <dc:description/>
  <cp:lastModifiedBy>Emma Bailey</cp:lastModifiedBy>
  <cp:revision>3</cp:revision>
  <cp:lastPrinted>2023-12-20T02:51:00Z</cp:lastPrinted>
  <dcterms:created xsi:type="dcterms:W3CDTF">2024-07-31T01:02:00Z</dcterms:created>
  <dcterms:modified xsi:type="dcterms:W3CDTF">2024-07-31T01:02:00Z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2022-06-08T01:25:17Z</vt:lpwstr>
  </property>
  <property fmtid="{D5CDD505-2E9C-101B-9397-08002B2CF9AE}" pid="4" name="MSIP_Label_bd9e4d68-54d0-40a5-8c9a-85a36c87352c_Method">
    <vt:lpwstr>Privileged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8bdc69a5-3d17-46fa-b776-8bb62c126ecf</vt:lpwstr>
  </property>
  <property fmtid="{D5CDD505-2E9C-101B-9397-08002B2CF9AE}" pid="8" name="MSIP_Label_bd9e4d68-54d0-40a5-8c9a-85a36c87352c_ContentBits">
    <vt:lpwstr>0</vt:lpwstr>
  </property>
  <property fmtid="{D5CDD505-2E9C-101B-9397-08002B2CF9AE}" pid="9" name="ContentTypeId">
    <vt:lpwstr>0x010100A28230263C7D7A4FB197614F88F6A462</vt:lpwstr>
  </property>
  <property fmtid="{D5CDD505-2E9C-101B-9397-08002B2CF9AE}" pid="10" name="_dlc_DocIdItemGuid">
    <vt:lpwstr>8a723f22-eec6-499e-9c4c-cc9a4294b121</vt:lpwstr>
  </property>
  <property fmtid="{D5CDD505-2E9C-101B-9397-08002B2CF9AE}" pid="11" name="MediaServiceImageTags">
    <vt:lpwstr/>
  </property>
</Properties>
</file>