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62F72F3D" w14:textId="10E6A94B" w:rsidR="00CE362F" w:rsidRPr="00BF210E" w:rsidRDefault="00CE362F" w:rsidP="00BF210E">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EndPr/>
        <w:sdtContent>
          <w:r w:rsidR="008D708A">
            <w:t>Manawa Ora - Centre for Health</w:t>
          </w:r>
        </w:sdtContent>
      </w:sdt>
    </w:p>
    <w:p w14:paraId="3FDC1C63" w14:textId="207E3078"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EndPr/>
        <w:sdtContent>
          <w:r w:rsidR="008D708A">
            <w:t>PROP-049 Tino Rangatiratanga during the COVID-19 Pandemic</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5D57EFA8"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2E794E">
          <w:headerReference w:type="default" r:id="rId12"/>
          <w:footerReference w:type="default" r:id="rId13"/>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Contact information</w:t>
      </w:r>
    </w:p>
    <w:p w14:paraId="7919FD31" w14:textId="77777777" w:rsidR="00CE362F" w:rsidRPr="00764A22" w:rsidRDefault="00CE362F" w:rsidP="002F6BC7">
      <w:pPr>
        <w:pStyle w:val="Heading2"/>
      </w:pPr>
      <w:r>
        <w:t>Point of Contact for this report</w:t>
      </w:r>
    </w:p>
    <w:p w14:paraId="75133B4E" w14:textId="77777777" w:rsidR="00CE362F" w:rsidRDefault="00CE362F" w:rsidP="002F6BC7">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rsidTr="001B106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rsidP="001B1063">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rsidP="001B1063">
            <w:pPr>
              <w:pStyle w:val="Style1"/>
            </w:pPr>
            <w:r>
              <w:t>Detail</w:t>
            </w:r>
          </w:p>
        </w:tc>
      </w:tr>
      <w:tr w:rsidR="00CE362F" w14:paraId="19349016" w14:textId="77777777" w:rsidTr="001B106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rsidP="001B1063">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4FFBFB24" w:rsidR="00CE362F" w:rsidRDefault="00AB688D" w:rsidP="001B1063">
            <w:pPr>
              <w:pStyle w:val="Style1"/>
            </w:pPr>
            <w:r>
              <w:t xml:space="preserve">Maraea Walker </w:t>
            </w:r>
          </w:p>
        </w:tc>
      </w:tr>
      <w:tr w:rsidR="00CE362F" w14:paraId="452948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CE362F" w:rsidRDefault="00CE362F" w:rsidP="001B1063">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59671190" w:rsidR="00CE362F" w:rsidRDefault="00AB688D" w:rsidP="001B1063">
            <w:pPr>
              <w:pStyle w:val="Style1"/>
            </w:pPr>
            <w:r>
              <w:t xml:space="preserve">Research Manager </w:t>
            </w:r>
          </w:p>
        </w:tc>
      </w:tr>
      <w:tr w:rsidR="00CE362F" w14:paraId="03079B3E"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CE362F" w:rsidRDefault="00CE362F" w:rsidP="001B1063">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65643EDC" w:rsidR="00CE362F" w:rsidRDefault="00386942" w:rsidP="001B1063">
            <w:pPr>
              <w:pStyle w:val="Style1"/>
            </w:pPr>
            <w:r>
              <w:t>07 578 6624</w:t>
            </w:r>
          </w:p>
        </w:tc>
      </w:tr>
      <w:tr w:rsidR="00CE362F" w14:paraId="7E057C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CE362F" w:rsidRDefault="00CE362F" w:rsidP="001B1063">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11A5F92A" w:rsidR="00CE362F" w:rsidRDefault="00CE362F" w:rsidP="001B1063">
            <w:pPr>
              <w:pStyle w:val="Style1"/>
            </w:pPr>
          </w:p>
        </w:tc>
      </w:tr>
      <w:tr w:rsidR="00CE362F" w14:paraId="7AC77476" w14:textId="77777777" w:rsidTr="001B106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CE362F" w:rsidRDefault="00CE362F" w:rsidP="001B1063">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428C8A63" w:rsidR="00CE362F" w:rsidRDefault="00AB688D" w:rsidP="001B1063">
            <w:pPr>
              <w:pStyle w:val="Style1"/>
            </w:pPr>
            <w:r>
              <w:t>maraea@thecentreforhealth.co.nz</w:t>
            </w:r>
          </w:p>
        </w:tc>
      </w:tr>
    </w:tbl>
    <w:p w14:paraId="406F6691" w14:textId="414C685D" w:rsidR="00CE362F" w:rsidRDefault="00CE362F" w:rsidP="009B0B90">
      <w:pPr>
        <w:pStyle w:val="Heading1"/>
        <w:numPr>
          <w:ilvl w:val="0"/>
          <w:numId w:val="0"/>
        </w:numPr>
        <w:rPr>
          <w:rFonts w:eastAsiaTheme="majorEastAsia"/>
        </w:rPr>
      </w:pPr>
    </w:p>
    <w:p w14:paraId="0E071F55" w14:textId="77777777" w:rsidR="00DA4F50" w:rsidRDefault="00DA4F50" w:rsidP="00DA4F50">
      <w:pPr>
        <w:rPr>
          <w:rFonts w:eastAsiaTheme="majorEastAsia"/>
        </w:rPr>
      </w:pPr>
    </w:p>
    <w:p w14:paraId="21D40BD3" w14:textId="77777777" w:rsidR="00DA4F50" w:rsidRDefault="00DA4F50" w:rsidP="00DA4F50">
      <w:pPr>
        <w:rPr>
          <w:rFonts w:eastAsiaTheme="majorEastAsia"/>
        </w:rPr>
      </w:pPr>
    </w:p>
    <w:p w14:paraId="63685D51" w14:textId="77777777" w:rsidR="00DA4F50" w:rsidRDefault="00DA4F50" w:rsidP="00DA4F50">
      <w:pPr>
        <w:rPr>
          <w:rFonts w:eastAsiaTheme="majorEastAsia"/>
        </w:rPr>
      </w:pPr>
    </w:p>
    <w:p w14:paraId="2749F9BF" w14:textId="77777777" w:rsidR="00DA4F50" w:rsidRDefault="00DA4F50" w:rsidP="00DA4F50">
      <w:pPr>
        <w:rPr>
          <w:rFonts w:eastAsiaTheme="majorEastAsia"/>
        </w:rPr>
      </w:pPr>
    </w:p>
    <w:p w14:paraId="595D0E69" w14:textId="77777777" w:rsidR="00DA4F50" w:rsidRDefault="00DA4F50" w:rsidP="00DA4F50">
      <w:pPr>
        <w:rPr>
          <w:rFonts w:eastAsiaTheme="majorEastAsia"/>
        </w:rPr>
      </w:pPr>
    </w:p>
    <w:p w14:paraId="055D2E97" w14:textId="77777777" w:rsidR="00DA4F50" w:rsidRDefault="00DA4F50" w:rsidP="00DA4F50">
      <w:pPr>
        <w:rPr>
          <w:rFonts w:eastAsiaTheme="majorEastAsia"/>
        </w:rPr>
      </w:pPr>
    </w:p>
    <w:p w14:paraId="06F6A288" w14:textId="3EC5EBCF" w:rsidR="00DA4F50" w:rsidRDefault="00DA4F50">
      <w:pPr>
        <w:spacing w:before="0" w:after="160" w:line="259" w:lineRule="auto"/>
        <w:rPr>
          <w:rFonts w:eastAsiaTheme="majorEastAsia"/>
        </w:rPr>
      </w:pPr>
      <w:r>
        <w:rPr>
          <w:rFonts w:eastAsiaTheme="majorEastAsia"/>
        </w:rPr>
        <w:br w:type="page"/>
      </w:r>
    </w:p>
    <w:p w14:paraId="49F44B13" w14:textId="77777777" w:rsidR="00DA4F50" w:rsidRPr="00DA4F50" w:rsidRDefault="00DA4F50" w:rsidP="00DA4F50">
      <w:pPr>
        <w:rPr>
          <w:rFonts w:eastAsiaTheme="majorEastAsia"/>
        </w:rPr>
      </w:pPr>
    </w:p>
    <w:p w14:paraId="3F3C0084" w14:textId="77777777" w:rsidR="00CE362F" w:rsidRDefault="00CE362F" w:rsidP="00CE362F">
      <w:pPr>
        <w:pStyle w:val="Heading1"/>
        <w:rPr>
          <w:rFonts w:eastAsiaTheme="majorEastAsia"/>
        </w:rPr>
      </w:pPr>
      <w:r>
        <w:rPr>
          <w:rFonts w:eastAsiaTheme="majorEastAsia"/>
        </w:rPr>
        <w:t>: Reporting</w:t>
      </w:r>
    </w:p>
    <w:p w14:paraId="70C285DC" w14:textId="4535A129" w:rsidR="00C30065" w:rsidRDefault="00C30065">
      <w:pPr>
        <w:pStyle w:val="Heading2"/>
      </w:pPr>
      <w:r>
        <w:t>Overview</w:t>
      </w:r>
    </w:p>
    <w:p w14:paraId="3CD4A092" w14:textId="4BF11C2D" w:rsidR="00C30065" w:rsidRPr="00C30065" w:rsidRDefault="00C30065" w:rsidP="00C30065">
      <w:pPr>
        <w:pStyle w:val="NormalWeb"/>
        <w:rPr>
          <w:rFonts w:ascii="QuestaSans" w:hAnsi="QuestaSans"/>
          <w:color w:val="191919"/>
          <w:sz w:val="20"/>
          <w:szCs w:val="20"/>
        </w:rPr>
      </w:pPr>
      <w:r>
        <w:rPr>
          <w:rFonts w:ascii="QuestaSans" w:hAnsi="QuestaSans"/>
          <w:color w:val="191919"/>
          <w:sz w:val="20"/>
          <w:szCs w:val="20"/>
        </w:rPr>
        <w:t xml:space="preserve">When Aotearoa shifted to Level Three on March 23, 2020, followed by Level Four on March 25, 2020, Māori organisations within the Bay of Plenty, as a collective, came together to formulate plans to adapt and respond to COVID-19. The collective kaupapa Māori Community Response was referred to as Te </w:t>
      </w:r>
      <w:proofErr w:type="spellStart"/>
      <w:r>
        <w:rPr>
          <w:rFonts w:ascii="QuestaSans" w:hAnsi="QuestaSans"/>
          <w:color w:val="191919"/>
          <w:sz w:val="20"/>
          <w:szCs w:val="20"/>
        </w:rPr>
        <w:t>Apārangi</w:t>
      </w:r>
      <w:proofErr w:type="spellEnd"/>
      <w:r>
        <w:rPr>
          <w:rFonts w:ascii="QuestaSans" w:hAnsi="QuestaSans"/>
          <w:color w:val="191919"/>
          <w:sz w:val="20"/>
          <w:szCs w:val="20"/>
        </w:rPr>
        <w:t xml:space="preserve"> </w:t>
      </w:r>
      <w:proofErr w:type="spellStart"/>
      <w:r>
        <w:rPr>
          <w:rFonts w:ascii="QuestaSans" w:hAnsi="QuestaSans"/>
          <w:color w:val="191919"/>
          <w:sz w:val="20"/>
          <w:szCs w:val="20"/>
        </w:rPr>
        <w:t>Tūpore</w:t>
      </w:r>
      <w:proofErr w:type="spellEnd"/>
      <w:r>
        <w:rPr>
          <w:rFonts w:ascii="QuestaSans" w:hAnsi="QuestaSans"/>
          <w:color w:val="191919"/>
          <w:sz w:val="20"/>
          <w:szCs w:val="20"/>
        </w:rPr>
        <w:t xml:space="preserve"> and was guided by the principles of manaakitanga, whakapapa, whanaungatanga and </w:t>
      </w:r>
      <w:proofErr w:type="spellStart"/>
      <w:r>
        <w:rPr>
          <w:rFonts w:ascii="QuestaSans" w:hAnsi="QuestaSans"/>
          <w:color w:val="191919"/>
          <w:sz w:val="20"/>
          <w:szCs w:val="20"/>
        </w:rPr>
        <w:t>kaitiakitanga</w:t>
      </w:r>
      <w:proofErr w:type="spellEnd"/>
      <w:r>
        <w:rPr>
          <w:rFonts w:ascii="QuestaSans" w:hAnsi="QuestaSans"/>
          <w:color w:val="191919"/>
          <w:sz w:val="20"/>
          <w:szCs w:val="20"/>
        </w:rPr>
        <w:t xml:space="preserve">. The response by Te </w:t>
      </w:r>
      <w:proofErr w:type="spellStart"/>
      <w:r>
        <w:rPr>
          <w:rFonts w:ascii="QuestaSans" w:hAnsi="QuestaSans"/>
          <w:color w:val="191919"/>
          <w:sz w:val="20"/>
          <w:szCs w:val="20"/>
        </w:rPr>
        <w:t>Apārangi</w:t>
      </w:r>
      <w:proofErr w:type="spellEnd"/>
      <w:r>
        <w:rPr>
          <w:rFonts w:ascii="QuestaSans" w:hAnsi="QuestaSans"/>
          <w:color w:val="191919"/>
          <w:sz w:val="20"/>
          <w:szCs w:val="20"/>
        </w:rPr>
        <w:t xml:space="preserve"> </w:t>
      </w:r>
      <w:proofErr w:type="spellStart"/>
      <w:r>
        <w:rPr>
          <w:rFonts w:ascii="QuestaSans" w:hAnsi="QuestaSans"/>
          <w:color w:val="191919"/>
          <w:sz w:val="20"/>
          <w:szCs w:val="20"/>
        </w:rPr>
        <w:t>Tūpore</w:t>
      </w:r>
      <w:proofErr w:type="spellEnd"/>
      <w:r>
        <w:rPr>
          <w:rFonts w:ascii="QuestaSans" w:hAnsi="QuestaSans"/>
          <w:color w:val="191919"/>
          <w:sz w:val="20"/>
          <w:szCs w:val="20"/>
        </w:rPr>
        <w:t xml:space="preserve"> was marked by a focus on preparation, identifying community needs, and negotiating policies to ensure positive outcomes for Māori. The collective faced obstacles such as slow decision-making at higher levels, prompting local organizations to take the lead despite risks and challenges. The establishment of the </w:t>
      </w:r>
      <w:proofErr w:type="spellStart"/>
      <w:r>
        <w:rPr>
          <w:rFonts w:ascii="QuestaSans" w:hAnsi="QuestaSans"/>
          <w:color w:val="191919"/>
          <w:sz w:val="20"/>
          <w:szCs w:val="20"/>
        </w:rPr>
        <w:t>Pahi</w:t>
      </w:r>
      <w:proofErr w:type="spellEnd"/>
      <w:r>
        <w:rPr>
          <w:rFonts w:ascii="QuestaSans" w:hAnsi="QuestaSans"/>
          <w:color w:val="191919"/>
          <w:sz w:val="20"/>
          <w:szCs w:val="20"/>
        </w:rPr>
        <w:t xml:space="preserve"> </w:t>
      </w:r>
      <w:proofErr w:type="spellStart"/>
      <w:r>
        <w:rPr>
          <w:rFonts w:ascii="QuestaSans" w:hAnsi="QuestaSans"/>
          <w:color w:val="191919"/>
          <w:sz w:val="20"/>
          <w:szCs w:val="20"/>
        </w:rPr>
        <w:t>Tahi</w:t>
      </w:r>
      <w:proofErr w:type="spellEnd"/>
      <w:r>
        <w:rPr>
          <w:rFonts w:ascii="QuestaSans" w:hAnsi="QuestaSans"/>
          <w:color w:val="191919"/>
          <w:sz w:val="20"/>
          <w:szCs w:val="20"/>
        </w:rPr>
        <w:t xml:space="preserve"> mobile response, addressing testing and service delivery, exemplifies the agility and quick decision-making of Māori organisations. </w:t>
      </w:r>
    </w:p>
    <w:p w14:paraId="43667883" w14:textId="77777777" w:rsidR="00C30065" w:rsidRPr="00C30065" w:rsidRDefault="00C30065" w:rsidP="00C30065">
      <w:pPr>
        <w:pStyle w:val="Heading2"/>
        <w:numPr>
          <w:ilvl w:val="2"/>
          <w:numId w:val="1"/>
        </w:numPr>
        <w:rPr>
          <w:color w:val="000000" w:themeColor="text1"/>
        </w:rPr>
      </w:pPr>
      <w:r w:rsidRPr="00C30065">
        <w:rPr>
          <w:color w:val="000000" w:themeColor="text1"/>
        </w:rPr>
        <w:t xml:space="preserve">Kaupapa Māori </w:t>
      </w:r>
    </w:p>
    <w:p w14:paraId="66C0CFE1" w14:textId="77777777" w:rsidR="00C30065" w:rsidRDefault="00C30065" w:rsidP="00C30065">
      <w:pPr>
        <w:pStyle w:val="Heading2"/>
        <w:numPr>
          <w:ilvl w:val="0"/>
          <w:numId w:val="0"/>
        </w:numPr>
        <w:jc w:val="left"/>
        <w:rPr>
          <w:rFonts w:ascii="QuestaSans" w:hAnsi="QuestaSans"/>
          <w:b w:val="0"/>
          <w:bCs/>
          <w:color w:val="191919"/>
        </w:rPr>
      </w:pPr>
      <w:r w:rsidRPr="00CD30FD">
        <w:rPr>
          <w:rFonts w:ascii="QuestaSans" w:hAnsi="QuestaSans"/>
          <w:b w:val="0"/>
          <w:bCs/>
          <w:color w:val="191919"/>
        </w:rPr>
        <w:t xml:space="preserve">Kaupapa Māori at its core is about a collective response to supporting the holistic wellbeing and welfare of individuals, </w:t>
      </w:r>
      <w:proofErr w:type="spellStart"/>
      <w:r w:rsidRPr="00CD30FD">
        <w:rPr>
          <w:rFonts w:ascii="QuestaSans" w:hAnsi="QuestaSans"/>
          <w:b w:val="0"/>
          <w:bCs/>
          <w:color w:val="191919"/>
        </w:rPr>
        <w:t>whānau</w:t>
      </w:r>
      <w:proofErr w:type="spellEnd"/>
      <w:r w:rsidRPr="00CD30FD">
        <w:rPr>
          <w:rFonts w:ascii="QuestaSans" w:hAnsi="QuestaSans"/>
          <w:b w:val="0"/>
          <w:bCs/>
          <w:color w:val="191919"/>
        </w:rPr>
        <w:t xml:space="preserve">, hapū and iwi. A kaupapa Māori response utilises the networks that already exist and builds from a position of pre-established relationships. Kaimahi Māori emphasised the importance of whakapapa connections in ‘mobilising the </w:t>
      </w:r>
      <w:proofErr w:type="spellStart"/>
      <w:r w:rsidRPr="00CD30FD">
        <w:rPr>
          <w:rFonts w:ascii="QuestaSans" w:hAnsi="QuestaSans"/>
          <w:b w:val="0"/>
          <w:bCs/>
          <w:color w:val="191919"/>
        </w:rPr>
        <w:t>ringawera</w:t>
      </w:r>
      <w:proofErr w:type="spellEnd"/>
      <w:r w:rsidRPr="00CD30FD">
        <w:rPr>
          <w:rFonts w:ascii="QuestaSans" w:hAnsi="QuestaSans"/>
          <w:b w:val="0"/>
          <w:bCs/>
          <w:color w:val="191919"/>
        </w:rPr>
        <w:t xml:space="preserve">.’ A kaupapa </w:t>
      </w:r>
      <w:proofErr w:type="spellStart"/>
      <w:r w:rsidRPr="00CD30FD">
        <w:rPr>
          <w:rFonts w:ascii="QuestaSans" w:hAnsi="QuestaSans"/>
          <w:b w:val="0"/>
          <w:bCs/>
          <w:color w:val="191919"/>
        </w:rPr>
        <w:t>Māori</w:t>
      </w:r>
      <w:proofErr w:type="spellEnd"/>
      <w:r w:rsidRPr="00CD30FD">
        <w:rPr>
          <w:rFonts w:ascii="QuestaSans" w:hAnsi="QuestaSans"/>
          <w:b w:val="0"/>
          <w:bCs/>
          <w:color w:val="191919"/>
        </w:rPr>
        <w:t xml:space="preserve"> response pivots on a commitment to a whānau-centred approach that considers the holistic needs of the whole whānau and their full needs. </w:t>
      </w:r>
    </w:p>
    <w:p w14:paraId="0A41841B" w14:textId="5F416B79" w:rsidR="00C30065" w:rsidRPr="00C30065" w:rsidRDefault="00C30065" w:rsidP="00C30065">
      <w:pPr>
        <w:pStyle w:val="NormalWeb"/>
        <w:rPr>
          <w:rFonts w:ascii="QuestaSans" w:hAnsi="QuestaSans"/>
          <w:color w:val="191919"/>
          <w:sz w:val="20"/>
          <w:szCs w:val="20"/>
        </w:rPr>
      </w:pPr>
      <w:r>
        <w:rPr>
          <w:rFonts w:ascii="QuestaSans" w:hAnsi="QuestaSans"/>
          <w:color w:val="191919"/>
          <w:sz w:val="20"/>
          <w:szCs w:val="20"/>
        </w:rPr>
        <w:t xml:space="preserve">A key strength of a kaupapa Māori response is the focus on collective leadership and collaboration. The focus on working collectively provided an environment where decisions, resources, and manpower could be shared. During the pandemic, a collective kaupapa Māori response trumped all else, demonstrating </w:t>
      </w:r>
      <w:proofErr w:type="spellStart"/>
      <w:r>
        <w:rPr>
          <w:rFonts w:ascii="QuestaSans" w:hAnsi="QuestaSans"/>
          <w:color w:val="191919"/>
          <w:sz w:val="20"/>
          <w:szCs w:val="20"/>
        </w:rPr>
        <w:t>tino</w:t>
      </w:r>
      <w:proofErr w:type="spellEnd"/>
      <w:r>
        <w:rPr>
          <w:rFonts w:ascii="QuestaSans" w:hAnsi="QuestaSans"/>
          <w:color w:val="191919"/>
          <w:sz w:val="20"/>
          <w:szCs w:val="20"/>
        </w:rPr>
        <w:t xml:space="preserve"> rangatiratanga in action. </w:t>
      </w:r>
    </w:p>
    <w:p w14:paraId="74968A0C" w14:textId="47BB6B1E" w:rsidR="00C30065" w:rsidRPr="00C30065" w:rsidRDefault="00C30065" w:rsidP="00C30065">
      <w:pPr>
        <w:pStyle w:val="Heading2"/>
        <w:numPr>
          <w:ilvl w:val="2"/>
          <w:numId w:val="1"/>
        </w:numPr>
        <w:rPr>
          <w:color w:val="000000" w:themeColor="text1"/>
        </w:rPr>
      </w:pPr>
      <w:r w:rsidRPr="00C30065">
        <w:rPr>
          <w:color w:val="000000" w:themeColor="text1"/>
        </w:rPr>
        <w:t xml:space="preserve">Tino Rangatiratanga </w:t>
      </w:r>
    </w:p>
    <w:p w14:paraId="1D84CEDE" w14:textId="77777777" w:rsidR="007B7AE8" w:rsidRDefault="007B7AE8" w:rsidP="007B7AE8">
      <w:pPr>
        <w:pStyle w:val="Heading2"/>
        <w:numPr>
          <w:ilvl w:val="0"/>
          <w:numId w:val="0"/>
        </w:numPr>
        <w:jc w:val="left"/>
        <w:rPr>
          <w:rFonts w:ascii="QuestaSans" w:hAnsi="QuestaSans"/>
          <w:b w:val="0"/>
          <w:color w:val="191919"/>
        </w:rPr>
      </w:pPr>
      <w:r>
        <w:rPr>
          <w:rFonts w:ascii="QuestaSans" w:hAnsi="QuestaSans"/>
          <w:b w:val="0"/>
          <w:color w:val="191919"/>
        </w:rPr>
        <w:t xml:space="preserve">At a community provider level, </w:t>
      </w:r>
      <w:proofErr w:type="spellStart"/>
      <w:r>
        <w:rPr>
          <w:rFonts w:ascii="QuestaSans" w:hAnsi="QuestaSans"/>
          <w:b w:val="0"/>
          <w:color w:val="191919"/>
        </w:rPr>
        <w:t>tino</w:t>
      </w:r>
      <w:proofErr w:type="spellEnd"/>
      <w:r>
        <w:rPr>
          <w:rFonts w:ascii="QuestaSans" w:hAnsi="QuestaSans"/>
          <w:b w:val="0"/>
          <w:color w:val="191919"/>
        </w:rPr>
        <w:t xml:space="preserve"> rangatiratanga is defined and exemplified in a more practical lens that demonstrates a deep affinity with giving voice to the community, to the sharing of power with Māori, and to a way of working that demonstrates being of service to your people. For the participating providers, this meant being able to make decisions that enabled them to lead the frontline, including identifying the right leaders for various roles. </w:t>
      </w:r>
    </w:p>
    <w:p w14:paraId="2C345A79" w14:textId="656F744F" w:rsidR="007B7AE8" w:rsidRDefault="007B7AE8" w:rsidP="00DC5A1D">
      <w:pPr>
        <w:pStyle w:val="NormalWeb"/>
      </w:pPr>
      <w:r>
        <w:rPr>
          <w:rFonts w:ascii="QuestaSans" w:hAnsi="QuestaSans"/>
          <w:color w:val="191919"/>
          <w:sz w:val="20"/>
          <w:szCs w:val="20"/>
        </w:rPr>
        <w:t xml:space="preserve">For the most part, the COVID-19 response was a kaupapa Māori response as ultimately resources were allocated by crown-led agencies, and key decisions required continual negotiation. The prioritisation of a Western dominant clinical model for a community response further evidenced a reliance on crown-led and crown-defined interventions. This came at a heavy cost and emotional burden for kaimahi Māori who were placed in a position of needing to ‘convince’ or ‘persuade’ non- Māori professionals to consider alternative protocols and responses. </w:t>
      </w:r>
    </w:p>
    <w:p w14:paraId="08156F0A" w14:textId="7F4A22EE" w:rsidR="00CE362F" w:rsidRPr="0085243C" w:rsidRDefault="00AB688D" w:rsidP="00DC5A1D">
      <w:pPr>
        <w:pStyle w:val="NormalWeb"/>
      </w:pPr>
      <w:r>
        <w:rPr>
          <w:rFonts w:ascii="QuestaSans" w:hAnsi="QuestaSans"/>
          <w:color w:val="191919"/>
          <w:sz w:val="20"/>
          <w:szCs w:val="20"/>
        </w:rPr>
        <w:t xml:space="preserve">‘Tino rangatiratanga during </w:t>
      </w:r>
      <w:r w:rsidR="001B0E9B">
        <w:rPr>
          <w:rFonts w:ascii="QuestaSans" w:hAnsi="QuestaSans"/>
          <w:color w:val="191919"/>
          <w:sz w:val="20"/>
          <w:szCs w:val="20"/>
        </w:rPr>
        <w:t xml:space="preserve">the </w:t>
      </w:r>
      <w:r>
        <w:rPr>
          <w:rFonts w:ascii="QuestaSans" w:hAnsi="QuestaSans"/>
          <w:color w:val="191919"/>
          <w:sz w:val="20"/>
          <w:szCs w:val="20"/>
        </w:rPr>
        <w:t xml:space="preserve">COVID-19 pandemic’ </w:t>
      </w:r>
      <w:r w:rsidR="00F55C4A">
        <w:rPr>
          <w:rFonts w:ascii="QuestaSans" w:hAnsi="QuestaSans"/>
          <w:color w:val="191919"/>
          <w:sz w:val="20"/>
          <w:szCs w:val="20"/>
        </w:rPr>
        <w:t xml:space="preserve">research, </w:t>
      </w:r>
      <w:r>
        <w:rPr>
          <w:rFonts w:ascii="QuestaSans" w:hAnsi="QuestaSans"/>
          <w:color w:val="191919"/>
          <w:sz w:val="20"/>
          <w:szCs w:val="20"/>
        </w:rPr>
        <w:t xml:space="preserve">highlights the importance of Māori-led responses, underpinned by cultural principles, in addressing health inequities exacerbated by the COVID-19 pandemic. The lessons learned from Te </w:t>
      </w:r>
      <w:proofErr w:type="spellStart"/>
      <w:r>
        <w:rPr>
          <w:rFonts w:ascii="QuestaSans" w:hAnsi="QuestaSans"/>
          <w:color w:val="191919"/>
          <w:sz w:val="20"/>
          <w:szCs w:val="20"/>
        </w:rPr>
        <w:t>Apārangi</w:t>
      </w:r>
      <w:proofErr w:type="spellEnd"/>
      <w:r>
        <w:rPr>
          <w:rFonts w:ascii="QuestaSans" w:hAnsi="QuestaSans"/>
          <w:color w:val="191919"/>
          <w:sz w:val="20"/>
          <w:szCs w:val="20"/>
        </w:rPr>
        <w:t xml:space="preserve"> </w:t>
      </w:r>
      <w:proofErr w:type="spellStart"/>
      <w:r>
        <w:rPr>
          <w:rFonts w:ascii="QuestaSans" w:hAnsi="QuestaSans"/>
          <w:color w:val="191919"/>
          <w:sz w:val="20"/>
          <w:szCs w:val="20"/>
        </w:rPr>
        <w:t>Tūpore</w:t>
      </w:r>
      <w:proofErr w:type="spellEnd"/>
      <w:r w:rsidR="001866C6">
        <w:rPr>
          <w:rFonts w:ascii="QuestaSans" w:hAnsi="QuestaSans"/>
          <w:color w:val="191919"/>
          <w:sz w:val="20"/>
          <w:szCs w:val="20"/>
        </w:rPr>
        <w:t xml:space="preserve"> and participating kaimahi and whānau Māori</w:t>
      </w:r>
      <w:r>
        <w:rPr>
          <w:rFonts w:ascii="QuestaSans" w:hAnsi="QuestaSans"/>
          <w:color w:val="191919"/>
          <w:sz w:val="20"/>
          <w:szCs w:val="20"/>
        </w:rPr>
        <w:t xml:space="preserve"> can inform future pandemic planning and recovery efforts, emphasizing the need for equitable, community-centred approaches. </w:t>
      </w:r>
      <w:bookmarkEnd w:id="1"/>
    </w:p>
    <w:p w14:paraId="76068CB4" w14:textId="5189D24B" w:rsidR="000B75B0" w:rsidRDefault="000B75B0" w:rsidP="000B75B0">
      <w:pPr>
        <w:pStyle w:val="Heading2"/>
      </w:pPr>
      <w:r>
        <w:t>What is the problem or issue that your research investigated?</w:t>
      </w:r>
    </w:p>
    <w:p w14:paraId="2517313A" w14:textId="77777777" w:rsidR="00454E7A" w:rsidRDefault="00454E7A" w:rsidP="00454E7A">
      <w:pPr>
        <w:pStyle w:val="NormalWeb"/>
      </w:pPr>
      <w:r>
        <w:rPr>
          <w:rFonts w:ascii="QuestaSans" w:hAnsi="QuestaSans"/>
          <w:color w:val="191919"/>
          <w:sz w:val="20"/>
          <w:szCs w:val="20"/>
        </w:rPr>
        <w:t xml:space="preserve">The objectives of this research were to build evidence concerning inequitable access to services and interventions for Māori during the COVID-19 pandemic. It also sought to provide recommendations for recovery and future pandemic planning. Additionally, the study explored the connection between kaupapa Māori service delivery, community response, and the concept of </w:t>
      </w:r>
      <w:proofErr w:type="spellStart"/>
      <w:r>
        <w:rPr>
          <w:rFonts w:ascii="QuestaSans" w:hAnsi="QuestaSans"/>
          <w:color w:val="191919"/>
          <w:sz w:val="20"/>
          <w:szCs w:val="20"/>
        </w:rPr>
        <w:t>tino</w:t>
      </w:r>
      <w:proofErr w:type="spellEnd"/>
      <w:r>
        <w:rPr>
          <w:rFonts w:ascii="QuestaSans" w:hAnsi="QuestaSans"/>
          <w:color w:val="191919"/>
          <w:sz w:val="20"/>
          <w:szCs w:val="20"/>
        </w:rPr>
        <w:t xml:space="preserve"> rangatiratanga. The perspectives of kaimahi Māori and whānau Māori in the Western and Eastern Bay of Plenty were gathered to support insights and recommendations to increase equitable access to services embedded through kaupapa Māori practice and worldviews.  </w:t>
      </w:r>
    </w:p>
    <w:p w14:paraId="6AC11730" w14:textId="410DF97A" w:rsidR="000B75B0" w:rsidRPr="000B75B0" w:rsidRDefault="000B75B0" w:rsidP="000B75B0">
      <w:pPr>
        <w:pStyle w:val="NormalWeb"/>
      </w:pPr>
      <w:r>
        <w:rPr>
          <w:rFonts w:ascii="QuestaSans" w:hAnsi="QuestaSans"/>
          <w:color w:val="191919"/>
          <w:sz w:val="20"/>
          <w:szCs w:val="20"/>
        </w:rPr>
        <w:lastRenderedPageBreak/>
        <w:t xml:space="preserve">This research explores the challenges faced by kaupapa Māori services and the innovative solutions devised during the COVID-19 pandemic. Specifically, it examined issues such as limited access to services, especially in rural and island-based communities, delays in information, treatment, and resources, the impact of clinician distrust, coordination and communication challenges with crown-led systems, insufficient support for the healthcare workforce, and the absence of crown-led solutions and resources to effectively address social and economic determinants of health in Māori communities during a pandemic. </w:t>
      </w:r>
    </w:p>
    <w:p w14:paraId="2514563B" w14:textId="77777777" w:rsidR="000B75B0" w:rsidRDefault="000B75B0" w:rsidP="000B75B0">
      <w:pPr>
        <w:pStyle w:val="Heading2"/>
      </w:pPr>
      <w:r>
        <w:t>What are the p</w:t>
      </w:r>
      <w:r w:rsidRPr="00215471">
        <w:t>ractical solutions and implementation options</w:t>
      </w:r>
      <w:r>
        <w:t xml:space="preserve"> that you recommend?</w:t>
      </w:r>
    </w:p>
    <w:p w14:paraId="7812C4F6" w14:textId="5D85A816" w:rsidR="007B7AE8" w:rsidRPr="007B7AE8" w:rsidRDefault="007B7AE8" w:rsidP="007B7AE8">
      <w:pPr>
        <w:pStyle w:val="Heading2"/>
        <w:numPr>
          <w:ilvl w:val="0"/>
          <w:numId w:val="0"/>
        </w:numPr>
        <w:jc w:val="left"/>
        <w:rPr>
          <w:rFonts w:ascii="QuestaSans" w:hAnsi="QuestaSans"/>
          <w:b w:val="0"/>
          <w:bCs/>
          <w:color w:val="191919"/>
        </w:rPr>
      </w:pPr>
      <w:r w:rsidRPr="000B75B0">
        <w:rPr>
          <w:rFonts w:ascii="QuestaSans" w:hAnsi="QuestaSans"/>
          <w:b w:val="0"/>
          <w:bCs/>
          <w:color w:val="191919"/>
        </w:rPr>
        <w:t xml:space="preserve">The research identified enablers that support improved equitable access to services and interventions for Māori. These included foundational enablers, contextual enablers and nationwide enablers. </w:t>
      </w:r>
    </w:p>
    <w:p w14:paraId="69A47A1A" w14:textId="148F6BBD" w:rsidR="00CD30FD" w:rsidRDefault="00CD30FD" w:rsidP="00CD30FD">
      <w:pPr>
        <w:pStyle w:val="Heading2"/>
        <w:numPr>
          <w:ilvl w:val="2"/>
          <w:numId w:val="1"/>
        </w:numPr>
        <w:jc w:val="left"/>
        <w:rPr>
          <w:rFonts w:ascii="QuestaSans" w:hAnsi="QuestaSans"/>
          <w:bCs/>
          <w:color w:val="191919"/>
        </w:rPr>
      </w:pPr>
      <w:r w:rsidRPr="00CD30FD">
        <w:rPr>
          <w:rFonts w:ascii="QuestaSans" w:hAnsi="QuestaSans"/>
          <w:bCs/>
          <w:color w:val="191919"/>
        </w:rPr>
        <w:t>E</w:t>
      </w:r>
      <w:r w:rsidR="00C30065">
        <w:rPr>
          <w:rFonts w:ascii="QuestaSans" w:hAnsi="QuestaSans"/>
          <w:bCs/>
          <w:color w:val="191919"/>
        </w:rPr>
        <w:t>nablers</w:t>
      </w:r>
    </w:p>
    <w:p w14:paraId="3A6BD86D" w14:textId="77777777" w:rsidR="00CD30FD" w:rsidRPr="00CD30FD" w:rsidRDefault="00CD30FD" w:rsidP="00CD30FD">
      <w:pPr>
        <w:pStyle w:val="Heading2"/>
        <w:numPr>
          <w:ilvl w:val="0"/>
          <w:numId w:val="0"/>
        </w:numPr>
        <w:jc w:val="left"/>
        <w:rPr>
          <w:b w:val="0"/>
          <w:bCs/>
        </w:rPr>
      </w:pPr>
      <w:r w:rsidRPr="00CD30FD">
        <w:rPr>
          <w:rFonts w:ascii="QuestaSans" w:hAnsi="QuestaSans"/>
          <w:bCs/>
          <w:color w:val="000000" w:themeColor="text1"/>
        </w:rPr>
        <w:t xml:space="preserve">Foundational enablers </w:t>
      </w:r>
      <w:r w:rsidRPr="00CD30FD">
        <w:rPr>
          <w:rFonts w:ascii="QuestaSans" w:hAnsi="QuestaSans"/>
          <w:b w:val="0"/>
          <w:bCs/>
          <w:color w:val="191919"/>
        </w:rPr>
        <w:t xml:space="preserve">identified were the key factors that underpin a Tino Rangatiratanga response. These included: </w:t>
      </w:r>
    </w:p>
    <w:p w14:paraId="565AACFB" w14:textId="77777777" w:rsidR="00CD30FD" w:rsidRDefault="00CD30FD" w:rsidP="00891F76">
      <w:pPr>
        <w:pStyle w:val="NormalWeb"/>
        <w:numPr>
          <w:ilvl w:val="0"/>
          <w:numId w:val="5"/>
        </w:numPr>
        <w:spacing w:before="0" w:beforeAutospacing="0" w:after="0" w:afterAutospacing="0"/>
        <w:ind w:left="426"/>
        <w:rPr>
          <w:rFonts w:ascii="QuestaSans" w:hAnsi="QuestaSans"/>
          <w:color w:val="000000" w:themeColor="text1"/>
          <w:sz w:val="20"/>
          <w:szCs w:val="20"/>
        </w:rPr>
      </w:pPr>
      <w:r w:rsidRPr="00A00927">
        <w:rPr>
          <w:rFonts w:ascii="QuestaSans" w:hAnsi="QuestaSans"/>
          <w:b/>
          <w:bCs/>
          <w:i/>
          <w:iCs/>
          <w:color w:val="000000" w:themeColor="text1"/>
          <w:sz w:val="20"/>
          <w:szCs w:val="20"/>
        </w:rPr>
        <w:t>Kawanatanga</w:t>
      </w:r>
      <w:r w:rsidRPr="00DA4F50">
        <w:rPr>
          <w:rFonts w:ascii="QuestaSans" w:hAnsi="QuestaSans"/>
          <w:i/>
          <w:iCs/>
          <w:color w:val="000000" w:themeColor="text1"/>
          <w:sz w:val="20"/>
          <w:szCs w:val="20"/>
        </w:rPr>
        <w:t xml:space="preserve"> </w:t>
      </w:r>
      <w:r>
        <w:rPr>
          <w:rFonts w:ascii="QuestaSans" w:hAnsi="QuestaSans"/>
          <w:color w:val="000000" w:themeColor="text1"/>
          <w:sz w:val="20"/>
          <w:szCs w:val="20"/>
        </w:rPr>
        <w:t xml:space="preserve">that </w:t>
      </w:r>
      <w:r w:rsidRPr="00DA4F50">
        <w:rPr>
          <w:rFonts w:ascii="QuestaSans" w:hAnsi="QuestaSans"/>
          <w:color w:val="000000" w:themeColor="text1"/>
          <w:sz w:val="20"/>
          <w:szCs w:val="20"/>
        </w:rPr>
        <w:t>support</w:t>
      </w:r>
      <w:r>
        <w:rPr>
          <w:rFonts w:ascii="QuestaSans" w:hAnsi="QuestaSans"/>
          <w:color w:val="000000" w:themeColor="text1"/>
          <w:sz w:val="20"/>
          <w:szCs w:val="20"/>
        </w:rPr>
        <w:t>ed</w:t>
      </w:r>
      <w:r w:rsidRPr="00DA4F50">
        <w:rPr>
          <w:rFonts w:ascii="QuestaSans" w:hAnsi="QuestaSans"/>
          <w:color w:val="000000" w:themeColor="text1"/>
          <w:sz w:val="20"/>
          <w:szCs w:val="20"/>
        </w:rPr>
        <w:t xml:space="preserve"> a collective partnership in leadership where key individuals act</w:t>
      </w:r>
      <w:r>
        <w:rPr>
          <w:rFonts w:ascii="QuestaSans" w:hAnsi="QuestaSans"/>
          <w:color w:val="000000" w:themeColor="text1"/>
          <w:sz w:val="20"/>
          <w:szCs w:val="20"/>
        </w:rPr>
        <w:t>ed</w:t>
      </w:r>
      <w:r w:rsidRPr="00DA4F50">
        <w:rPr>
          <w:rFonts w:ascii="QuestaSans" w:hAnsi="QuestaSans"/>
          <w:color w:val="000000" w:themeColor="text1"/>
          <w:sz w:val="20"/>
          <w:szCs w:val="20"/>
        </w:rPr>
        <w:t xml:space="preserve"> together, not on behalf of their organisations but on behalf of the purpose of the kaupapa that connects them in partnership</w:t>
      </w:r>
      <w:r>
        <w:rPr>
          <w:rFonts w:ascii="QuestaSans" w:hAnsi="QuestaSans"/>
          <w:color w:val="000000" w:themeColor="text1"/>
          <w:sz w:val="20"/>
          <w:szCs w:val="20"/>
        </w:rPr>
        <w:t>;</w:t>
      </w:r>
    </w:p>
    <w:p w14:paraId="6FAAFBC9" w14:textId="77777777" w:rsidR="00CD30FD" w:rsidRDefault="00CD30FD" w:rsidP="00891F76">
      <w:pPr>
        <w:pStyle w:val="NormalWeb"/>
        <w:numPr>
          <w:ilvl w:val="0"/>
          <w:numId w:val="5"/>
        </w:numPr>
        <w:spacing w:before="0" w:beforeAutospacing="0" w:after="0" w:afterAutospacing="0"/>
        <w:ind w:left="426"/>
        <w:rPr>
          <w:rFonts w:ascii="QuestaSans" w:hAnsi="QuestaSans"/>
          <w:color w:val="000000" w:themeColor="text1"/>
          <w:sz w:val="20"/>
          <w:szCs w:val="20"/>
        </w:rPr>
      </w:pPr>
      <w:proofErr w:type="spellStart"/>
      <w:r>
        <w:rPr>
          <w:rFonts w:ascii="QuestaSans" w:hAnsi="QuestaSans"/>
          <w:b/>
          <w:bCs/>
          <w:i/>
          <w:iCs/>
          <w:color w:val="000000" w:themeColor="text1"/>
          <w:sz w:val="20"/>
          <w:szCs w:val="20"/>
        </w:rPr>
        <w:t>M</w:t>
      </w:r>
      <w:r w:rsidRPr="00A00927">
        <w:rPr>
          <w:rFonts w:ascii="QuestaSans" w:hAnsi="QuestaSans"/>
          <w:b/>
          <w:bCs/>
          <w:i/>
          <w:iCs/>
          <w:color w:val="000000" w:themeColor="text1"/>
          <w:sz w:val="20"/>
          <w:szCs w:val="20"/>
        </w:rPr>
        <w:t>anaakitanga</w:t>
      </w:r>
      <w:proofErr w:type="spellEnd"/>
      <w:r w:rsidRPr="00A00927">
        <w:rPr>
          <w:rFonts w:ascii="QuestaSans" w:hAnsi="QuestaSans"/>
          <w:b/>
          <w:bCs/>
          <w:i/>
          <w:iCs/>
          <w:color w:val="000000" w:themeColor="text1"/>
          <w:sz w:val="20"/>
          <w:szCs w:val="20"/>
        </w:rPr>
        <w:t xml:space="preserve">, </w:t>
      </w:r>
      <w:proofErr w:type="spellStart"/>
      <w:r>
        <w:rPr>
          <w:rFonts w:ascii="QuestaSans" w:hAnsi="QuestaSans"/>
          <w:b/>
          <w:bCs/>
          <w:i/>
          <w:iCs/>
          <w:color w:val="000000" w:themeColor="text1"/>
          <w:sz w:val="20"/>
          <w:szCs w:val="20"/>
        </w:rPr>
        <w:t>m</w:t>
      </w:r>
      <w:r w:rsidRPr="00A00927">
        <w:rPr>
          <w:rFonts w:ascii="QuestaSans" w:hAnsi="QuestaSans"/>
          <w:b/>
          <w:bCs/>
          <w:i/>
          <w:iCs/>
          <w:color w:val="000000" w:themeColor="text1"/>
          <w:sz w:val="20"/>
          <w:szCs w:val="20"/>
        </w:rPr>
        <w:t>ahitahi</w:t>
      </w:r>
      <w:proofErr w:type="spellEnd"/>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and the ability for providers to collaborate and come together with a focus on taking immediate action due to the ethical and moral drive to respond to the needs of whānau</w:t>
      </w:r>
      <w:r>
        <w:rPr>
          <w:rFonts w:ascii="QuestaSans" w:hAnsi="QuestaSans"/>
          <w:color w:val="000000" w:themeColor="text1"/>
          <w:sz w:val="20"/>
          <w:szCs w:val="20"/>
        </w:rPr>
        <w:t xml:space="preserve"> Māori; </w:t>
      </w:r>
    </w:p>
    <w:p w14:paraId="0D8A4FB9" w14:textId="77777777" w:rsidR="00CD30FD" w:rsidRDefault="00CD30FD" w:rsidP="00891F76">
      <w:pPr>
        <w:pStyle w:val="NormalWeb"/>
        <w:numPr>
          <w:ilvl w:val="0"/>
          <w:numId w:val="5"/>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W</w:t>
      </w:r>
      <w:r w:rsidRPr="00A00927">
        <w:rPr>
          <w:rFonts w:ascii="QuestaSans" w:hAnsi="QuestaSans"/>
          <w:b/>
          <w:bCs/>
          <w:i/>
          <w:iCs/>
          <w:color w:val="000000" w:themeColor="text1"/>
          <w:sz w:val="20"/>
          <w:szCs w:val="20"/>
        </w:rPr>
        <w:t>hanaungatanga</w:t>
      </w:r>
      <w:r w:rsidRPr="00DA4F50">
        <w:rPr>
          <w:rFonts w:ascii="QuestaSans" w:hAnsi="QuestaSans"/>
          <w:i/>
          <w:iCs/>
          <w:color w:val="000000" w:themeColor="text1"/>
          <w:sz w:val="20"/>
          <w:szCs w:val="20"/>
        </w:rPr>
        <w:t xml:space="preserve"> </w:t>
      </w:r>
      <w:r>
        <w:rPr>
          <w:rFonts w:ascii="QuestaSans" w:hAnsi="QuestaSans"/>
          <w:color w:val="000000" w:themeColor="text1"/>
          <w:sz w:val="20"/>
          <w:szCs w:val="20"/>
        </w:rPr>
        <w:t>which p</w:t>
      </w:r>
      <w:r w:rsidRPr="00DA4F50">
        <w:rPr>
          <w:rFonts w:ascii="QuestaSans" w:hAnsi="QuestaSans"/>
          <w:color w:val="000000" w:themeColor="text1"/>
          <w:sz w:val="20"/>
          <w:szCs w:val="20"/>
        </w:rPr>
        <w:t>rovided a platform for open communication, transparency, alignment of focus and purpose and solutions-focused collaboration</w:t>
      </w:r>
      <w:r>
        <w:rPr>
          <w:rFonts w:ascii="QuestaSans" w:hAnsi="QuestaSans"/>
          <w:color w:val="000000" w:themeColor="text1"/>
          <w:sz w:val="20"/>
          <w:szCs w:val="20"/>
        </w:rPr>
        <w:t>;  and,</w:t>
      </w:r>
    </w:p>
    <w:p w14:paraId="0E212FDF" w14:textId="77777777" w:rsidR="00CD30FD" w:rsidRDefault="00CD30FD" w:rsidP="00891F76">
      <w:pPr>
        <w:pStyle w:val="NormalWeb"/>
        <w:numPr>
          <w:ilvl w:val="0"/>
          <w:numId w:val="5"/>
        </w:numPr>
        <w:spacing w:before="0" w:beforeAutospacing="0" w:after="0" w:afterAutospacing="0"/>
        <w:ind w:left="426"/>
        <w:rPr>
          <w:rFonts w:ascii="QuestaSans" w:hAnsi="QuestaSans"/>
          <w:color w:val="191919"/>
          <w:sz w:val="20"/>
          <w:szCs w:val="20"/>
        </w:rPr>
      </w:pPr>
      <w:r>
        <w:rPr>
          <w:rFonts w:ascii="QuestaSans" w:hAnsi="QuestaSans"/>
          <w:b/>
          <w:bCs/>
          <w:i/>
          <w:iCs/>
          <w:color w:val="000000" w:themeColor="text1"/>
          <w:sz w:val="20"/>
          <w:szCs w:val="20"/>
        </w:rPr>
        <w:t>W</w:t>
      </w:r>
      <w:r w:rsidRPr="00A00927">
        <w:rPr>
          <w:rFonts w:ascii="QuestaSans" w:hAnsi="QuestaSans"/>
          <w:b/>
          <w:bCs/>
          <w:i/>
          <w:iCs/>
          <w:color w:val="000000" w:themeColor="text1"/>
          <w:sz w:val="20"/>
          <w:szCs w:val="20"/>
        </w:rPr>
        <w:t>hakapapa connections</w:t>
      </w:r>
      <w:r w:rsidRPr="00DA4F50">
        <w:rPr>
          <w:rFonts w:ascii="QuestaSans" w:hAnsi="QuestaSans"/>
          <w:i/>
          <w:iCs/>
          <w:color w:val="000000" w:themeColor="text1"/>
          <w:sz w:val="20"/>
          <w:szCs w:val="20"/>
        </w:rPr>
        <w:t xml:space="preserve"> </w:t>
      </w:r>
      <w:r w:rsidRPr="00A00927">
        <w:rPr>
          <w:rFonts w:ascii="QuestaSans" w:hAnsi="QuestaSans"/>
          <w:color w:val="000000" w:themeColor="text1"/>
          <w:sz w:val="20"/>
          <w:szCs w:val="20"/>
        </w:rPr>
        <w:t xml:space="preserve">which </w:t>
      </w:r>
      <w:r w:rsidRPr="00DA4F50">
        <w:rPr>
          <w:rFonts w:ascii="QuestaSans" w:hAnsi="QuestaSans"/>
          <w:color w:val="000000" w:themeColor="text1"/>
          <w:sz w:val="20"/>
          <w:szCs w:val="20"/>
        </w:rPr>
        <w:t>enable</w:t>
      </w:r>
      <w:r>
        <w:rPr>
          <w:rFonts w:ascii="QuestaSans" w:hAnsi="QuestaSans"/>
          <w:color w:val="000000" w:themeColor="text1"/>
          <w:sz w:val="20"/>
          <w:szCs w:val="20"/>
        </w:rPr>
        <w:t>d</w:t>
      </w:r>
      <w:r w:rsidRPr="00DA4F50">
        <w:rPr>
          <w:rFonts w:ascii="QuestaSans" w:hAnsi="QuestaSans"/>
          <w:color w:val="000000" w:themeColor="text1"/>
          <w:sz w:val="20"/>
          <w:szCs w:val="20"/>
        </w:rPr>
        <w:t xml:space="preserve"> </w:t>
      </w:r>
      <w:r>
        <w:rPr>
          <w:rFonts w:ascii="QuestaSans" w:hAnsi="QuestaSans"/>
          <w:color w:val="191919"/>
          <w:sz w:val="20"/>
          <w:szCs w:val="20"/>
        </w:rPr>
        <w:t xml:space="preserve">a rite of passage for engagement with Māori communities and established trust and a history of demonstrated commitment accelerates community delivery. </w:t>
      </w:r>
    </w:p>
    <w:p w14:paraId="2A363250" w14:textId="77777777" w:rsidR="00CD30FD" w:rsidRDefault="00CD30FD" w:rsidP="00CD30FD">
      <w:pPr>
        <w:pStyle w:val="NormalWeb"/>
        <w:spacing w:before="0" w:beforeAutospacing="0" w:after="120" w:afterAutospacing="0"/>
        <w:rPr>
          <w:rFonts w:ascii="QuestaSans" w:hAnsi="QuestaSans"/>
          <w:color w:val="000000" w:themeColor="text1"/>
          <w:sz w:val="20"/>
          <w:szCs w:val="20"/>
        </w:rPr>
      </w:pPr>
      <w:r>
        <w:rPr>
          <w:rFonts w:ascii="QuestaSans" w:hAnsi="QuestaSans"/>
          <w:color w:val="000000" w:themeColor="text1"/>
          <w:sz w:val="20"/>
          <w:szCs w:val="20"/>
        </w:rPr>
        <w:br/>
      </w:r>
      <w:r>
        <w:rPr>
          <w:rFonts w:ascii="QuestaSans" w:hAnsi="QuestaSans"/>
          <w:b/>
          <w:bCs/>
          <w:color w:val="191919"/>
          <w:sz w:val="20"/>
          <w:szCs w:val="20"/>
        </w:rPr>
        <w:t xml:space="preserve">Contextual Enablers </w:t>
      </w:r>
      <w:r>
        <w:rPr>
          <w:rFonts w:ascii="QuestaSans" w:hAnsi="QuestaSans"/>
          <w:color w:val="191919"/>
          <w:sz w:val="20"/>
          <w:szCs w:val="20"/>
        </w:rPr>
        <w:t>included environmental factors that facilitated a kaupapa Māori response during the pandemic enabling improved equitable access to services. Nine contextual enablers were identified, these were:</w:t>
      </w:r>
      <w:r>
        <w:rPr>
          <w:rFonts w:ascii="QuestaSans" w:hAnsi="QuestaSans"/>
          <w:color w:val="000000" w:themeColor="text1"/>
          <w:sz w:val="20"/>
          <w:szCs w:val="20"/>
        </w:rPr>
        <w:t xml:space="preserve"> </w:t>
      </w:r>
    </w:p>
    <w:p w14:paraId="7C34F8A8"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sidRPr="000B75B0">
        <w:rPr>
          <w:rFonts w:ascii="QuestaSans" w:hAnsi="QuestaSans"/>
          <w:b/>
          <w:bCs/>
          <w:i/>
          <w:iCs/>
          <w:color w:val="000000" w:themeColor="text1"/>
          <w:sz w:val="20"/>
          <w:szCs w:val="20"/>
        </w:rPr>
        <w:t xml:space="preserve">Having </w:t>
      </w:r>
      <w:r>
        <w:rPr>
          <w:rFonts w:ascii="QuestaSans" w:hAnsi="QuestaSans"/>
          <w:b/>
          <w:bCs/>
          <w:i/>
          <w:iCs/>
          <w:color w:val="000000" w:themeColor="text1"/>
          <w:sz w:val="20"/>
          <w:szCs w:val="20"/>
        </w:rPr>
        <w:t>t</w:t>
      </w:r>
      <w:r w:rsidRPr="00A00927">
        <w:rPr>
          <w:rFonts w:ascii="QuestaSans" w:hAnsi="QuestaSans"/>
          <w:b/>
          <w:bCs/>
          <w:i/>
          <w:iCs/>
          <w:color w:val="000000" w:themeColor="text1"/>
          <w:sz w:val="20"/>
          <w:szCs w:val="20"/>
        </w:rPr>
        <w:t>he right people at all levels</w:t>
      </w:r>
      <w:r w:rsidRPr="00DA4F50">
        <w:rPr>
          <w:rFonts w:ascii="QuestaSans" w:hAnsi="QuestaSans"/>
          <w:i/>
          <w:iCs/>
          <w:color w:val="000000" w:themeColor="text1"/>
          <w:sz w:val="20"/>
          <w:szCs w:val="20"/>
        </w:rPr>
        <w:t xml:space="preserve"> </w:t>
      </w:r>
      <w:r w:rsidRPr="00DC5A1D">
        <w:rPr>
          <w:rFonts w:ascii="QuestaSans" w:hAnsi="QuestaSans"/>
          <w:color w:val="000000" w:themeColor="text1"/>
          <w:sz w:val="20"/>
          <w:szCs w:val="20"/>
        </w:rPr>
        <w:t>which</w:t>
      </w:r>
      <w:r>
        <w:rPr>
          <w:rFonts w:ascii="QuestaSans" w:hAnsi="QuestaSans"/>
          <w:i/>
          <w:iCs/>
          <w:color w:val="000000" w:themeColor="text1"/>
          <w:sz w:val="20"/>
          <w:szCs w:val="20"/>
        </w:rPr>
        <w:t xml:space="preserve"> </w:t>
      </w:r>
      <w:r w:rsidRPr="00DA4F50">
        <w:rPr>
          <w:rFonts w:ascii="QuestaSans" w:hAnsi="QuestaSans"/>
          <w:color w:val="000000" w:themeColor="text1"/>
          <w:sz w:val="20"/>
          <w:szCs w:val="20"/>
        </w:rPr>
        <w:t>prioritised a response that had the right people, with the right skills, working collectively to their strengths to support their communities whilst receiving support from Māori leadership across all levels</w:t>
      </w:r>
      <w:r>
        <w:rPr>
          <w:rFonts w:ascii="QuestaSans" w:hAnsi="QuestaSans"/>
          <w:color w:val="000000" w:themeColor="text1"/>
          <w:sz w:val="20"/>
          <w:szCs w:val="20"/>
        </w:rPr>
        <w:t xml:space="preserve">; </w:t>
      </w:r>
    </w:p>
    <w:p w14:paraId="17343DD2"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T</w:t>
      </w:r>
      <w:r w:rsidRPr="00A00927">
        <w:rPr>
          <w:rFonts w:ascii="QuestaSans" w:hAnsi="QuestaSans"/>
          <w:b/>
          <w:bCs/>
          <w:i/>
          <w:iCs/>
          <w:color w:val="000000" w:themeColor="text1"/>
          <w:sz w:val="20"/>
          <w:szCs w:val="20"/>
        </w:rPr>
        <w:t>he ability for large Māori organisations to absorb costs</w:t>
      </w:r>
      <w:r w:rsidRPr="00DA4F50">
        <w:rPr>
          <w:rFonts w:ascii="QuestaSans" w:hAnsi="QuestaSans"/>
          <w:i/>
          <w:iCs/>
          <w:color w:val="000000" w:themeColor="text1"/>
          <w:sz w:val="20"/>
          <w:szCs w:val="20"/>
        </w:rPr>
        <w:t xml:space="preserve"> </w:t>
      </w:r>
      <w:r w:rsidRPr="00DC5A1D">
        <w:rPr>
          <w:rFonts w:ascii="QuestaSans" w:hAnsi="QuestaSans"/>
          <w:color w:val="000000" w:themeColor="text1"/>
          <w:sz w:val="20"/>
          <w:szCs w:val="20"/>
        </w:rPr>
        <w:t>which</w:t>
      </w:r>
      <w:r>
        <w:rPr>
          <w:rFonts w:ascii="QuestaSans" w:hAnsi="QuestaSans"/>
          <w:i/>
          <w:iCs/>
          <w:color w:val="000000" w:themeColor="text1"/>
          <w:sz w:val="20"/>
          <w:szCs w:val="20"/>
        </w:rPr>
        <w:t xml:space="preserve"> </w:t>
      </w:r>
      <w:r w:rsidRPr="00DA4F50">
        <w:rPr>
          <w:rFonts w:ascii="QuestaSans" w:hAnsi="QuestaSans"/>
          <w:color w:val="000000" w:themeColor="text1"/>
          <w:sz w:val="20"/>
          <w:szCs w:val="20"/>
        </w:rPr>
        <w:t>enabled decision-making autonomy in leading a community response that was designed to be culturally appropriate</w:t>
      </w:r>
      <w:r>
        <w:rPr>
          <w:rFonts w:ascii="QuestaSans" w:hAnsi="QuestaSans"/>
          <w:color w:val="000000" w:themeColor="text1"/>
          <w:sz w:val="20"/>
          <w:szCs w:val="20"/>
        </w:rPr>
        <w:t xml:space="preserve">; </w:t>
      </w:r>
    </w:p>
    <w:p w14:paraId="4A344D46"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M</w:t>
      </w:r>
      <w:r w:rsidRPr="00A00927">
        <w:rPr>
          <w:rFonts w:ascii="QuestaSans" w:hAnsi="QuestaSans"/>
          <w:b/>
          <w:bCs/>
          <w:i/>
          <w:iCs/>
          <w:color w:val="000000" w:themeColor="text1"/>
          <w:sz w:val="20"/>
          <w:szCs w:val="20"/>
        </w:rPr>
        <w:t xml:space="preserve">aking brave decisions and leading </w:t>
      </w:r>
      <w:r w:rsidRPr="00DA4F50">
        <w:rPr>
          <w:rFonts w:ascii="QuestaSans" w:hAnsi="QuestaSans"/>
          <w:i/>
          <w:iCs/>
          <w:color w:val="000000" w:themeColor="text1"/>
          <w:sz w:val="20"/>
          <w:szCs w:val="20"/>
        </w:rPr>
        <w:t xml:space="preserve">the way </w:t>
      </w:r>
      <w:r w:rsidRPr="00DA4F50">
        <w:rPr>
          <w:rFonts w:ascii="QuestaSans" w:hAnsi="QuestaSans"/>
          <w:color w:val="000000" w:themeColor="text1"/>
          <w:sz w:val="20"/>
          <w:szCs w:val="20"/>
        </w:rPr>
        <w:t>through the development of culturally appropriate clinical procedures and community engagement practices</w:t>
      </w:r>
      <w:r>
        <w:rPr>
          <w:rFonts w:ascii="QuestaSans" w:hAnsi="QuestaSans"/>
          <w:color w:val="000000" w:themeColor="text1"/>
          <w:sz w:val="20"/>
          <w:szCs w:val="20"/>
        </w:rPr>
        <w:t xml:space="preserve">; </w:t>
      </w:r>
    </w:p>
    <w:p w14:paraId="538541CF"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B</w:t>
      </w:r>
      <w:r w:rsidRPr="00A00927">
        <w:rPr>
          <w:rFonts w:ascii="QuestaSans" w:hAnsi="QuestaSans"/>
          <w:b/>
          <w:bCs/>
          <w:i/>
          <w:iCs/>
          <w:color w:val="000000" w:themeColor="text1"/>
          <w:sz w:val="20"/>
          <w:szCs w:val="20"/>
        </w:rPr>
        <w:t>eing agile, quick and responding to needs</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to ensure barriers such as travel, affordability, accessibility, and complexity of issues are addressed in a timely way as determined by whānau</w:t>
      </w:r>
      <w:r>
        <w:rPr>
          <w:rFonts w:ascii="QuestaSans" w:hAnsi="QuestaSans"/>
          <w:color w:val="000000" w:themeColor="text1"/>
          <w:sz w:val="20"/>
          <w:szCs w:val="20"/>
        </w:rPr>
        <w:t xml:space="preserve">; </w:t>
      </w:r>
    </w:p>
    <w:p w14:paraId="3A3A71B3"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K</w:t>
      </w:r>
      <w:r w:rsidRPr="00A00927">
        <w:rPr>
          <w:rFonts w:ascii="QuestaSans" w:hAnsi="QuestaSans"/>
          <w:b/>
          <w:bCs/>
          <w:i/>
          <w:iCs/>
          <w:color w:val="000000" w:themeColor="text1"/>
          <w:sz w:val="20"/>
          <w:szCs w:val="20"/>
        </w:rPr>
        <w:t xml:space="preserve">o </w:t>
      </w:r>
      <w:proofErr w:type="spellStart"/>
      <w:r w:rsidRPr="00A00927">
        <w:rPr>
          <w:rFonts w:ascii="QuestaSans" w:hAnsi="QuestaSans"/>
          <w:b/>
          <w:bCs/>
          <w:i/>
          <w:iCs/>
          <w:color w:val="000000" w:themeColor="text1"/>
          <w:sz w:val="20"/>
          <w:szCs w:val="20"/>
        </w:rPr>
        <w:t>te</w:t>
      </w:r>
      <w:proofErr w:type="spellEnd"/>
      <w:r w:rsidRPr="00A00927">
        <w:rPr>
          <w:rFonts w:ascii="QuestaSans" w:hAnsi="QuestaSans"/>
          <w:b/>
          <w:bCs/>
          <w:i/>
          <w:iCs/>
          <w:color w:val="000000" w:themeColor="text1"/>
          <w:sz w:val="20"/>
          <w:szCs w:val="20"/>
        </w:rPr>
        <w:t xml:space="preserve"> mahi </w:t>
      </w:r>
      <w:proofErr w:type="spellStart"/>
      <w:r w:rsidRPr="00A00927">
        <w:rPr>
          <w:rFonts w:ascii="QuestaSans" w:hAnsi="QuestaSans"/>
          <w:b/>
          <w:bCs/>
          <w:i/>
          <w:iCs/>
          <w:color w:val="000000" w:themeColor="text1"/>
          <w:sz w:val="20"/>
          <w:szCs w:val="20"/>
        </w:rPr>
        <w:t>tuatahi</w:t>
      </w:r>
      <w:proofErr w:type="spellEnd"/>
      <w:r w:rsidRPr="00A00927">
        <w:rPr>
          <w:rFonts w:ascii="QuestaSans" w:hAnsi="QuestaSans"/>
          <w:b/>
          <w:bCs/>
          <w:i/>
          <w:iCs/>
          <w:color w:val="000000" w:themeColor="text1"/>
          <w:sz w:val="20"/>
          <w:szCs w:val="20"/>
        </w:rPr>
        <w:t xml:space="preserve"> – He </w:t>
      </w:r>
      <w:proofErr w:type="spellStart"/>
      <w:r w:rsidRPr="00A00927">
        <w:rPr>
          <w:rFonts w:ascii="QuestaSans" w:hAnsi="QuestaSans"/>
          <w:b/>
          <w:bCs/>
          <w:i/>
          <w:iCs/>
          <w:color w:val="000000" w:themeColor="text1"/>
          <w:sz w:val="20"/>
          <w:szCs w:val="20"/>
        </w:rPr>
        <w:t>Tangata</w:t>
      </w:r>
      <w:proofErr w:type="spellEnd"/>
      <w:r w:rsidRPr="00A00927">
        <w:rPr>
          <w:rFonts w:ascii="QuestaSans" w:hAnsi="QuestaSans"/>
          <w:b/>
          <w:bCs/>
          <w:i/>
          <w:iCs/>
          <w:color w:val="000000" w:themeColor="text1"/>
          <w:sz w:val="20"/>
          <w:szCs w:val="20"/>
        </w:rPr>
        <w:t xml:space="preserve"> </w:t>
      </w:r>
      <w:r w:rsidRPr="00DA4F50">
        <w:rPr>
          <w:rFonts w:ascii="QuestaSans" w:hAnsi="QuestaSans"/>
          <w:color w:val="000000" w:themeColor="text1"/>
          <w:sz w:val="20"/>
          <w:szCs w:val="20"/>
        </w:rPr>
        <w:t xml:space="preserve">ensured that a people-centred, </w:t>
      </w:r>
      <w:proofErr w:type="spellStart"/>
      <w:r w:rsidRPr="00DA4F50">
        <w:rPr>
          <w:rFonts w:ascii="QuestaSans" w:hAnsi="QuestaSans"/>
          <w:color w:val="000000" w:themeColor="text1"/>
          <w:sz w:val="20"/>
          <w:szCs w:val="20"/>
        </w:rPr>
        <w:t>whānau</w:t>
      </w:r>
      <w:proofErr w:type="spellEnd"/>
      <w:r w:rsidRPr="00DA4F50">
        <w:rPr>
          <w:rFonts w:ascii="QuestaSans" w:hAnsi="QuestaSans"/>
          <w:color w:val="000000" w:themeColor="text1"/>
          <w:sz w:val="20"/>
          <w:szCs w:val="20"/>
        </w:rPr>
        <w:t xml:space="preserve"> </w:t>
      </w:r>
      <w:proofErr w:type="spellStart"/>
      <w:r w:rsidRPr="00DA4F50">
        <w:rPr>
          <w:rFonts w:ascii="QuestaSans" w:hAnsi="QuestaSans"/>
          <w:color w:val="000000" w:themeColor="text1"/>
          <w:sz w:val="20"/>
          <w:szCs w:val="20"/>
        </w:rPr>
        <w:t>ora</w:t>
      </w:r>
      <w:proofErr w:type="spellEnd"/>
      <w:r w:rsidRPr="00DA4F50">
        <w:rPr>
          <w:rFonts w:ascii="QuestaSans" w:hAnsi="QuestaSans"/>
          <w:color w:val="000000" w:themeColor="text1"/>
          <w:sz w:val="20"/>
          <w:szCs w:val="20"/>
        </w:rPr>
        <w:t xml:space="preserve"> approach was applied to support and protect communities</w:t>
      </w:r>
      <w:r>
        <w:rPr>
          <w:rFonts w:ascii="QuestaSans" w:hAnsi="QuestaSans"/>
          <w:color w:val="000000" w:themeColor="text1"/>
          <w:sz w:val="20"/>
          <w:szCs w:val="20"/>
        </w:rPr>
        <w:t xml:space="preserve">; </w:t>
      </w:r>
    </w:p>
    <w:p w14:paraId="6F28AF26"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sidRPr="000B75B0">
        <w:rPr>
          <w:rFonts w:ascii="QuestaSans" w:hAnsi="QuestaSans"/>
          <w:b/>
          <w:bCs/>
          <w:i/>
          <w:iCs/>
          <w:color w:val="000000" w:themeColor="text1"/>
          <w:sz w:val="20"/>
          <w:szCs w:val="20"/>
        </w:rPr>
        <w:t>Having</w:t>
      </w:r>
      <w:r>
        <w:rPr>
          <w:rFonts w:ascii="QuestaSans" w:hAnsi="QuestaSans"/>
          <w:color w:val="000000" w:themeColor="text1"/>
          <w:sz w:val="20"/>
          <w:szCs w:val="20"/>
        </w:rPr>
        <w:t xml:space="preserve"> </w:t>
      </w:r>
      <w:r>
        <w:rPr>
          <w:rFonts w:ascii="QuestaSans" w:hAnsi="QuestaSans"/>
          <w:b/>
          <w:bCs/>
          <w:i/>
          <w:iCs/>
          <w:color w:val="000000" w:themeColor="text1"/>
          <w:sz w:val="20"/>
          <w:szCs w:val="20"/>
        </w:rPr>
        <w:t>l</w:t>
      </w:r>
      <w:r w:rsidRPr="00A00927">
        <w:rPr>
          <w:rFonts w:ascii="QuestaSans" w:hAnsi="QuestaSans"/>
          <w:b/>
          <w:bCs/>
          <w:i/>
          <w:iCs/>
          <w:color w:val="000000" w:themeColor="text1"/>
          <w:sz w:val="20"/>
          <w:szCs w:val="20"/>
        </w:rPr>
        <w:t>ocal people as the face of the response</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enabled trust-based engagements and higher participation rates with the delivery of ‘by Māori for M</w:t>
      </w:r>
      <w:r>
        <w:rPr>
          <w:rFonts w:ascii="QuestaSans" w:hAnsi="QuestaSans"/>
          <w:color w:val="000000" w:themeColor="text1"/>
          <w:sz w:val="20"/>
          <w:szCs w:val="20"/>
        </w:rPr>
        <w:t>āo</w:t>
      </w:r>
      <w:r w:rsidRPr="00DA4F50">
        <w:rPr>
          <w:rFonts w:ascii="QuestaSans" w:hAnsi="QuestaSans"/>
          <w:color w:val="000000" w:themeColor="text1"/>
          <w:sz w:val="20"/>
          <w:szCs w:val="20"/>
        </w:rPr>
        <w:t>ri – by whānau for whānau’</w:t>
      </w:r>
      <w:r>
        <w:rPr>
          <w:rFonts w:ascii="QuestaSans" w:hAnsi="QuestaSans"/>
          <w:color w:val="000000" w:themeColor="text1"/>
          <w:sz w:val="20"/>
          <w:szCs w:val="20"/>
        </w:rPr>
        <w:t xml:space="preserve">; </w:t>
      </w:r>
    </w:p>
    <w:p w14:paraId="06D43DD1"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A</w:t>
      </w:r>
      <w:r w:rsidRPr="00A00927">
        <w:rPr>
          <w:rFonts w:ascii="QuestaSans" w:hAnsi="QuestaSans"/>
          <w:b/>
          <w:bCs/>
          <w:i/>
          <w:iCs/>
          <w:color w:val="000000" w:themeColor="text1"/>
          <w:sz w:val="20"/>
          <w:szCs w:val="20"/>
        </w:rPr>
        <w:t xml:space="preserve"> holistic hauora response </w:t>
      </w:r>
      <w:r w:rsidRPr="00DA4F50">
        <w:rPr>
          <w:rFonts w:ascii="QuestaSans" w:hAnsi="QuestaSans"/>
          <w:color w:val="000000" w:themeColor="text1"/>
          <w:sz w:val="20"/>
          <w:szCs w:val="20"/>
        </w:rPr>
        <w:t xml:space="preserve">delivered through a </w:t>
      </w:r>
      <w:proofErr w:type="spellStart"/>
      <w:r w:rsidRPr="00DA4F50">
        <w:rPr>
          <w:rFonts w:ascii="QuestaSans" w:hAnsi="QuestaSans"/>
          <w:color w:val="000000" w:themeColor="text1"/>
          <w:sz w:val="20"/>
          <w:szCs w:val="20"/>
        </w:rPr>
        <w:t>whānau-ora</w:t>
      </w:r>
      <w:proofErr w:type="spellEnd"/>
      <w:r w:rsidRPr="00DA4F50">
        <w:rPr>
          <w:rFonts w:ascii="QuestaSans" w:hAnsi="QuestaSans"/>
          <w:color w:val="000000" w:themeColor="text1"/>
          <w:sz w:val="20"/>
          <w:szCs w:val="20"/>
        </w:rPr>
        <w:t xml:space="preserve"> approach provided a focus on holistic wellbeing outcomes ensuring that whānau had access to a full range of health screening and wrap-around services, not just a COVID-19 intervention</w:t>
      </w:r>
      <w:r>
        <w:rPr>
          <w:rFonts w:ascii="QuestaSans" w:hAnsi="QuestaSans"/>
          <w:color w:val="000000" w:themeColor="text1"/>
          <w:sz w:val="20"/>
          <w:szCs w:val="20"/>
        </w:rPr>
        <w:t xml:space="preserve">; </w:t>
      </w:r>
    </w:p>
    <w:p w14:paraId="17543BE4"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C</w:t>
      </w:r>
      <w:r w:rsidRPr="00A00927">
        <w:rPr>
          <w:rFonts w:ascii="QuestaSans" w:hAnsi="QuestaSans"/>
          <w:b/>
          <w:bCs/>
          <w:i/>
          <w:iCs/>
          <w:color w:val="000000" w:themeColor="text1"/>
          <w:sz w:val="20"/>
          <w:szCs w:val="20"/>
        </w:rPr>
        <w:t>ommunity-led development</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ensured that the response was working from the ground up and locals, who know their community are leading the response for their people</w:t>
      </w:r>
      <w:r>
        <w:rPr>
          <w:rFonts w:ascii="QuestaSans" w:hAnsi="QuestaSans"/>
          <w:color w:val="000000" w:themeColor="text1"/>
          <w:sz w:val="20"/>
          <w:szCs w:val="20"/>
        </w:rPr>
        <w:t xml:space="preserve">; and, </w:t>
      </w:r>
    </w:p>
    <w:p w14:paraId="158A5FD0" w14:textId="77777777" w:rsidR="00CD30FD" w:rsidRDefault="00CD30FD" w:rsidP="00891F76">
      <w:pPr>
        <w:pStyle w:val="NormalWeb"/>
        <w:numPr>
          <w:ilvl w:val="0"/>
          <w:numId w:val="6"/>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A</w:t>
      </w:r>
      <w:r w:rsidRPr="00A00927">
        <w:rPr>
          <w:rFonts w:ascii="QuestaSans" w:hAnsi="QuestaSans"/>
          <w:b/>
          <w:bCs/>
          <w:i/>
          <w:iCs/>
          <w:color w:val="000000" w:themeColor="text1"/>
          <w:sz w:val="20"/>
          <w:szCs w:val="20"/>
        </w:rPr>
        <w:t xml:space="preserve"> judgement free response</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 xml:space="preserve">that empowered whānau to build trust, accept support and re- engage with services to support their needs. </w:t>
      </w:r>
    </w:p>
    <w:p w14:paraId="788A7B10" w14:textId="77777777" w:rsidR="00CD30FD" w:rsidRDefault="00CD30FD" w:rsidP="00CD30FD">
      <w:pPr>
        <w:pStyle w:val="NormalWeb"/>
        <w:spacing w:before="0" w:beforeAutospacing="0" w:after="0" w:afterAutospacing="0"/>
        <w:rPr>
          <w:rFonts w:ascii="QuestaSans" w:hAnsi="QuestaSans"/>
          <w:color w:val="000000" w:themeColor="text1"/>
          <w:sz w:val="20"/>
          <w:szCs w:val="20"/>
        </w:rPr>
      </w:pPr>
    </w:p>
    <w:p w14:paraId="73A0001B" w14:textId="77777777" w:rsidR="00CD30FD" w:rsidRDefault="00CD30FD" w:rsidP="00CD30FD">
      <w:pPr>
        <w:pStyle w:val="NormalWeb"/>
        <w:spacing w:before="0" w:beforeAutospacing="0" w:after="0" w:afterAutospacing="0"/>
        <w:rPr>
          <w:rFonts w:ascii="QuestaSans" w:hAnsi="QuestaSans"/>
          <w:color w:val="000000" w:themeColor="text1"/>
          <w:sz w:val="20"/>
          <w:szCs w:val="20"/>
        </w:rPr>
      </w:pPr>
      <w:r w:rsidRPr="00DA4F50">
        <w:rPr>
          <w:rFonts w:ascii="QuestaSans" w:hAnsi="QuestaSans"/>
          <w:b/>
          <w:bCs/>
          <w:color w:val="000000" w:themeColor="text1"/>
          <w:sz w:val="20"/>
          <w:szCs w:val="20"/>
        </w:rPr>
        <w:t xml:space="preserve">Nationwide Enablers </w:t>
      </w:r>
      <w:r>
        <w:rPr>
          <w:rFonts w:ascii="QuestaSans" w:hAnsi="QuestaSans"/>
          <w:color w:val="000000" w:themeColor="text1"/>
          <w:sz w:val="20"/>
          <w:szCs w:val="20"/>
        </w:rPr>
        <w:t xml:space="preserve">were </w:t>
      </w:r>
      <w:r w:rsidRPr="00DA4F50">
        <w:rPr>
          <w:rFonts w:ascii="QuestaSans" w:hAnsi="QuestaSans"/>
          <w:color w:val="000000" w:themeColor="text1"/>
          <w:sz w:val="20"/>
          <w:szCs w:val="20"/>
        </w:rPr>
        <w:t>factors experienced by all providers and communities across Aotearoa</w:t>
      </w:r>
      <w:r>
        <w:rPr>
          <w:rFonts w:ascii="QuestaSans" w:hAnsi="QuestaSans"/>
          <w:color w:val="000000" w:themeColor="text1"/>
          <w:sz w:val="20"/>
          <w:szCs w:val="20"/>
        </w:rPr>
        <w:t xml:space="preserve">, these included: </w:t>
      </w:r>
    </w:p>
    <w:p w14:paraId="5C311035" w14:textId="77777777" w:rsidR="00CD30FD" w:rsidRDefault="00CD30FD" w:rsidP="00891F76">
      <w:pPr>
        <w:pStyle w:val="NormalWeb"/>
        <w:numPr>
          <w:ilvl w:val="0"/>
          <w:numId w:val="7"/>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T</w:t>
      </w:r>
      <w:r w:rsidRPr="00A00927">
        <w:rPr>
          <w:rFonts w:ascii="QuestaSans" w:hAnsi="QuestaSans"/>
          <w:b/>
          <w:bCs/>
          <w:i/>
          <w:iCs/>
          <w:color w:val="000000" w:themeColor="text1"/>
          <w:sz w:val="20"/>
          <w:szCs w:val="20"/>
        </w:rPr>
        <w:t>he uncertainty of a pandemic</w:t>
      </w:r>
      <w:r w:rsidRPr="00DA4F50">
        <w:rPr>
          <w:rFonts w:ascii="QuestaSans" w:hAnsi="QuestaSans"/>
          <w:i/>
          <w:iCs/>
          <w:color w:val="000000" w:themeColor="text1"/>
          <w:sz w:val="20"/>
          <w:szCs w:val="20"/>
        </w:rPr>
        <w:t xml:space="preserve"> </w:t>
      </w:r>
      <w:r>
        <w:rPr>
          <w:rFonts w:ascii="QuestaSans" w:hAnsi="QuestaSans"/>
          <w:color w:val="000000" w:themeColor="text1"/>
          <w:sz w:val="20"/>
          <w:szCs w:val="20"/>
        </w:rPr>
        <w:t>which c</w:t>
      </w:r>
      <w:r w:rsidRPr="00DA4F50">
        <w:rPr>
          <w:rFonts w:ascii="QuestaSans" w:hAnsi="QuestaSans"/>
          <w:color w:val="000000" w:themeColor="text1"/>
          <w:sz w:val="20"/>
          <w:szCs w:val="20"/>
        </w:rPr>
        <w:t>reated an environment of urgency and prioritising action</w:t>
      </w:r>
      <w:r>
        <w:rPr>
          <w:rFonts w:ascii="QuestaSans" w:hAnsi="QuestaSans"/>
          <w:color w:val="000000" w:themeColor="text1"/>
          <w:sz w:val="20"/>
          <w:szCs w:val="20"/>
        </w:rPr>
        <w:t xml:space="preserve">; </w:t>
      </w:r>
    </w:p>
    <w:p w14:paraId="61479998" w14:textId="77777777" w:rsidR="00CD30FD" w:rsidRDefault="00CD30FD" w:rsidP="00891F76">
      <w:pPr>
        <w:pStyle w:val="NormalWeb"/>
        <w:numPr>
          <w:ilvl w:val="0"/>
          <w:numId w:val="7"/>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E</w:t>
      </w:r>
      <w:r w:rsidRPr="00A00927">
        <w:rPr>
          <w:rFonts w:ascii="QuestaSans" w:hAnsi="QuestaSans"/>
          <w:b/>
          <w:bCs/>
          <w:i/>
          <w:iCs/>
          <w:color w:val="000000" w:themeColor="text1"/>
          <w:sz w:val="20"/>
          <w:szCs w:val="20"/>
        </w:rPr>
        <w:t>mergency procurement</w:t>
      </w:r>
      <w:r w:rsidRPr="00DA4F50">
        <w:rPr>
          <w:rFonts w:ascii="QuestaSans" w:hAnsi="QuestaSans"/>
          <w:i/>
          <w:iCs/>
          <w:color w:val="000000" w:themeColor="text1"/>
          <w:sz w:val="20"/>
          <w:szCs w:val="20"/>
        </w:rPr>
        <w:t xml:space="preserve"> </w:t>
      </w:r>
      <w:r w:rsidRPr="00775D48">
        <w:rPr>
          <w:rFonts w:ascii="QuestaSans" w:hAnsi="QuestaSans"/>
          <w:color w:val="000000" w:themeColor="text1"/>
          <w:sz w:val="20"/>
          <w:szCs w:val="20"/>
        </w:rPr>
        <w:t>which</w:t>
      </w:r>
      <w:r>
        <w:rPr>
          <w:rFonts w:ascii="QuestaSans" w:hAnsi="QuestaSans"/>
          <w:i/>
          <w:iCs/>
          <w:color w:val="000000" w:themeColor="text1"/>
          <w:sz w:val="20"/>
          <w:szCs w:val="20"/>
        </w:rPr>
        <w:t xml:space="preserve"> </w:t>
      </w:r>
      <w:r w:rsidRPr="00DA4F50">
        <w:rPr>
          <w:rFonts w:ascii="QuestaSans" w:hAnsi="QuestaSans"/>
          <w:color w:val="000000" w:themeColor="text1"/>
          <w:sz w:val="20"/>
          <w:szCs w:val="20"/>
        </w:rPr>
        <w:t>enabled the activation of employment opportunities for community members, providing necessary income</w:t>
      </w:r>
      <w:r>
        <w:rPr>
          <w:rFonts w:ascii="QuestaSans" w:hAnsi="QuestaSans"/>
          <w:color w:val="000000" w:themeColor="text1"/>
          <w:sz w:val="20"/>
          <w:szCs w:val="20"/>
        </w:rPr>
        <w:t xml:space="preserve">; </w:t>
      </w:r>
    </w:p>
    <w:p w14:paraId="12DC3BFB" w14:textId="77777777" w:rsidR="00CD30FD" w:rsidRDefault="00CD30FD" w:rsidP="00891F76">
      <w:pPr>
        <w:pStyle w:val="NormalWeb"/>
        <w:numPr>
          <w:ilvl w:val="0"/>
          <w:numId w:val="7"/>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E</w:t>
      </w:r>
      <w:r w:rsidRPr="00A00927">
        <w:rPr>
          <w:rFonts w:ascii="QuestaSans" w:hAnsi="QuestaSans"/>
          <w:b/>
          <w:bCs/>
          <w:i/>
          <w:iCs/>
          <w:color w:val="000000" w:themeColor="text1"/>
          <w:sz w:val="20"/>
          <w:szCs w:val="20"/>
        </w:rPr>
        <w:t>quity messaging from the Ministry of Health</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provided a platform for Māori to a) be identified as a high-risk community group, and b) receive additional support for planning, support, response and resources</w:t>
      </w:r>
      <w:r>
        <w:rPr>
          <w:rFonts w:ascii="QuestaSans" w:hAnsi="QuestaSans"/>
          <w:color w:val="000000" w:themeColor="text1"/>
          <w:sz w:val="20"/>
          <w:szCs w:val="20"/>
        </w:rPr>
        <w:t xml:space="preserve">; </w:t>
      </w:r>
    </w:p>
    <w:p w14:paraId="25F5C4E8" w14:textId="77777777" w:rsidR="00CD30FD" w:rsidRDefault="00CD30FD" w:rsidP="00891F76">
      <w:pPr>
        <w:pStyle w:val="NormalWeb"/>
        <w:numPr>
          <w:ilvl w:val="0"/>
          <w:numId w:val="7"/>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A</w:t>
      </w:r>
      <w:r w:rsidRPr="00A00927">
        <w:rPr>
          <w:rFonts w:ascii="QuestaSans" w:hAnsi="QuestaSans"/>
          <w:b/>
          <w:bCs/>
          <w:i/>
          <w:iCs/>
          <w:color w:val="000000" w:themeColor="text1"/>
          <w:sz w:val="20"/>
          <w:szCs w:val="20"/>
        </w:rPr>
        <w:t>ction before contracts</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at a local level provided an opportunity for Māori to define their response through their leadership channels</w:t>
      </w:r>
      <w:r>
        <w:rPr>
          <w:rFonts w:ascii="QuestaSans" w:hAnsi="QuestaSans"/>
          <w:color w:val="000000" w:themeColor="text1"/>
          <w:sz w:val="20"/>
          <w:szCs w:val="20"/>
        </w:rPr>
        <w:t xml:space="preserve">; and, </w:t>
      </w:r>
    </w:p>
    <w:p w14:paraId="587E2B5A" w14:textId="179793B8" w:rsidR="00CD30FD" w:rsidRPr="00CD30FD" w:rsidRDefault="00CD30FD" w:rsidP="00891F76">
      <w:pPr>
        <w:pStyle w:val="NormalWeb"/>
        <w:numPr>
          <w:ilvl w:val="0"/>
          <w:numId w:val="7"/>
        </w:numPr>
        <w:spacing w:before="0" w:beforeAutospacing="0" w:after="0" w:afterAutospacing="0"/>
        <w:ind w:left="426"/>
        <w:rPr>
          <w:rFonts w:ascii="QuestaSans" w:hAnsi="QuestaSans"/>
          <w:color w:val="191919"/>
          <w:sz w:val="20"/>
          <w:szCs w:val="20"/>
        </w:rPr>
      </w:pPr>
      <w:r>
        <w:rPr>
          <w:rFonts w:ascii="QuestaSans" w:hAnsi="QuestaSans"/>
          <w:b/>
          <w:bCs/>
          <w:i/>
          <w:iCs/>
          <w:color w:val="000000" w:themeColor="text1"/>
          <w:sz w:val="20"/>
          <w:szCs w:val="20"/>
        </w:rPr>
        <w:t>H</w:t>
      </w:r>
      <w:r w:rsidRPr="00A00927">
        <w:rPr>
          <w:rFonts w:ascii="QuestaSans" w:hAnsi="QuestaSans"/>
          <w:b/>
          <w:bCs/>
          <w:i/>
          <w:iCs/>
          <w:color w:val="000000" w:themeColor="text1"/>
          <w:sz w:val="20"/>
          <w:szCs w:val="20"/>
        </w:rPr>
        <w:t>igh-quality clinical responses</w:t>
      </w:r>
      <w:r w:rsidRPr="00DA4F50">
        <w:rPr>
          <w:rFonts w:ascii="QuestaSans" w:hAnsi="QuestaSans"/>
          <w:i/>
          <w:iCs/>
          <w:color w:val="000000" w:themeColor="text1"/>
          <w:sz w:val="20"/>
          <w:szCs w:val="20"/>
        </w:rPr>
        <w:t xml:space="preserve"> </w:t>
      </w:r>
      <w:r w:rsidRPr="00DA4F50">
        <w:rPr>
          <w:rFonts w:ascii="QuestaSans" w:hAnsi="QuestaSans"/>
          <w:color w:val="000000" w:themeColor="text1"/>
          <w:sz w:val="20"/>
          <w:szCs w:val="20"/>
        </w:rPr>
        <w:t xml:space="preserve">across the country enabled </w:t>
      </w:r>
      <w:r>
        <w:rPr>
          <w:rFonts w:ascii="QuestaSans" w:hAnsi="QuestaSans"/>
          <w:color w:val="191919"/>
          <w:sz w:val="20"/>
          <w:szCs w:val="20"/>
        </w:rPr>
        <w:t xml:space="preserve">lower rates of critical health outcomes, including for Māori as a result of including a kaupapa Māori response. </w:t>
      </w:r>
    </w:p>
    <w:p w14:paraId="5B88C658" w14:textId="471B4C42" w:rsidR="00CD30FD" w:rsidRPr="00CD30FD" w:rsidRDefault="00CD30FD" w:rsidP="00CD30FD">
      <w:pPr>
        <w:pStyle w:val="Heading2"/>
        <w:numPr>
          <w:ilvl w:val="2"/>
          <w:numId w:val="1"/>
        </w:numPr>
        <w:jc w:val="left"/>
        <w:rPr>
          <w:rFonts w:ascii="QuestaSans" w:hAnsi="QuestaSans"/>
          <w:bCs/>
          <w:color w:val="191919"/>
        </w:rPr>
      </w:pPr>
      <w:r>
        <w:rPr>
          <w:rFonts w:ascii="QuestaSans" w:hAnsi="QuestaSans"/>
          <w:bCs/>
          <w:color w:val="191919"/>
        </w:rPr>
        <w:lastRenderedPageBreak/>
        <w:t>D</w:t>
      </w:r>
      <w:r w:rsidR="00C30065">
        <w:rPr>
          <w:rFonts w:ascii="QuestaSans" w:hAnsi="QuestaSans"/>
          <w:bCs/>
          <w:color w:val="191919"/>
        </w:rPr>
        <w:t>isablers</w:t>
      </w:r>
    </w:p>
    <w:p w14:paraId="011C0316" w14:textId="77777777" w:rsidR="002F6BC7" w:rsidRDefault="00AB688D" w:rsidP="000B75B0">
      <w:pPr>
        <w:pStyle w:val="NormalWeb"/>
        <w:spacing w:before="0" w:beforeAutospacing="0" w:after="120" w:afterAutospacing="0"/>
        <w:rPr>
          <w:rFonts w:ascii="QuestaSans" w:hAnsi="QuestaSans"/>
          <w:color w:val="191919"/>
          <w:sz w:val="20"/>
          <w:szCs w:val="20"/>
        </w:rPr>
      </w:pPr>
      <w:r>
        <w:rPr>
          <w:rFonts w:ascii="QuestaSans" w:hAnsi="QuestaSans"/>
          <w:color w:val="191919"/>
          <w:sz w:val="20"/>
          <w:szCs w:val="20"/>
        </w:rPr>
        <w:t>The research</w:t>
      </w:r>
      <w:r w:rsidR="00A00927">
        <w:rPr>
          <w:rFonts w:ascii="QuestaSans" w:hAnsi="QuestaSans"/>
          <w:color w:val="191919"/>
          <w:sz w:val="20"/>
          <w:szCs w:val="20"/>
        </w:rPr>
        <w:t xml:space="preserve"> also</w:t>
      </w:r>
      <w:r>
        <w:rPr>
          <w:rFonts w:ascii="QuestaSans" w:hAnsi="QuestaSans"/>
          <w:color w:val="191919"/>
          <w:sz w:val="20"/>
          <w:szCs w:val="20"/>
        </w:rPr>
        <w:t xml:space="preserve"> identified </w:t>
      </w:r>
      <w:r w:rsidRPr="000B75B0">
        <w:rPr>
          <w:rFonts w:ascii="QuestaSans" w:hAnsi="QuestaSans"/>
          <w:b/>
          <w:bCs/>
          <w:color w:val="191919"/>
          <w:sz w:val="20"/>
          <w:szCs w:val="20"/>
        </w:rPr>
        <w:t>disablers</w:t>
      </w:r>
      <w:r>
        <w:rPr>
          <w:rFonts w:ascii="QuestaSans" w:hAnsi="QuestaSans"/>
          <w:color w:val="191919"/>
          <w:sz w:val="20"/>
          <w:szCs w:val="20"/>
        </w:rPr>
        <w:t xml:space="preserve"> that decrease equitable access to services and interventions for Māori. These include</w:t>
      </w:r>
      <w:r w:rsidR="00775D48">
        <w:rPr>
          <w:rFonts w:ascii="QuestaSans" w:hAnsi="QuestaSans"/>
          <w:color w:val="191919"/>
          <w:sz w:val="20"/>
          <w:szCs w:val="20"/>
        </w:rPr>
        <w:t>d</w:t>
      </w:r>
      <w:r w:rsidR="00A00927">
        <w:rPr>
          <w:rFonts w:ascii="QuestaSans" w:hAnsi="QuestaSans"/>
          <w:color w:val="191919"/>
          <w:sz w:val="20"/>
          <w:szCs w:val="20"/>
        </w:rPr>
        <w:t xml:space="preserve">: </w:t>
      </w:r>
    </w:p>
    <w:p w14:paraId="504B0E93" w14:textId="01D171B2"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L</w:t>
      </w:r>
      <w:r w:rsidR="00AB688D" w:rsidRPr="00A00927">
        <w:rPr>
          <w:rFonts w:ascii="QuestaSans" w:hAnsi="QuestaSans"/>
          <w:b/>
          <w:bCs/>
          <w:i/>
          <w:iCs/>
          <w:color w:val="000000" w:themeColor="text1"/>
          <w:sz w:val="20"/>
          <w:szCs w:val="20"/>
        </w:rPr>
        <w:t xml:space="preserve">imited relationships with DHB </w:t>
      </w:r>
      <w:proofErr w:type="spellStart"/>
      <w:r w:rsidR="00AB688D" w:rsidRPr="00A00927">
        <w:rPr>
          <w:rFonts w:ascii="QuestaSans" w:hAnsi="QuestaSans"/>
          <w:b/>
          <w:bCs/>
          <w:i/>
          <w:iCs/>
          <w:color w:val="000000" w:themeColor="text1"/>
          <w:sz w:val="20"/>
          <w:szCs w:val="20"/>
        </w:rPr>
        <w:t>Rūnanga</w:t>
      </w:r>
      <w:proofErr w:type="spellEnd"/>
      <w:r w:rsidR="00AB688D" w:rsidRPr="00DA4F50">
        <w:rPr>
          <w:rFonts w:ascii="QuestaSans" w:hAnsi="QuestaSans"/>
          <w:i/>
          <w:iCs/>
          <w:color w:val="000000" w:themeColor="text1"/>
          <w:sz w:val="20"/>
          <w:szCs w:val="20"/>
        </w:rPr>
        <w:t xml:space="preserve"> </w:t>
      </w:r>
      <w:r w:rsidR="00775D48" w:rsidRPr="00775D48">
        <w:rPr>
          <w:rFonts w:ascii="QuestaSans" w:hAnsi="QuestaSans"/>
          <w:color w:val="000000" w:themeColor="text1"/>
          <w:sz w:val="20"/>
          <w:szCs w:val="20"/>
        </w:rPr>
        <w:t xml:space="preserve">which </w:t>
      </w:r>
      <w:r w:rsidR="00AB688D" w:rsidRPr="00DA4F50">
        <w:rPr>
          <w:rFonts w:ascii="QuestaSans" w:hAnsi="QuestaSans"/>
          <w:color w:val="000000" w:themeColor="text1"/>
          <w:sz w:val="20"/>
          <w:szCs w:val="20"/>
        </w:rPr>
        <w:t xml:space="preserve">resulted in a lack of regional planning and advocacy for kaupapa Māori community responses. This was a lost opportunity to advocate for, and embed a new way of working with </w:t>
      </w:r>
      <w:proofErr w:type="spellStart"/>
      <w:r w:rsidR="00AB688D" w:rsidRPr="00DA4F50">
        <w:rPr>
          <w:rFonts w:ascii="QuestaSans" w:hAnsi="QuestaSans"/>
          <w:color w:val="000000" w:themeColor="text1"/>
          <w:sz w:val="20"/>
          <w:szCs w:val="20"/>
        </w:rPr>
        <w:t>whānau</w:t>
      </w:r>
      <w:proofErr w:type="spellEnd"/>
      <w:r w:rsidR="00AB688D" w:rsidRPr="00DA4F50">
        <w:rPr>
          <w:rFonts w:ascii="QuestaSans" w:hAnsi="QuestaSans"/>
          <w:color w:val="000000" w:themeColor="text1"/>
          <w:sz w:val="20"/>
          <w:szCs w:val="20"/>
        </w:rPr>
        <w:t>, hapū and iwi for Māori health gain</w:t>
      </w:r>
      <w:r w:rsidR="00A00927">
        <w:rPr>
          <w:rFonts w:ascii="QuestaSans" w:hAnsi="QuestaSans"/>
          <w:color w:val="000000" w:themeColor="text1"/>
          <w:sz w:val="20"/>
          <w:szCs w:val="20"/>
        </w:rPr>
        <w:t xml:space="preserve">; </w:t>
      </w:r>
    </w:p>
    <w:p w14:paraId="6D2AED83" w14:textId="5B03638C"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L</w:t>
      </w:r>
      <w:r w:rsidR="00AB688D" w:rsidRPr="00A00927">
        <w:rPr>
          <w:rFonts w:ascii="QuestaSans" w:hAnsi="QuestaSans"/>
          <w:b/>
          <w:bCs/>
          <w:i/>
          <w:iCs/>
          <w:color w:val="000000" w:themeColor="text1"/>
          <w:sz w:val="20"/>
          <w:szCs w:val="20"/>
        </w:rPr>
        <w:t>ack of governance tikanga</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resulted in the rejection of a tikanga based co-leadership model to a kaupapa Māori community response across the Western and Eastern Bay of Plenty</w:t>
      </w:r>
      <w:r w:rsidR="00A00927">
        <w:rPr>
          <w:rFonts w:ascii="QuestaSans" w:hAnsi="QuestaSans"/>
          <w:color w:val="000000" w:themeColor="text1"/>
          <w:sz w:val="20"/>
          <w:szCs w:val="20"/>
        </w:rPr>
        <w:t xml:space="preserve">; </w:t>
      </w:r>
    </w:p>
    <w:p w14:paraId="18AC1967" w14:textId="51BFF723"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the</w:t>
      </w:r>
      <w:r w:rsidR="00AB688D" w:rsidRPr="00A00927">
        <w:rPr>
          <w:rFonts w:ascii="QuestaSans" w:hAnsi="QuestaSans"/>
          <w:b/>
          <w:bCs/>
          <w:i/>
          <w:iCs/>
          <w:color w:val="000000" w:themeColor="text1"/>
          <w:sz w:val="20"/>
          <w:szCs w:val="20"/>
        </w:rPr>
        <w:t xml:space="preserve"> need for control from Crown-led organisations</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and the prioritisation of Western dominant clinical models of care had a negative impact on Māori communities and resulted in distrust, low participation rates, and an increased burden for kaimahi Māori</w:t>
      </w:r>
      <w:r w:rsidR="00A00927">
        <w:rPr>
          <w:rFonts w:ascii="QuestaSans" w:hAnsi="QuestaSans"/>
          <w:color w:val="000000" w:themeColor="text1"/>
          <w:sz w:val="20"/>
          <w:szCs w:val="20"/>
        </w:rPr>
        <w:t xml:space="preserve">; </w:t>
      </w:r>
    </w:p>
    <w:p w14:paraId="5F868104" w14:textId="4C78DBA5"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I</w:t>
      </w:r>
      <w:r w:rsidR="00AB688D" w:rsidRPr="00A00927">
        <w:rPr>
          <w:rFonts w:ascii="QuestaSans" w:hAnsi="QuestaSans"/>
          <w:b/>
          <w:bCs/>
          <w:i/>
          <w:iCs/>
          <w:color w:val="000000" w:themeColor="text1"/>
          <w:sz w:val="20"/>
          <w:szCs w:val="20"/>
        </w:rPr>
        <w:t>ncrease in bias during uncertainty</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including distrust in kaupapa Māori community responses created an additional burden for Māori leaders and kaimahi to respond, free of criticism, judgement, and the assertion of dominant power discourse</w:t>
      </w:r>
      <w:r w:rsidR="00A00927">
        <w:rPr>
          <w:rFonts w:ascii="QuestaSans" w:hAnsi="QuestaSans"/>
          <w:color w:val="000000" w:themeColor="text1"/>
          <w:sz w:val="20"/>
          <w:szCs w:val="20"/>
        </w:rPr>
        <w:t xml:space="preserve">; </w:t>
      </w:r>
    </w:p>
    <w:p w14:paraId="21D7AAFB" w14:textId="538F324A"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T</w:t>
      </w:r>
      <w:r w:rsidR="00AB688D" w:rsidRPr="00A00927">
        <w:rPr>
          <w:rFonts w:ascii="QuestaSans" w:hAnsi="QuestaSans"/>
          <w:b/>
          <w:bCs/>
          <w:i/>
          <w:iCs/>
          <w:color w:val="000000" w:themeColor="text1"/>
          <w:sz w:val="20"/>
          <w:szCs w:val="20"/>
        </w:rPr>
        <w:t>he lack of culturally skilled clinicians</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amplified the disparity in service provision for Māori communities and reduced the ability for Māori and other minority ethnic groups to receive an equitable community response</w:t>
      </w:r>
      <w:r w:rsidR="00A00927">
        <w:rPr>
          <w:rFonts w:ascii="QuestaSans" w:hAnsi="QuestaSans"/>
          <w:color w:val="000000" w:themeColor="text1"/>
          <w:sz w:val="20"/>
          <w:szCs w:val="20"/>
        </w:rPr>
        <w:t xml:space="preserve">; </w:t>
      </w:r>
    </w:p>
    <w:p w14:paraId="025B288D" w14:textId="3789298F"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C</w:t>
      </w:r>
      <w:r w:rsidR="00AB688D" w:rsidRPr="00A00927">
        <w:rPr>
          <w:rFonts w:ascii="QuestaSans" w:hAnsi="QuestaSans"/>
          <w:b/>
          <w:bCs/>
          <w:i/>
          <w:iCs/>
          <w:color w:val="000000" w:themeColor="text1"/>
          <w:sz w:val="20"/>
          <w:szCs w:val="20"/>
        </w:rPr>
        <w:t>ontracts and funding</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 xml:space="preserve">need to be informed by a </w:t>
      </w:r>
      <w:proofErr w:type="spellStart"/>
      <w:r w:rsidR="00AB688D" w:rsidRPr="00DA4F50">
        <w:rPr>
          <w:rFonts w:ascii="QuestaSans" w:hAnsi="QuestaSans"/>
          <w:color w:val="000000" w:themeColor="text1"/>
          <w:sz w:val="20"/>
          <w:szCs w:val="20"/>
        </w:rPr>
        <w:t>whānau-ora</w:t>
      </w:r>
      <w:proofErr w:type="spellEnd"/>
      <w:r w:rsidR="00AB688D" w:rsidRPr="00DA4F50">
        <w:rPr>
          <w:rFonts w:ascii="QuestaSans" w:hAnsi="QuestaSans"/>
          <w:color w:val="000000" w:themeColor="text1"/>
          <w:sz w:val="20"/>
          <w:szCs w:val="20"/>
        </w:rPr>
        <w:t xml:space="preserve"> model of care with high trust to get the best wellbeing outcomes and increase access to services for Māori communities</w:t>
      </w:r>
      <w:r w:rsidR="00A00927">
        <w:rPr>
          <w:rFonts w:ascii="QuestaSans" w:hAnsi="QuestaSans"/>
          <w:color w:val="000000" w:themeColor="text1"/>
          <w:sz w:val="20"/>
          <w:szCs w:val="20"/>
        </w:rPr>
        <w:t xml:space="preserve">; </w:t>
      </w:r>
    </w:p>
    <w:p w14:paraId="689B0058" w14:textId="240C2346"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Q</w:t>
      </w:r>
      <w:r w:rsidR="00AB688D" w:rsidRPr="00A00927">
        <w:rPr>
          <w:rFonts w:ascii="QuestaSans" w:hAnsi="QuestaSans"/>
          <w:b/>
          <w:bCs/>
          <w:i/>
          <w:iCs/>
          <w:color w:val="000000" w:themeColor="text1"/>
          <w:sz w:val="20"/>
          <w:szCs w:val="20"/>
        </w:rPr>
        <w:t>uick action but high-risk</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resulted in community responses being initiated without a clear mandate, and without financial backing and resources to support a response. For senior managers, there was the additional pressure of reputational risks for the organisation</w:t>
      </w:r>
      <w:r w:rsidR="00A00927">
        <w:rPr>
          <w:rFonts w:ascii="QuestaSans" w:hAnsi="QuestaSans"/>
          <w:color w:val="000000" w:themeColor="text1"/>
          <w:sz w:val="20"/>
          <w:szCs w:val="20"/>
        </w:rPr>
        <w:t xml:space="preserve">; </w:t>
      </w:r>
    </w:p>
    <w:p w14:paraId="7191AC2E" w14:textId="00B2037C"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L</w:t>
      </w:r>
      <w:r w:rsidR="00AB688D" w:rsidRPr="00A00927">
        <w:rPr>
          <w:rFonts w:ascii="QuestaSans" w:hAnsi="QuestaSans"/>
          <w:b/>
          <w:bCs/>
          <w:i/>
          <w:iCs/>
          <w:color w:val="000000" w:themeColor="text1"/>
          <w:sz w:val="20"/>
          <w:szCs w:val="20"/>
        </w:rPr>
        <w:t>ogistics and paperwork</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resulted in resources and supplies being provided on a daily schedule as opposed to enabling bulk supply for Māori organisations to distribute at the pace required, and to the localities of highest need</w:t>
      </w:r>
      <w:r w:rsidR="00A00927">
        <w:rPr>
          <w:rFonts w:ascii="QuestaSans" w:hAnsi="QuestaSans"/>
          <w:color w:val="000000" w:themeColor="text1"/>
          <w:sz w:val="20"/>
          <w:szCs w:val="20"/>
        </w:rPr>
        <w:t xml:space="preserve">; </w:t>
      </w:r>
    </w:p>
    <w:p w14:paraId="0A58F0A8" w14:textId="483C515C" w:rsidR="002F6BC7"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S</w:t>
      </w:r>
      <w:r w:rsidR="00AB688D" w:rsidRPr="00A00927">
        <w:rPr>
          <w:rFonts w:ascii="QuestaSans" w:hAnsi="QuestaSans"/>
          <w:b/>
          <w:bCs/>
          <w:i/>
          <w:iCs/>
          <w:color w:val="000000" w:themeColor="text1"/>
          <w:sz w:val="20"/>
          <w:szCs w:val="20"/>
        </w:rPr>
        <w:t>taff fatigue</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is an issue still lingering for kaimahi Māori post the lockdown and alert periods, who during the pandemic response covered the roles of kaupapa Māori community responses and supported the non-Māori main CBAC sites when understaffed. With an increase in caseload, both in numbers and complexity, staff fatigue is likely to continue</w:t>
      </w:r>
      <w:r>
        <w:rPr>
          <w:rFonts w:ascii="QuestaSans" w:hAnsi="QuestaSans"/>
          <w:color w:val="000000" w:themeColor="text1"/>
          <w:sz w:val="20"/>
          <w:szCs w:val="20"/>
        </w:rPr>
        <w:t>;</w:t>
      </w:r>
      <w:r w:rsidR="00A00927">
        <w:rPr>
          <w:rFonts w:ascii="QuestaSans" w:hAnsi="QuestaSans"/>
          <w:color w:val="000000" w:themeColor="text1"/>
          <w:sz w:val="20"/>
          <w:szCs w:val="20"/>
        </w:rPr>
        <w:t xml:space="preserve"> and</w:t>
      </w:r>
      <w:r>
        <w:rPr>
          <w:rFonts w:ascii="QuestaSans" w:hAnsi="QuestaSans"/>
          <w:color w:val="000000" w:themeColor="text1"/>
          <w:sz w:val="20"/>
          <w:szCs w:val="20"/>
        </w:rPr>
        <w:t>,</w:t>
      </w:r>
      <w:r w:rsidR="00A00927">
        <w:rPr>
          <w:rFonts w:ascii="QuestaSans" w:hAnsi="QuestaSans"/>
          <w:color w:val="000000" w:themeColor="text1"/>
          <w:sz w:val="20"/>
          <w:szCs w:val="20"/>
        </w:rPr>
        <w:t xml:space="preserve"> </w:t>
      </w:r>
    </w:p>
    <w:p w14:paraId="50471EA5" w14:textId="4D0A21CB" w:rsidR="00CE362F" w:rsidRDefault="002F6BC7" w:rsidP="00891F76">
      <w:pPr>
        <w:pStyle w:val="NormalWeb"/>
        <w:numPr>
          <w:ilvl w:val="0"/>
          <w:numId w:val="8"/>
        </w:numPr>
        <w:spacing w:before="0" w:beforeAutospacing="0" w:after="0" w:afterAutospacing="0"/>
        <w:ind w:left="426"/>
        <w:rPr>
          <w:rFonts w:ascii="QuestaSans" w:hAnsi="QuestaSans"/>
          <w:color w:val="000000" w:themeColor="text1"/>
          <w:sz w:val="20"/>
          <w:szCs w:val="20"/>
        </w:rPr>
      </w:pPr>
      <w:r>
        <w:rPr>
          <w:rFonts w:ascii="QuestaSans" w:hAnsi="QuestaSans"/>
          <w:b/>
          <w:bCs/>
          <w:i/>
          <w:iCs/>
          <w:color w:val="000000" w:themeColor="text1"/>
          <w:sz w:val="20"/>
          <w:szCs w:val="20"/>
        </w:rPr>
        <w:t>T</w:t>
      </w:r>
      <w:r w:rsidR="00AB688D" w:rsidRPr="00A00927">
        <w:rPr>
          <w:rFonts w:ascii="QuestaSans" w:hAnsi="QuestaSans"/>
          <w:b/>
          <w:bCs/>
          <w:i/>
          <w:iCs/>
          <w:color w:val="000000" w:themeColor="text1"/>
          <w:sz w:val="20"/>
          <w:szCs w:val="20"/>
        </w:rPr>
        <w:t>he disruption of marae tikanga</w:t>
      </w:r>
      <w:r w:rsidR="00AB688D" w:rsidRPr="00DA4F50">
        <w:rPr>
          <w:rFonts w:ascii="QuestaSans" w:hAnsi="QuestaSans"/>
          <w:i/>
          <w:iCs/>
          <w:color w:val="000000" w:themeColor="text1"/>
          <w:sz w:val="20"/>
          <w:szCs w:val="20"/>
        </w:rPr>
        <w:t xml:space="preserve"> </w:t>
      </w:r>
      <w:r w:rsidR="00AB688D" w:rsidRPr="00DA4F50">
        <w:rPr>
          <w:rFonts w:ascii="QuestaSans" w:hAnsi="QuestaSans"/>
          <w:color w:val="000000" w:themeColor="text1"/>
          <w:sz w:val="20"/>
          <w:szCs w:val="20"/>
        </w:rPr>
        <w:t xml:space="preserve">has had a lasting impact in Māori communities both in the mana or the marae, and the interrupted grieving process for whānau. </w:t>
      </w:r>
    </w:p>
    <w:p w14:paraId="7D0D0642" w14:textId="77777777" w:rsidR="002F6BC7" w:rsidRPr="00A00927" w:rsidRDefault="002F6BC7" w:rsidP="000B75B0">
      <w:pPr>
        <w:pStyle w:val="NormalWeb"/>
        <w:spacing w:before="0" w:beforeAutospacing="0" w:after="0" w:afterAutospacing="0"/>
      </w:pPr>
    </w:p>
    <w:p w14:paraId="21014AE6" w14:textId="77777777" w:rsidR="00B04197" w:rsidRDefault="00B04197" w:rsidP="00B04197">
      <w:pPr>
        <w:pStyle w:val="Heading2"/>
      </w:pPr>
      <w:r>
        <w:t>What considerations need to be taken into account when implementing the solutions?</w:t>
      </w:r>
    </w:p>
    <w:p w14:paraId="342343D6" w14:textId="49E11650" w:rsidR="00E87771" w:rsidRPr="00C84503" w:rsidRDefault="00C84503" w:rsidP="00E87771">
      <w:pPr>
        <w:rPr>
          <w:rFonts w:ascii="QuestaSans" w:hAnsi="QuestaSans"/>
          <w:color w:val="000000" w:themeColor="text1"/>
        </w:rPr>
      </w:pPr>
      <w:r>
        <w:rPr>
          <w:rFonts w:ascii="QuestaSans" w:hAnsi="QuestaSans"/>
          <w:color w:val="000000" w:themeColor="text1"/>
        </w:rPr>
        <w:t xml:space="preserve">‘Tino rangatiratanga during the COVID-19 pandemic’ </w:t>
      </w:r>
      <w:r w:rsidR="00F321C1">
        <w:rPr>
          <w:rFonts w:ascii="QuestaSans" w:hAnsi="QuestaSans"/>
          <w:color w:val="000000" w:themeColor="text1"/>
        </w:rPr>
        <w:t xml:space="preserve">research </w:t>
      </w:r>
      <w:r>
        <w:rPr>
          <w:rFonts w:ascii="QuestaSans" w:hAnsi="QuestaSans"/>
          <w:color w:val="000000" w:themeColor="text1"/>
        </w:rPr>
        <w:t xml:space="preserve">emphasises the critical role of Māori led responses, grounded in cultural principles, in addressing health inequities exacerbated by the COVID-19 pandemic. </w:t>
      </w:r>
      <w:r w:rsidRPr="00C84503">
        <w:rPr>
          <w:rFonts w:ascii="QuestaSans" w:hAnsi="QuestaSans"/>
          <w:color w:val="000000" w:themeColor="text1"/>
        </w:rPr>
        <w:t xml:space="preserve">The experiences and insights gained from Te </w:t>
      </w:r>
      <w:proofErr w:type="spellStart"/>
      <w:r w:rsidRPr="00C84503">
        <w:rPr>
          <w:rFonts w:ascii="QuestaSans" w:hAnsi="QuestaSans"/>
          <w:color w:val="000000" w:themeColor="text1"/>
        </w:rPr>
        <w:t>Apārangi</w:t>
      </w:r>
      <w:proofErr w:type="spellEnd"/>
      <w:r w:rsidRPr="00C84503">
        <w:rPr>
          <w:rFonts w:ascii="QuestaSans" w:hAnsi="QuestaSans"/>
          <w:color w:val="000000" w:themeColor="text1"/>
        </w:rPr>
        <w:t xml:space="preserve"> </w:t>
      </w:r>
      <w:proofErr w:type="spellStart"/>
      <w:r w:rsidRPr="00C84503">
        <w:rPr>
          <w:rFonts w:ascii="QuestaSans" w:hAnsi="QuestaSans"/>
          <w:color w:val="000000" w:themeColor="text1"/>
        </w:rPr>
        <w:t>Tūpore</w:t>
      </w:r>
      <w:proofErr w:type="spellEnd"/>
      <w:r w:rsidRPr="00C84503">
        <w:rPr>
          <w:rFonts w:ascii="QuestaSans" w:hAnsi="QuestaSans"/>
          <w:color w:val="000000" w:themeColor="text1"/>
        </w:rPr>
        <w:t xml:space="preserve">, along with the contributions of kaimahi and whānau Māori, can inform future pandemic planning and recovery </w:t>
      </w:r>
      <w:r>
        <w:rPr>
          <w:rFonts w:ascii="QuestaSans" w:hAnsi="QuestaSans"/>
          <w:color w:val="000000" w:themeColor="text1"/>
        </w:rPr>
        <w:t>initiatives</w:t>
      </w:r>
      <w:r w:rsidRPr="00C84503">
        <w:rPr>
          <w:rFonts w:ascii="QuestaSans" w:hAnsi="QuestaSans"/>
          <w:color w:val="000000" w:themeColor="text1"/>
        </w:rPr>
        <w:t>, underscoring the need for equitable and community-</w:t>
      </w:r>
      <w:proofErr w:type="spellStart"/>
      <w:r w:rsidRPr="00C84503">
        <w:rPr>
          <w:rFonts w:ascii="QuestaSans" w:hAnsi="QuestaSans"/>
          <w:color w:val="000000" w:themeColor="text1"/>
        </w:rPr>
        <w:t>centered</w:t>
      </w:r>
      <w:proofErr w:type="spellEnd"/>
      <w:r w:rsidRPr="00C84503">
        <w:rPr>
          <w:rFonts w:ascii="QuestaSans" w:hAnsi="QuestaSans"/>
          <w:color w:val="000000" w:themeColor="text1"/>
        </w:rPr>
        <w:t xml:space="preserve"> approaches.</w:t>
      </w:r>
      <w:r>
        <w:rPr>
          <w:rFonts w:ascii="QuestaSans" w:hAnsi="QuestaSans"/>
          <w:color w:val="000000" w:themeColor="text1"/>
        </w:rPr>
        <w:t xml:space="preserve"> Derived from </w:t>
      </w:r>
      <w:r w:rsidR="00301DE4">
        <w:rPr>
          <w:rFonts w:ascii="QuestaSans" w:hAnsi="QuestaSans"/>
          <w:color w:val="000000" w:themeColor="text1"/>
        </w:rPr>
        <w:t xml:space="preserve">the </w:t>
      </w:r>
      <w:r>
        <w:rPr>
          <w:rFonts w:ascii="QuestaSans" w:hAnsi="QuestaSans"/>
          <w:color w:val="000000" w:themeColor="text1"/>
        </w:rPr>
        <w:t xml:space="preserve">foundational, contextual and nationwide enablers and disablers </w:t>
      </w:r>
      <w:r w:rsidR="00A4005D">
        <w:rPr>
          <w:rFonts w:ascii="QuestaSans" w:hAnsi="QuestaSans"/>
          <w:color w:val="000000" w:themeColor="text1"/>
        </w:rPr>
        <w:t>identified</w:t>
      </w:r>
      <w:r w:rsidR="00301DE4">
        <w:rPr>
          <w:rFonts w:ascii="QuestaSans" w:hAnsi="QuestaSans"/>
          <w:color w:val="000000" w:themeColor="text1"/>
        </w:rPr>
        <w:t xml:space="preserve"> in this research </w:t>
      </w:r>
      <w:r>
        <w:rPr>
          <w:rFonts w:ascii="QuestaSans" w:hAnsi="QuestaSans"/>
          <w:color w:val="000000" w:themeColor="text1"/>
        </w:rPr>
        <w:t>(see section 2.3), a recommended framework</w:t>
      </w:r>
      <w:r w:rsidR="00A4005D">
        <w:rPr>
          <w:rFonts w:ascii="QuestaSans" w:hAnsi="QuestaSans"/>
          <w:color w:val="000000" w:themeColor="text1"/>
        </w:rPr>
        <w:t xml:space="preserve"> for recovery and future pandemic planning was designed. This framework highlights the key actions needed to increase enablers and decrease disablers to achieve</w:t>
      </w:r>
      <w:r w:rsidR="00A4005D" w:rsidRPr="00A4005D">
        <w:rPr>
          <w:rFonts w:ascii="QuestaSans" w:hAnsi="QuestaSans"/>
          <w:color w:val="000000" w:themeColor="text1"/>
        </w:rPr>
        <w:t xml:space="preserve"> equitable access to services embedded through kaupapa Māori practice and worldviews.  </w:t>
      </w:r>
    </w:p>
    <w:p w14:paraId="71B3B1AC" w14:textId="191587A0" w:rsidR="00DA4F50" w:rsidRPr="00CE362F" w:rsidRDefault="00013A3D" w:rsidP="00BF210E">
      <w:r>
        <w:rPr>
          <w:noProof/>
        </w:rPr>
        <w:lastRenderedPageBreak/>
        <w:drawing>
          <wp:inline distT="0" distB="0" distL="0" distR="0" wp14:anchorId="5ADC0AE4" wp14:editId="4BAA03AB">
            <wp:extent cx="4562475" cy="4662351"/>
            <wp:effectExtent l="0" t="0" r="0" b="0"/>
            <wp:docPr id="1579433007" name="Picture 2" descr="A diagram with the key actions identified to achieve equitable access to services embedded through kaupapa Māori practice and worldviews. The up arrow identifies actions to increase enablers with the down arrow identifying actions to decrease disab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33007" name="Picture 2" descr="A diagram with the key actions identified to achieve equitable access to services embedded through kaupapa Māori practice and worldviews. The up arrow identifies actions to increase enablers with the down arrow identifying actions to decrease disabler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2475" cy="4662351"/>
                    </a:xfrm>
                    <a:prstGeom prst="rect">
                      <a:avLst/>
                    </a:prstGeom>
                  </pic:spPr>
                </pic:pic>
              </a:graphicData>
            </a:graphic>
          </wp:inline>
        </w:drawing>
      </w:r>
      <w:r w:rsidR="00BF210E">
        <w:br w:type="textWrapping" w:clear="all"/>
      </w:r>
    </w:p>
    <w:sectPr w:rsidR="00DA4F50" w:rsidRPr="00CE362F" w:rsidSect="002E794E">
      <w:headerReference w:type="even" r:id="rId15"/>
      <w:headerReference w:type="default" r:id="rId16"/>
      <w:footerReference w:type="default" r:id="rId17"/>
      <w:headerReference w:type="first" r:id="rId18"/>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7B2E" w14:textId="77777777" w:rsidR="00E60740" w:rsidRDefault="00E60740" w:rsidP="009B34A8">
      <w:pPr>
        <w:spacing w:before="0" w:line="240" w:lineRule="auto"/>
      </w:pPr>
      <w:r>
        <w:separator/>
      </w:r>
    </w:p>
  </w:endnote>
  <w:endnote w:type="continuationSeparator" w:id="0">
    <w:p w14:paraId="5CA8ABE9" w14:textId="77777777" w:rsidR="00E60740" w:rsidRDefault="00E60740" w:rsidP="009B34A8">
      <w:pPr>
        <w:spacing w:before="0" w:line="240" w:lineRule="auto"/>
      </w:pPr>
      <w:r>
        <w:continuationSeparator/>
      </w:r>
    </w:p>
  </w:endnote>
  <w:endnote w:type="continuationNotice" w:id="1">
    <w:p w14:paraId="6F2D72FB" w14:textId="77777777" w:rsidR="00E60740" w:rsidRDefault="00E6074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esta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74C286F7" w:rsidR="00CE362F" w:rsidRPr="00B9660F" w:rsidRDefault="00CE362F" w:rsidP="00A230A7">
    <w:pPr>
      <w:pStyle w:val="Footer"/>
      <w:tabs>
        <w:tab w:val="right" w:pos="9355"/>
      </w:tabs>
      <w:rPr>
        <w:b/>
      </w:rPr>
    </w:pPr>
    <w:r w:rsidRPr="00B9660F">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2C0C" w14:textId="77777777" w:rsidR="00E60740" w:rsidRDefault="00E60740" w:rsidP="009B34A8">
      <w:pPr>
        <w:spacing w:before="0" w:line="240" w:lineRule="auto"/>
      </w:pPr>
      <w:r>
        <w:separator/>
      </w:r>
    </w:p>
  </w:footnote>
  <w:footnote w:type="continuationSeparator" w:id="0">
    <w:p w14:paraId="5FFFBE09" w14:textId="77777777" w:rsidR="00E60740" w:rsidRDefault="00E60740" w:rsidP="009B34A8">
      <w:pPr>
        <w:spacing w:before="0" w:line="240" w:lineRule="auto"/>
      </w:pPr>
      <w:r>
        <w:continuationSeparator/>
      </w:r>
    </w:p>
  </w:footnote>
  <w:footnote w:type="continuationNotice" w:id="1">
    <w:p w14:paraId="7EA3B8E6" w14:textId="77777777" w:rsidR="00E60740" w:rsidRDefault="00E6074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884" w14:textId="7A574742"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FD6D" w14:textId="77777777" w:rsidR="003A1F5A" w:rsidRDefault="003A1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D89" w14:textId="77777777" w:rsidR="003A1F5A" w:rsidRDefault="003A1F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60C0" w14:textId="77777777" w:rsidR="003A1F5A" w:rsidRDefault="003A1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660043"/>
    <w:multiLevelType w:val="hybridMultilevel"/>
    <w:tmpl w:val="7256D27A"/>
    <w:lvl w:ilvl="0" w:tplc="59E4FAC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E7357"/>
    <w:multiLevelType w:val="multilevel"/>
    <w:tmpl w:val="9C18BEC2"/>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AA740A"/>
    <w:multiLevelType w:val="hybridMultilevel"/>
    <w:tmpl w:val="CF48B644"/>
    <w:lvl w:ilvl="0" w:tplc="59E4FAC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DB54E90"/>
    <w:multiLevelType w:val="hybridMultilevel"/>
    <w:tmpl w:val="4F5008C0"/>
    <w:lvl w:ilvl="0" w:tplc="59E4FAC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C66594"/>
    <w:multiLevelType w:val="hybridMultilevel"/>
    <w:tmpl w:val="9216CC94"/>
    <w:lvl w:ilvl="0" w:tplc="59E4FACC">
      <w:numFmt w:val="bullet"/>
      <w:lvlText w:val="•"/>
      <w:lvlJc w:val="left"/>
      <w:pPr>
        <w:ind w:left="720" w:hanging="360"/>
      </w:pPr>
      <w:rPr>
        <w:rFonts w:ascii="Arial" w:eastAsia="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5513111">
    <w:abstractNumId w:val="4"/>
  </w:num>
  <w:num w:numId="2" w16cid:durableId="926160358">
    <w:abstractNumId w:val="3"/>
  </w:num>
  <w:num w:numId="3" w16cid:durableId="1880582387">
    <w:abstractNumId w:val="0"/>
  </w:num>
  <w:num w:numId="4" w16cid:durableId="356855304">
    <w:abstractNumId w:val="1"/>
  </w:num>
  <w:num w:numId="5" w16cid:durableId="424884893">
    <w:abstractNumId w:val="7"/>
  </w:num>
  <w:num w:numId="6" w16cid:durableId="1427313637">
    <w:abstractNumId w:val="6"/>
  </w:num>
  <w:num w:numId="7" w16cid:durableId="682895871">
    <w:abstractNumId w:val="5"/>
  </w:num>
  <w:num w:numId="8" w16cid:durableId="17349659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4AAC"/>
    <w:rsid w:val="00013A3D"/>
    <w:rsid w:val="000173F7"/>
    <w:rsid w:val="00035415"/>
    <w:rsid w:val="00046818"/>
    <w:rsid w:val="00072B1C"/>
    <w:rsid w:val="0007544C"/>
    <w:rsid w:val="00084343"/>
    <w:rsid w:val="000857DD"/>
    <w:rsid w:val="00087043"/>
    <w:rsid w:val="000A13FD"/>
    <w:rsid w:val="000A6423"/>
    <w:rsid w:val="000B0D02"/>
    <w:rsid w:val="000B1167"/>
    <w:rsid w:val="000B4B15"/>
    <w:rsid w:val="000B57D8"/>
    <w:rsid w:val="000B75B0"/>
    <w:rsid w:val="000C3AA1"/>
    <w:rsid w:val="000C4D40"/>
    <w:rsid w:val="000D0B1F"/>
    <w:rsid w:val="000E6069"/>
    <w:rsid w:val="000F2B9A"/>
    <w:rsid w:val="000F4344"/>
    <w:rsid w:val="00107852"/>
    <w:rsid w:val="0011067C"/>
    <w:rsid w:val="001111CC"/>
    <w:rsid w:val="00120CDF"/>
    <w:rsid w:val="00127924"/>
    <w:rsid w:val="00130B5D"/>
    <w:rsid w:val="00131EAD"/>
    <w:rsid w:val="00141262"/>
    <w:rsid w:val="00142408"/>
    <w:rsid w:val="001541ED"/>
    <w:rsid w:val="00162191"/>
    <w:rsid w:val="00162A5C"/>
    <w:rsid w:val="001660D0"/>
    <w:rsid w:val="00171228"/>
    <w:rsid w:val="001866C6"/>
    <w:rsid w:val="001873B2"/>
    <w:rsid w:val="00187511"/>
    <w:rsid w:val="00187DB2"/>
    <w:rsid w:val="00190754"/>
    <w:rsid w:val="001A07D9"/>
    <w:rsid w:val="001A358B"/>
    <w:rsid w:val="001B0E9B"/>
    <w:rsid w:val="001B5229"/>
    <w:rsid w:val="001C2362"/>
    <w:rsid w:val="001C47FF"/>
    <w:rsid w:val="001C4C6B"/>
    <w:rsid w:val="001D2D44"/>
    <w:rsid w:val="001D3DA8"/>
    <w:rsid w:val="001D5C30"/>
    <w:rsid w:val="001E01CD"/>
    <w:rsid w:val="001E5E84"/>
    <w:rsid w:val="001E6AE3"/>
    <w:rsid w:val="001F02F3"/>
    <w:rsid w:val="001F1BA1"/>
    <w:rsid w:val="002026F6"/>
    <w:rsid w:val="00215438"/>
    <w:rsid w:val="00215471"/>
    <w:rsid w:val="00222738"/>
    <w:rsid w:val="00222E9C"/>
    <w:rsid w:val="0022615E"/>
    <w:rsid w:val="00231415"/>
    <w:rsid w:val="002318F8"/>
    <w:rsid w:val="00236935"/>
    <w:rsid w:val="00255925"/>
    <w:rsid w:val="00270352"/>
    <w:rsid w:val="00270545"/>
    <w:rsid w:val="002713D7"/>
    <w:rsid w:val="00277462"/>
    <w:rsid w:val="002838FC"/>
    <w:rsid w:val="00286D66"/>
    <w:rsid w:val="002A0081"/>
    <w:rsid w:val="002A0148"/>
    <w:rsid w:val="002A0B5C"/>
    <w:rsid w:val="002A7847"/>
    <w:rsid w:val="002B1C37"/>
    <w:rsid w:val="002C3191"/>
    <w:rsid w:val="002C6DB1"/>
    <w:rsid w:val="002D50CD"/>
    <w:rsid w:val="002D520D"/>
    <w:rsid w:val="002D530F"/>
    <w:rsid w:val="002D75B9"/>
    <w:rsid w:val="002E3370"/>
    <w:rsid w:val="002E5766"/>
    <w:rsid w:val="002E6619"/>
    <w:rsid w:val="002E794E"/>
    <w:rsid w:val="002F57C3"/>
    <w:rsid w:val="002F6BC7"/>
    <w:rsid w:val="00301DE4"/>
    <w:rsid w:val="00302AF6"/>
    <w:rsid w:val="003053C8"/>
    <w:rsid w:val="0031278D"/>
    <w:rsid w:val="00324130"/>
    <w:rsid w:val="00325FCC"/>
    <w:rsid w:val="003275A9"/>
    <w:rsid w:val="0033066E"/>
    <w:rsid w:val="0033250B"/>
    <w:rsid w:val="0033309E"/>
    <w:rsid w:val="00336FBC"/>
    <w:rsid w:val="00337229"/>
    <w:rsid w:val="003373B1"/>
    <w:rsid w:val="00344644"/>
    <w:rsid w:val="003471AE"/>
    <w:rsid w:val="0035018C"/>
    <w:rsid w:val="00354898"/>
    <w:rsid w:val="00355FCB"/>
    <w:rsid w:val="003569B7"/>
    <w:rsid w:val="003634EC"/>
    <w:rsid w:val="00363D85"/>
    <w:rsid w:val="00370B34"/>
    <w:rsid w:val="003743F5"/>
    <w:rsid w:val="00374E87"/>
    <w:rsid w:val="003757FE"/>
    <w:rsid w:val="00383310"/>
    <w:rsid w:val="00385446"/>
    <w:rsid w:val="00386942"/>
    <w:rsid w:val="003A1F5A"/>
    <w:rsid w:val="003A2E66"/>
    <w:rsid w:val="003B3C62"/>
    <w:rsid w:val="003C4828"/>
    <w:rsid w:val="003D3836"/>
    <w:rsid w:val="003D38BC"/>
    <w:rsid w:val="003D4B44"/>
    <w:rsid w:val="003E7D18"/>
    <w:rsid w:val="003F17B2"/>
    <w:rsid w:val="003F2859"/>
    <w:rsid w:val="004040B3"/>
    <w:rsid w:val="00404174"/>
    <w:rsid w:val="00406AA2"/>
    <w:rsid w:val="00406F34"/>
    <w:rsid w:val="00410B69"/>
    <w:rsid w:val="00426787"/>
    <w:rsid w:val="00431FDF"/>
    <w:rsid w:val="004361E1"/>
    <w:rsid w:val="00442858"/>
    <w:rsid w:val="004454B0"/>
    <w:rsid w:val="00454E7A"/>
    <w:rsid w:val="00455423"/>
    <w:rsid w:val="004621CD"/>
    <w:rsid w:val="00463D68"/>
    <w:rsid w:val="00465BC4"/>
    <w:rsid w:val="004706AA"/>
    <w:rsid w:val="00477EA9"/>
    <w:rsid w:val="00480A96"/>
    <w:rsid w:val="00481425"/>
    <w:rsid w:val="00481D81"/>
    <w:rsid w:val="0049311E"/>
    <w:rsid w:val="0049511E"/>
    <w:rsid w:val="004A2390"/>
    <w:rsid w:val="004A283E"/>
    <w:rsid w:val="004B3DE3"/>
    <w:rsid w:val="004B3E60"/>
    <w:rsid w:val="004B4579"/>
    <w:rsid w:val="004C7B82"/>
    <w:rsid w:val="004E3959"/>
    <w:rsid w:val="004F650C"/>
    <w:rsid w:val="00507EDA"/>
    <w:rsid w:val="00513078"/>
    <w:rsid w:val="00514447"/>
    <w:rsid w:val="00530DBA"/>
    <w:rsid w:val="00533D11"/>
    <w:rsid w:val="005449C8"/>
    <w:rsid w:val="00544BED"/>
    <w:rsid w:val="00556887"/>
    <w:rsid w:val="00562A76"/>
    <w:rsid w:val="00570004"/>
    <w:rsid w:val="00593E39"/>
    <w:rsid w:val="00595F7F"/>
    <w:rsid w:val="005B2EFE"/>
    <w:rsid w:val="005D0392"/>
    <w:rsid w:val="005E5522"/>
    <w:rsid w:val="005E5649"/>
    <w:rsid w:val="005E5E96"/>
    <w:rsid w:val="005F26E3"/>
    <w:rsid w:val="005F4BA6"/>
    <w:rsid w:val="0061700E"/>
    <w:rsid w:val="006248DB"/>
    <w:rsid w:val="00624A7B"/>
    <w:rsid w:val="00636BF9"/>
    <w:rsid w:val="00643502"/>
    <w:rsid w:val="00644276"/>
    <w:rsid w:val="006479D7"/>
    <w:rsid w:val="0066610F"/>
    <w:rsid w:val="00680544"/>
    <w:rsid w:val="006A6F74"/>
    <w:rsid w:val="006C168D"/>
    <w:rsid w:val="006C3142"/>
    <w:rsid w:val="006C5CD5"/>
    <w:rsid w:val="006D794E"/>
    <w:rsid w:val="006E17A9"/>
    <w:rsid w:val="006E3E99"/>
    <w:rsid w:val="006E7E46"/>
    <w:rsid w:val="006F1E57"/>
    <w:rsid w:val="006F4720"/>
    <w:rsid w:val="006F7984"/>
    <w:rsid w:val="00702439"/>
    <w:rsid w:val="0070404A"/>
    <w:rsid w:val="007056C9"/>
    <w:rsid w:val="00715E37"/>
    <w:rsid w:val="00717871"/>
    <w:rsid w:val="00717895"/>
    <w:rsid w:val="00732EC9"/>
    <w:rsid w:val="007358F1"/>
    <w:rsid w:val="00737C56"/>
    <w:rsid w:val="00751E10"/>
    <w:rsid w:val="00753C46"/>
    <w:rsid w:val="00760258"/>
    <w:rsid w:val="00775D48"/>
    <w:rsid w:val="007778FA"/>
    <w:rsid w:val="00777B29"/>
    <w:rsid w:val="00781A58"/>
    <w:rsid w:val="00785553"/>
    <w:rsid w:val="00786809"/>
    <w:rsid w:val="007A1B20"/>
    <w:rsid w:val="007A50DF"/>
    <w:rsid w:val="007A5E42"/>
    <w:rsid w:val="007B04A8"/>
    <w:rsid w:val="007B1F27"/>
    <w:rsid w:val="007B3589"/>
    <w:rsid w:val="007B4C80"/>
    <w:rsid w:val="007B7AE8"/>
    <w:rsid w:val="007C0090"/>
    <w:rsid w:val="007C324E"/>
    <w:rsid w:val="007D14EB"/>
    <w:rsid w:val="007D23E2"/>
    <w:rsid w:val="007D429B"/>
    <w:rsid w:val="007E0746"/>
    <w:rsid w:val="007E3659"/>
    <w:rsid w:val="007F1011"/>
    <w:rsid w:val="007F3D1C"/>
    <w:rsid w:val="007F401D"/>
    <w:rsid w:val="0080618B"/>
    <w:rsid w:val="0081434F"/>
    <w:rsid w:val="008156FD"/>
    <w:rsid w:val="00817D11"/>
    <w:rsid w:val="00817DB4"/>
    <w:rsid w:val="00825426"/>
    <w:rsid w:val="00827706"/>
    <w:rsid w:val="008343AF"/>
    <w:rsid w:val="00837E13"/>
    <w:rsid w:val="00840947"/>
    <w:rsid w:val="00842DBE"/>
    <w:rsid w:val="00844EC6"/>
    <w:rsid w:val="0085243C"/>
    <w:rsid w:val="00865BFF"/>
    <w:rsid w:val="00883C78"/>
    <w:rsid w:val="00891F76"/>
    <w:rsid w:val="0089717C"/>
    <w:rsid w:val="008A1C8A"/>
    <w:rsid w:val="008B1580"/>
    <w:rsid w:val="008B1AD9"/>
    <w:rsid w:val="008C0347"/>
    <w:rsid w:val="008D1FBA"/>
    <w:rsid w:val="008D30E4"/>
    <w:rsid w:val="008D3218"/>
    <w:rsid w:val="008D708A"/>
    <w:rsid w:val="008E5C5E"/>
    <w:rsid w:val="008F4D7B"/>
    <w:rsid w:val="008F5371"/>
    <w:rsid w:val="008F6A51"/>
    <w:rsid w:val="00902173"/>
    <w:rsid w:val="00904C5A"/>
    <w:rsid w:val="00912331"/>
    <w:rsid w:val="0091580F"/>
    <w:rsid w:val="009249CB"/>
    <w:rsid w:val="00925B48"/>
    <w:rsid w:val="00934AC4"/>
    <w:rsid w:val="00936D1A"/>
    <w:rsid w:val="00942478"/>
    <w:rsid w:val="00945214"/>
    <w:rsid w:val="00945652"/>
    <w:rsid w:val="00950ED4"/>
    <w:rsid w:val="00956C31"/>
    <w:rsid w:val="00973A1E"/>
    <w:rsid w:val="009760A3"/>
    <w:rsid w:val="009815E2"/>
    <w:rsid w:val="00987367"/>
    <w:rsid w:val="009B0B90"/>
    <w:rsid w:val="009B0D55"/>
    <w:rsid w:val="009B244F"/>
    <w:rsid w:val="009B3258"/>
    <w:rsid w:val="009B34A8"/>
    <w:rsid w:val="009C03D8"/>
    <w:rsid w:val="009C4807"/>
    <w:rsid w:val="009C5CC4"/>
    <w:rsid w:val="009C5CFE"/>
    <w:rsid w:val="009D2A3E"/>
    <w:rsid w:val="009E6829"/>
    <w:rsid w:val="009E7B2B"/>
    <w:rsid w:val="00A00927"/>
    <w:rsid w:val="00A16773"/>
    <w:rsid w:val="00A2141D"/>
    <w:rsid w:val="00A21EFA"/>
    <w:rsid w:val="00A230A7"/>
    <w:rsid w:val="00A244A3"/>
    <w:rsid w:val="00A2508B"/>
    <w:rsid w:val="00A4005D"/>
    <w:rsid w:val="00A40433"/>
    <w:rsid w:val="00A47EA4"/>
    <w:rsid w:val="00A53E5D"/>
    <w:rsid w:val="00A65A6D"/>
    <w:rsid w:val="00A90057"/>
    <w:rsid w:val="00A903C8"/>
    <w:rsid w:val="00A9131C"/>
    <w:rsid w:val="00AB046B"/>
    <w:rsid w:val="00AB1EAA"/>
    <w:rsid w:val="00AB688D"/>
    <w:rsid w:val="00AC00BF"/>
    <w:rsid w:val="00AC307B"/>
    <w:rsid w:val="00AC57F4"/>
    <w:rsid w:val="00AD2BA8"/>
    <w:rsid w:val="00AE62DA"/>
    <w:rsid w:val="00AF17EF"/>
    <w:rsid w:val="00AF79D8"/>
    <w:rsid w:val="00AF7FE5"/>
    <w:rsid w:val="00B01F25"/>
    <w:rsid w:val="00B01F4F"/>
    <w:rsid w:val="00B04197"/>
    <w:rsid w:val="00B43DDE"/>
    <w:rsid w:val="00B44310"/>
    <w:rsid w:val="00B54E4C"/>
    <w:rsid w:val="00B54E7A"/>
    <w:rsid w:val="00B6063B"/>
    <w:rsid w:val="00B66EC9"/>
    <w:rsid w:val="00B76E4F"/>
    <w:rsid w:val="00B77BCA"/>
    <w:rsid w:val="00B81D61"/>
    <w:rsid w:val="00B951A8"/>
    <w:rsid w:val="00BB0C74"/>
    <w:rsid w:val="00BB0F4E"/>
    <w:rsid w:val="00BB2778"/>
    <w:rsid w:val="00BB79FA"/>
    <w:rsid w:val="00BD3759"/>
    <w:rsid w:val="00BE152F"/>
    <w:rsid w:val="00BF210E"/>
    <w:rsid w:val="00C01DE8"/>
    <w:rsid w:val="00C02C9D"/>
    <w:rsid w:val="00C04C9F"/>
    <w:rsid w:val="00C05D0E"/>
    <w:rsid w:val="00C1181D"/>
    <w:rsid w:val="00C131E9"/>
    <w:rsid w:val="00C16350"/>
    <w:rsid w:val="00C17119"/>
    <w:rsid w:val="00C22CD9"/>
    <w:rsid w:val="00C30065"/>
    <w:rsid w:val="00C32FC4"/>
    <w:rsid w:val="00C373F6"/>
    <w:rsid w:val="00C4304C"/>
    <w:rsid w:val="00C43429"/>
    <w:rsid w:val="00C54B30"/>
    <w:rsid w:val="00C56C92"/>
    <w:rsid w:val="00C619E1"/>
    <w:rsid w:val="00C71A84"/>
    <w:rsid w:val="00C74364"/>
    <w:rsid w:val="00C829F1"/>
    <w:rsid w:val="00C8445F"/>
    <w:rsid w:val="00C84503"/>
    <w:rsid w:val="00CB1CEB"/>
    <w:rsid w:val="00CB3A0C"/>
    <w:rsid w:val="00CB43CA"/>
    <w:rsid w:val="00CC0A17"/>
    <w:rsid w:val="00CC26C9"/>
    <w:rsid w:val="00CC26FF"/>
    <w:rsid w:val="00CC383D"/>
    <w:rsid w:val="00CD30FD"/>
    <w:rsid w:val="00CD5A92"/>
    <w:rsid w:val="00CE362F"/>
    <w:rsid w:val="00CE40AF"/>
    <w:rsid w:val="00CF35D7"/>
    <w:rsid w:val="00CF551A"/>
    <w:rsid w:val="00CF5E1C"/>
    <w:rsid w:val="00CF7058"/>
    <w:rsid w:val="00D06437"/>
    <w:rsid w:val="00D074B0"/>
    <w:rsid w:val="00D217EA"/>
    <w:rsid w:val="00D24AD6"/>
    <w:rsid w:val="00D27625"/>
    <w:rsid w:val="00D35D1B"/>
    <w:rsid w:val="00D5264F"/>
    <w:rsid w:val="00D53A7B"/>
    <w:rsid w:val="00D555C8"/>
    <w:rsid w:val="00D55865"/>
    <w:rsid w:val="00D6169C"/>
    <w:rsid w:val="00D6591B"/>
    <w:rsid w:val="00D82959"/>
    <w:rsid w:val="00D846D8"/>
    <w:rsid w:val="00D862DA"/>
    <w:rsid w:val="00D87038"/>
    <w:rsid w:val="00D9046F"/>
    <w:rsid w:val="00D92108"/>
    <w:rsid w:val="00D92879"/>
    <w:rsid w:val="00DA35C4"/>
    <w:rsid w:val="00DA4F50"/>
    <w:rsid w:val="00DA5D31"/>
    <w:rsid w:val="00DA6C6B"/>
    <w:rsid w:val="00DB09DC"/>
    <w:rsid w:val="00DB6004"/>
    <w:rsid w:val="00DC41C4"/>
    <w:rsid w:val="00DC5A1D"/>
    <w:rsid w:val="00DC5AC4"/>
    <w:rsid w:val="00DD1A7A"/>
    <w:rsid w:val="00DF5B99"/>
    <w:rsid w:val="00E07BC6"/>
    <w:rsid w:val="00E215EA"/>
    <w:rsid w:val="00E24F63"/>
    <w:rsid w:val="00E27E12"/>
    <w:rsid w:val="00E302BD"/>
    <w:rsid w:val="00E35C36"/>
    <w:rsid w:val="00E41BBC"/>
    <w:rsid w:val="00E4203E"/>
    <w:rsid w:val="00E42614"/>
    <w:rsid w:val="00E4267D"/>
    <w:rsid w:val="00E54279"/>
    <w:rsid w:val="00E5434C"/>
    <w:rsid w:val="00E60740"/>
    <w:rsid w:val="00E72C9E"/>
    <w:rsid w:val="00E72D54"/>
    <w:rsid w:val="00E76854"/>
    <w:rsid w:val="00E76F63"/>
    <w:rsid w:val="00E80345"/>
    <w:rsid w:val="00E8493C"/>
    <w:rsid w:val="00E87771"/>
    <w:rsid w:val="00E91ED2"/>
    <w:rsid w:val="00E953C3"/>
    <w:rsid w:val="00E95C1D"/>
    <w:rsid w:val="00EA059D"/>
    <w:rsid w:val="00EB4FC3"/>
    <w:rsid w:val="00EC47A9"/>
    <w:rsid w:val="00ED0C2C"/>
    <w:rsid w:val="00EE10DA"/>
    <w:rsid w:val="00EE77C9"/>
    <w:rsid w:val="00F012E9"/>
    <w:rsid w:val="00F05847"/>
    <w:rsid w:val="00F321C1"/>
    <w:rsid w:val="00F32CEC"/>
    <w:rsid w:val="00F369EF"/>
    <w:rsid w:val="00F36E94"/>
    <w:rsid w:val="00F409E5"/>
    <w:rsid w:val="00F47EE5"/>
    <w:rsid w:val="00F53C52"/>
    <w:rsid w:val="00F55C4A"/>
    <w:rsid w:val="00F659EE"/>
    <w:rsid w:val="00F86943"/>
    <w:rsid w:val="00F94476"/>
    <w:rsid w:val="00F94FAB"/>
    <w:rsid w:val="00FA5F1D"/>
    <w:rsid w:val="00FB078F"/>
    <w:rsid w:val="00FC4C40"/>
    <w:rsid w:val="00FE0C32"/>
    <w:rsid w:val="00FF301C"/>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2F6BC7"/>
    <w:pPr>
      <w:keepNext/>
      <w:numPr>
        <w:ilvl w:val="1"/>
        <w:numId w:val="1"/>
      </w:numPr>
      <w:spacing w:before="120" w:after="120" w:line="240" w:lineRule="auto"/>
      <w:ind w:left="851"/>
      <w:jc w:val="both"/>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BC7"/>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2"/>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3"/>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4"/>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AB68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5962">
      <w:bodyDiv w:val="1"/>
      <w:marLeft w:val="0"/>
      <w:marRight w:val="0"/>
      <w:marTop w:val="0"/>
      <w:marBottom w:val="0"/>
      <w:divBdr>
        <w:top w:val="none" w:sz="0" w:space="0" w:color="auto"/>
        <w:left w:val="none" w:sz="0" w:space="0" w:color="auto"/>
        <w:bottom w:val="none" w:sz="0" w:space="0" w:color="auto"/>
        <w:right w:val="none" w:sz="0" w:space="0" w:color="auto"/>
      </w:divBdr>
      <w:divsChild>
        <w:div w:id="1643732185">
          <w:marLeft w:val="0"/>
          <w:marRight w:val="0"/>
          <w:marTop w:val="0"/>
          <w:marBottom w:val="0"/>
          <w:divBdr>
            <w:top w:val="none" w:sz="0" w:space="0" w:color="auto"/>
            <w:left w:val="none" w:sz="0" w:space="0" w:color="auto"/>
            <w:bottom w:val="none" w:sz="0" w:space="0" w:color="auto"/>
            <w:right w:val="none" w:sz="0" w:space="0" w:color="auto"/>
          </w:divBdr>
          <w:divsChild>
            <w:div w:id="1953825451">
              <w:marLeft w:val="0"/>
              <w:marRight w:val="0"/>
              <w:marTop w:val="0"/>
              <w:marBottom w:val="0"/>
              <w:divBdr>
                <w:top w:val="none" w:sz="0" w:space="0" w:color="auto"/>
                <w:left w:val="none" w:sz="0" w:space="0" w:color="auto"/>
                <w:bottom w:val="none" w:sz="0" w:space="0" w:color="auto"/>
                <w:right w:val="none" w:sz="0" w:space="0" w:color="auto"/>
              </w:divBdr>
              <w:divsChild>
                <w:div w:id="1644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2358">
      <w:bodyDiv w:val="1"/>
      <w:marLeft w:val="0"/>
      <w:marRight w:val="0"/>
      <w:marTop w:val="0"/>
      <w:marBottom w:val="0"/>
      <w:divBdr>
        <w:top w:val="none" w:sz="0" w:space="0" w:color="auto"/>
        <w:left w:val="none" w:sz="0" w:space="0" w:color="auto"/>
        <w:bottom w:val="none" w:sz="0" w:space="0" w:color="auto"/>
        <w:right w:val="none" w:sz="0" w:space="0" w:color="auto"/>
      </w:divBdr>
      <w:divsChild>
        <w:div w:id="287856406">
          <w:marLeft w:val="0"/>
          <w:marRight w:val="0"/>
          <w:marTop w:val="0"/>
          <w:marBottom w:val="0"/>
          <w:divBdr>
            <w:top w:val="none" w:sz="0" w:space="0" w:color="auto"/>
            <w:left w:val="none" w:sz="0" w:space="0" w:color="auto"/>
            <w:bottom w:val="none" w:sz="0" w:space="0" w:color="auto"/>
            <w:right w:val="none" w:sz="0" w:space="0" w:color="auto"/>
          </w:divBdr>
          <w:divsChild>
            <w:div w:id="1440098385">
              <w:marLeft w:val="0"/>
              <w:marRight w:val="0"/>
              <w:marTop w:val="0"/>
              <w:marBottom w:val="0"/>
              <w:divBdr>
                <w:top w:val="none" w:sz="0" w:space="0" w:color="auto"/>
                <w:left w:val="none" w:sz="0" w:space="0" w:color="auto"/>
                <w:bottom w:val="none" w:sz="0" w:space="0" w:color="auto"/>
                <w:right w:val="none" w:sz="0" w:space="0" w:color="auto"/>
              </w:divBdr>
              <w:divsChild>
                <w:div w:id="678853082">
                  <w:marLeft w:val="0"/>
                  <w:marRight w:val="0"/>
                  <w:marTop w:val="0"/>
                  <w:marBottom w:val="0"/>
                  <w:divBdr>
                    <w:top w:val="none" w:sz="0" w:space="0" w:color="auto"/>
                    <w:left w:val="none" w:sz="0" w:space="0" w:color="auto"/>
                    <w:bottom w:val="none" w:sz="0" w:space="0" w:color="auto"/>
                    <w:right w:val="none" w:sz="0" w:space="0" w:color="auto"/>
                  </w:divBdr>
                </w:div>
              </w:divsChild>
            </w:div>
            <w:div w:id="21250843">
              <w:marLeft w:val="0"/>
              <w:marRight w:val="0"/>
              <w:marTop w:val="0"/>
              <w:marBottom w:val="0"/>
              <w:divBdr>
                <w:top w:val="none" w:sz="0" w:space="0" w:color="auto"/>
                <w:left w:val="none" w:sz="0" w:space="0" w:color="auto"/>
                <w:bottom w:val="none" w:sz="0" w:space="0" w:color="auto"/>
                <w:right w:val="none" w:sz="0" w:space="0" w:color="auto"/>
              </w:divBdr>
              <w:divsChild>
                <w:div w:id="10663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7817">
          <w:marLeft w:val="0"/>
          <w:marRight w:val="0"/>
          <w:marTop w:val="0"/>
          <w:marBottom w:val="0"/>
          <w:divBdr>
            <w:top w:val="none" w:sz="0" w:space="0" w:color="auto"/>
            <w:left w:val="none" w:sz="0" w:space="0" w:color="auto"/>
            <w:bottom w:val="none" w:sz="0" w:space="0" w:color="auto"/>
            <w:right w:val="none" w:sz="0" w:space="0" w:color="auto"/>
          </w:divBdr>
          <w:divsChild>
            <w:div w:id="1638533649">
              <w:marLeft w:val="0"/>
              <w:marRight w:val="0"/>
              <w:marTop w:val="0"/>
              <w:marBottom w:val="0"/>
              <w:divBdr>
                <w:top w:val="none" w:sz="0" w:space="0" w:color="auto"/>
                <w:left w:val="none" w:sz="0" w:space="0" w:color="auto"/>
                <w:bottom w:val="none" w:sz="0" w:space="0" w:color="auto"/>
                <w:right w:val="none" w:sz="0" w:space="0" w:color="auto"/>
              </w:divBdr>
              <w:divsChild>
                <w:div w:id="6087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939">
      <w:bodyDiv w:val="1"/>
      <w:marLeft w:val="0"/>
      <w:marRight w:val="0"/>
      <w:marTop w:val="0"/>
      <w:marBottom w:val="0"/>
      <w:divBdr>
        <w:top w:val="none" w:sz="0" w:space="0" w:color="auto"/>
        <w:left w:val="none" w:sz="0" w:space="0" w:color="auto"/>
        <w:bottom w:val="none" w:sz="0" w:space="0" w:color="auto"/>
        <w:right w:val="none" w:sz="0" w:space="0" w:color="auto"/>
      </w:divBdr>
      <w:divsChild>
        <w:div w:id="2062903201">
          <w:marLeft w:val="0"/>
          <w:marRight w:val="0"/>
          <w:marTop w:val="0"/>
          <w:marBottom w:val="0"/>
          <w:divBdr>
            <w:top w:val="none" w:sz="0" w:space="0" w:color="auto"/>
            <w:left w:val="none" w:sz="0" w:space="0" w:color="auto"/>
            <w:bottom w:val="none" w:sz="0" w:space="0" w:color="auto"/>
            <w:right w:val="none" w:sz="0" w:space="0" w:color="auto"/>
          </w:divBdr>
          <w:divsChild>
            <w:div w:id="1414549689">
              <w:marLeft w:val="0"/>
              <w:marRight w:val="0"/>
              <w:marTop w:val="0"/>
              <w:marBottom w:val="0"/>
              <w:divBdr>
                <w:top w:val="none" w:sz="0" w:space="0" w:color="auto"/>
                <w:left w:val="none" w:sz="0" w:space="0" w:color="auto"/>
                <w:bottom w:val="none" w:sz="0" w:space="0" w:color="auto"/>
                <w:right w:val="none" w:sz="0" w:space="0" w:color="auto"/>
              </w:divBdr>
              <w:divsChild>
                <w:div w:id="18909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3813">
      <w:bodyDiv w:val="1"/>
      <w:marLeft w:val="0"/>
      <w:marRight w:val="0"/>
      <w:marTop w:val="0"/>
      <w:marBottom w:val="0"/>
      <w:divBdr>
        <w:top w:val="none" w:sz="0" w:space="0" w:color="auto"/>
        <w:left w:val="none" w:sz="0" w:space="0" w:color="auto"/>
        <w:bottom w:val="none" w:sz="0" w:space="0" w:color="auto"/>
        <w:right w:val="none" w:sz="0" w:space="0" w:color="auto"/>
      </w:divBdr>
      <w:divsChild>
        <w:div w:id="1178499255">
          <w:marLeft w:val="0"/>
          <w:marRight w:val="0"/>
          <w:marTop w:val="0"/>
          <w:marBottom w:val="0"/>
          <w:divBdr>
            <w:top w:val="none" w:sz="0" w:space="0" w:color="auto"/>
            <w:left w:val="none" w:sz="0" w:space="0" w:color="auto"/>
            <w:bottom w:val="none" w:sz="0" w:space="0" w:color="auto"/>
            <w:right w:val="none" w:sz="0" w:space="0" w:color="auto"/>
          </w:divBdr>
          <w:divsChild>
            <w:div w:id="1946763517">
              <w:marLeft w:val="0"/>
              <w:marRight w:val="0"/>
              <w:marTop w:val="0"/>
              <w:marBottom w:val="0"/>
              <w:divBdr>
                <w:top w:val="none" w:sz="0" w:space="0" w:color="auto"/>
                <w:left w:val="none" w:sz="0" w:space="0" w:color="auto"/>
                <w:bottom w:val="none" w:sz="0" w:space="0" w:color="auto"/>
                <w:right w:val="none" w:sz="0" w:space="0" w:color="auto"/>
              </w:divBdr>
              <w:divsChild>
                <w:div w:id="504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4158">
      <w:bodyDiv w:val="1"/>
      <w:marLeft w:val="0"/>
      <w:marRight w:val="0"/>
      <w:marTop w:val="0"/>
      <w:marBottom w:val="0"/>
      <w:divBdr>
        <w:top w:val="none" w:sz="0" w:space="0" w:color="auto"/>
        <w:left w:val="none" w:sz="0" w:space="0" w:color="auto"/>
        <w:bottom w:val="none" w:sz="0" w:space="0" w:color="auto"/>
        <w:right w:val="none" w:sz="0" w:space="0" w:color="auto"/>
      </w:divBdr>
      <w:divsChild>
        <w:div w:id="701248750">
          <w:marLeft w:val="0"/>
          <w:marRight w:val="0"/>
          <w:marTop w:val="0"/>
          <w:marBottom w:val="0"/>
          <w:divBdr>
            <w:top w:val="none" w:sz="0" w:space="0" w:color="auto"/>
            <w:left w:val="none" w:sz="0" w:space="0" w:color="auto"/>
            <w:bottom w:val="none" w:sz="0" w:space="0" w:color="auto"/>
            <w:right w:val="none" w:sz="0" w:space="0" w:color="auto"/>
          </w:divBdr>
          <w:divsChild>
            <w:div w:id="120224260">
              <w:marLeft w:val="0"/>
              <w:marRight w:val="0"/>
              <w:marTop w:val="0"/>
              <w:marBottom w:val="0"/>
              <w:divBdr>
                <w:top w:val="none" w:sz="0" w:space="0" w:color="auto"/>
                <w:left w:val="none" w:sz="0" w:space="0" w:color="auto"/>
                <w:bottom w:val="none" w:sz="0" w:space="0" w:color="auto"/>
                <w:right w:val="none" w:sz="0" w:space="0" w:color="auto"/>
              </w:divBdr>
              <w:divsChild>
                <w:div w:id="5411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735932223">
      <w:bodyDiv w:val="1"/>
      <w:marLeft w:val="0"/>
      <w:marRight w:val="0"/>
      <w:marTop w:val="0"/>
      <w:marBottom w:val="0"/>
      <w:divBdr>
        <w:top w:val="none" w:sz="0" w:space="0" w:color="auto"/>
        <w:left w:val="none" w:sz="0" w:space="0" w:color="auto"/>
        <w:bottom w:val="none" w:sz="0" w:space="0" w:color="auto"/>
        <w:right w:val="none" w:sz="0" w:space="0" w:color="auto"/>
      </w:divBdr>
      <w:divsChild>
        <w:div w:id="2049451522">
          <w:marLeft w:val="0"/>
          <w:marRight w:val="0"/>
          <w:marTop w:val="0"/>
          <w:marBottom w:val="0"/>
          <w:divBdr>
            <w:top w:val="none" w:sz="0" w:space="0" w:color="auto"/>
            <w:left w:val="none" w:sz="0" w:space="0" w:color="auto"/>
            <w:bottom w:val="none" w:sz="0" w:space="0" w:color="auto"/>
            <w:right w:val="none" w:sz="0" w:space="0" w:color="auto"/>
          </w:divBdr>
          <w:divsChild>
            <w:div w:id="680158291">
              <w:marLeft w:val="0"/>
              <w:marRight w:val="0"/>
              <w:marTop w:val="0"/>
              <w:marBottom w:val="0"/>
              <w:divBdr>
                <w:top w:val="none" w:sz="0" w:space="0" w:color="auto"/>
                <w:left w:val="none" w:sz="0" w:space="0" w:color="auto"/>
                <w:bottom w:val="none" w:sz="0" w:space="0" w:color="auto"/>
                <w:right w:val="none" w:sz="0" w:space="0" w:color="auto"/>
              </w:divBdr>
              <w:divsChild>
                <w:div w:id="9177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1421">
      <w:bodyDiv w:val="1"/>
      <w:marLeft w:val="0"/>
      <w:marRight w:val="0"/>
      <w:marTop w:val="0"/>
      <w:marBottom w:val="0"/>
      <w:divBdr>
        <w:top w:val="none" w:sz="0" w:space="0" w:color="auto"/>
        <w:left w:val="none" w:sz="0" w:space="0" w:color="auto"/>
        <w:bottom w:val="none" w:sz="0" w:space="0" w:color="auto"/>
        <w:right w:val="none" w:sz="0" w:space="0" w:color="auto"/>
      </w:divBdr>
      <w:divsChild>
        <w:div w:id="266626023">
          <w:marLeft w:val="0"/>
          <w:marRight w:val="0"/>
          <w:marTop w:val="0"/>
          <w:marBottom w:val="0"/>
          <w:divBdr>
            <w:top w:val="none" w:sz="0" w:space="0" w:color="auto"/>
            <w:left w:val="none" w:sz="0" w:space="0" w:color="auto"/>
            <w:bottom w:val="none" w:sz="0" w:space="0" w:color="auto"/>
            <w:right w:val="none" w:sz="0" w:space="0" w:color="auto"/>
          </w:divBdr>
          <w:divsChild>
            <w:div w:id="1317341085">
              <w:marLeft w:val="0"/>
              <w:marRight w:val="0"/>
              <w:marTop w:val="0"/>
              <w:marBottom w:val="0"/>
              <w:divBdr>
                <w:top w:val="none" w:sz="0" w:space="0" w:color="auto"/>
                <w:left w:val="none" w:sz="0" w:space="0" w:color="auto"/>
                <w:bottom w:val="none" w:sz="0" w:space="0" w:color="auto"/>
                <w:right w:val="none" w:sz="0" w:space="0" w:color="auto"/>
              </w:divBdr>
              <w:divsChild>
                <w:div w:id="1053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11624">
      <w:bodyDiv w:val="1"/>
      <w:marLeft w:val="0"/>
      <w:marRight w:val="0"/>
      <w:marTop w:val="0"/>
      <w:marBottom w:val="0"/>
      <w:divBdr>
        <w:top w:val="none" w:sz="0" w:space="0" w:color="auto"/>
        <w:left w:val="none" w:sz="0" w:space="0" w:color="auto"/>
        <w:bottom w:val="none" w:sz="0" w:space="0" w:color="auto"/>
        <w:right w:val="none" w:sz="0" w:space="0" w:color="auto"/>
      </w:divBdr>
      <w:divsChild>
        <w:div w:id="258951565">
          <w:marLeft w:val="0"/>
          <w:marRight w:val="0"/>
          <w:marTop w:val="0"/>
          <w:marBottom w:val="0"/>
          <w:divBdr>
            <w:top w:val="none" w:sz="0" w:space="0" w:color="auto"/>
            <w:left w:val="none" w:sz="0" w:space="0" w:color="auto"/>
            <w:bottom w:val="none" w:sz="0" w:space="0" w:color="auto"/>
            <w:right w:val="none" w:sz="0" w:space="0" w:color="auto"/>
          </w:divBdr>
          <w:divsChild>
            <w:div w:id="1224025708">
              <w:marLeft w:val="0"/>
              <w:marRight w:val="0"/>
              <w:marTop w:val="0"/>
              <w:marBottom w:val="0"/>
              <w:divBdr>
                <w:top w:val="none" w:sz="0" w:space="0" w:color="auto"/>
                <w:left w:val="none" w:sz="0" w:space="0" w:color="auto"/>
                <w:bottom w:val="none" w:sz="0" w:space="0" w:color="auto"/>
                <w:right w:val="none" w:sz="0" w:space="0" w:color="auto"/>
              </w:divBdr>
              <w:divsChild>
                <w:div w:id="1326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4886">
      <w:bodyDiv w:val="1"/>
      <w:marLeft w:val="0"/>
      <w:marRight w:val="0"/>
      <w:marTop w:val="0"/>
      <w:marBottom w:val="0"/>
      <w:divBdr>
        <w:top w:val="none" w:sz="0" w:space="0" w:color="auto"/>
        <w:left w:val="none" w:sz="0" w:space="0" w:color="auto"/>
        <w:bottom w:val="none" w:sz="0" w:space="0" w:color="auto"/>
        <w:right w:val="none" w:sz="0" w:space="0" w:color="auto"/>
      </w:divBdr>
      <w:divsChild>
        <w:div w:id="1654212902">
          <w:marLeft w:val="0"/>
          <w:marRight w:val="0"/>
          <w:marTop w:val="0"/>
          <w:marBottom w:val="0"/>
          <w:divBdr>
            <w:top w:val="none" w:sz="0" w:space="0" w:color="auto"/>
            <w:left w:val="none" w:sz="0" w:space="0" w:color="auto"/>
            <w:bottom w:val="none" w:sz="0" w:space="0" w:color="auto"/>
            <w:right w:val="none" w:sz="0" w:space="0" w:color="auto"/>
          </w:divBdr>
          <w:divsChild>
            <w:div w:id="1209798766">
              <w:marLeft w:val="0"/>
              <w:marRight w:val="0"/>
              <w:marTop w:val="0"/>
              <w:marBottom w:val="0"/>
              <w:divBdr>
                <w:top w:val="none" w:sz="0" w:space="0" w:color="auto"/>
                <w:left w:val="none" w:sz="0" w:space="0" w:color="auto"/>
                <w:bottom w:val="none" w:sz="0" w:space="0" w:color="auto"/>
                <w:right w:val="none" w:sz="0" w:space="0" w:color="auto"/>
              </w:divBdr>
              <w:divsChild>
                <w:div w:id="3714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5966">
      <w:bodyDiv w:val="1"/>
      <w:marLeft w:val="0"/>
      <w:marRight w:val="0"/>
      <w:marTop w:val="0"/>
      <w:marBottom w:val="0"/>
      <w:divBdr>
        <w:top w:val="none" w:sz="0" w:space="0" w:color="auto"/>
        <w:left w:val="none" w:sz="0" w:space="0" w:color="auto"/>
        <w:bottom w:val="none" w:sz="0" w:space="0" w:color="auto"/>
        <w:right w:val="none" w:sz="0" w:space="0" w:color="auto"/>
      </w:divBdr>
      <w:divsChild>
        <w:div w:id="375084680">
          <w:marLeft w:val="0"/>
          <w:marRight w:val="0"/>
          <w:marTop w:val="0"/>
          <w:marBottom w:val="0"/>
          <w:divBdr>
            <w:top w:val="none" w:sz="0" w:space="0" w:color="auto"/>
            <w:left w:val="none" w:sz="0" w:space="0" w:color="auto"/>
            <w:bottom w:val="none" w:sz="0" w:space="0" w:color="auto"/>
            <w:right w:val="none" w:sz="0" w:space="0" w:color="auto"/>
          </w:divBdr>
          <w:divsChild>
            <w:div w:id="892042663">
              <w:marLeft w:val="0"/>
              <w:marRight w:val="0"/>
              <w:marTop w:val="0"/>
              <w:marBottom w:val="0"/>
              <w:divBdr>
                <w:top w:val="none" w:sz="0" w:space="0" w:color="auto"/>
                <w:left w:val="none" w:sz="0" w:space="0" w:color="auto"/>
                <w:bottom w:val="none" w:sz="0" w:space="0" w:color="auto"/>
                <w:right w:val="none" w:sz="0" w:space="0" w:color="auto"/>
              </w:divBdr>
              <w:divsChild>
                <w:div w:id="5469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59467">
      <w:bodyDiv w:val="1"/>
      <w:marLeft w:val="0"/>
      <w:marRight w:val="0"/>
      <w:marTop w:val="0"/>
      <w:marBottom w:val="0"/>
      <w:divBdr>
        <w:top w:val="none" w:sz="0" w:space="0" w:color="auto"/>
        <w:left w:val="none" w:sz="0" w:space="0" w:color="auto"/>
        <w:bottom w:val="none" w:sz="0" w:space="0" w:color="auto"/>
        <w:right w:val="none" w:sz="0" w:space="0" w:color="auto"/>
      </w:divBdr>
      <w:divsChild>
        <w:div w:id="703402260">
          <w:marLeft w:val="0"/>
          <w:marRight w:val="0"/>
          <w:marTop w:val="0"/>
          <w:marBottom w:val="0"/>
          <w:divBdr>
            <w:top w:val="none" w:sz="0" w:space="0" w:color="auto"/>
            <w:left w:val="none" w:sz="0" w:space="0" w:color="auto"/>
            <w:bottom w:val="none" w:sz="0" w:space="0" w:color="auto"/>
            <w:right w:val="none" w:sz="0" w:space="0" w:color="auto"/>
          </w:divBdr>
          <w:divsChild>
            <w:div w:id="1283346155">
              <w:marLeft w:val="0"/>
              <w:marRight w:val="0"/>
              <w:marTop w:val="0"/>
              <w:marBottom w:val="0"/>
              <w:divBdr>
                <w:top w:val="none" w:sz="0" w:space="0" w:color="auto"/>
                <w:left w:val="none" w:sz="0" w:space="0" w:color="auto"/>
                <w:bottom w:val="none" w:sz="0" w:space="0" w:color="auto"/>
                <w:right w:val="none" w:sz="0" w:space="0" w:color="auto"/>
              </w:divBdr>
              <w:divsChild>
                <w:div w:id="15224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6903">
      <w:bodyDiv w:val="1"/>
      <w:marLeft w:val="0"/>
      <w:marRight w:val="0"/>
      <w:marTop w:val="0"/>
      <w:marBottom w:val="0"/>
      <w:divBdr>
        <w:top w:val="none" w:sz="0" w:space="0" w:color="auto"/>
        <w:left w:val="none" w:sz="0" w:space="0" w:color="auto"/>
        <w:bottom w:val="none" w:sz="0" w:space="0" w:color="auto"/>
        <w:right w:val="none" w:sz="0" w:space="0" w:color="auto"/>
      </w:divBdr>
      <w:divsChild>
        <w:div w:id="312953209">
          <w:marLeft w:val="0"/>
          <w:marRight w:val="0"/>
          <w:marTop w:val="0"/>
          <w:marBottom w:val="0"/>
          <w:divBdr>
            <w:top w:val="none" w:sz="0" w:space="0" w:color="auto"/>
            <w:left w:val="none" w:sz="0" w:space="0" w:color="auto"/>
            <w:bottom w:val="none" w:sz="0" w:space="0" w:color="auto"/>
            <w:right w:val="none" w:sz="0" w:space="0" w:color="auto"/>
          </w:divBdr>
          <w:divsChild>
            <w:div w:id="784733696">
              <w:marLeft w:val="0"/>
              <w:marRight w:val="0"/>
              <w:marTop w:val="0"/>
              <w:marBottom w:val="0"/>
              <w:divBdr>
                <w:top w:val="none" w:sz="0" w:space="0" w:color="auto"/>
                <w:left w:val="none" w:sz="0" w:space="0" w:color="auto"/>
                <w:bottom w:val="none" w:sz="0" w:space="0" w:color="auto"/>
                <w:right w:val="none" w:sz="0" w:space="0" w:color="auto"/>
              </w:divBdr>
              <w:divsChild>
                <w:div w:id="1585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638340765">
      <w:bodyDiv w:val="1"/>
      <w:marLeft w:val="0"/>
      <w:marRight w:val="0"/>
      <w:marTop w:val="0"/>
      <w:marBottom w:val="0"/>
      <w:divBdr>
        <w:top w:val="none" w:sz="0" w:space="0" w:color="auto"/>
        <w:left w:val="none" w:sz="0" w:space="0" w:color="auto"/>
        <w:bottom w:val="none" w:sz="0" w:space="0" w:color="auto"/>
        <w:right w:val="none" w:sz="0" w:space="0" w:color="auto"/>
      </w:divBdr>
      <w:divsChild>
        <w:div w:id="2125347109">
          <w:marLeft w:val="0"/>
          <w:marRight w:val="0"/>
          <w:marTop w:val="0"/>
          <w:marBottom w:val="0"/>
          <w:divBdr>
            <w:top w:val="none" w:sz="0" w:space="0" w:color="auto"/>
            <w:left w:val="none" w:sz="0" w:space="0" w:color="auto"/>
            <w:bottom w:val="none" w:sz="0" w:space="0" w:color="auto"/>
            <w:right w:val="none" w:sz="0" w:space="0" w:color="auto"/>
          </w:divBdr>
          <w:divsChild>
            <w:div w:id="1163545171">
              <w:marLeft w:val="0"/>
              <w:marRight w:val="0"/>
              <w:marTop w:val="0"/>
              <w:marBottom w:val="0"/>
              <w:divBdr>
                <w:top w:val="none" w:sz="0" w:space="0" w:color="auto"/>
                <w:left w:val="none" w:sz="0" w:space="0" w:color="auto"/>
                <w:bottom w:val="none" w:sz="0" w:space="0" w:color="auto"/>
                <w:right w:val="none" w:sz="0" w:space="0" w:color="auto"/>
              </w:divBdr>
              <w:divsChild>
                <w:div w:id="18103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 w:id="2026441133">
      <w:bodyDiv w:val="1"/>
      <w:marLeft w:val="0"/>
      <w:marRight w:val="0"/>
      <w:marTop w:val="0"/>
      <w:marBottom w:val="0"/>
      <w:divBdr>
        <w:top w:val="none" w:sz="0" w:space="0" w:color="auto"/>
        <w:left w:val="none" w:sz="0" w:space="0" w:color="auto"/>
        <w:bottom w:val="none" w:sz="0" w:space="0" w:color="auto"/>
        <w:right w:val="none" w:sz="0" w:space="0" w:color="auto"/>
      </w:divBdr>
      <w:divsChild>
        <w:div w:id="1788311373">
          <w:marLeft w:val="0"/>
          <w:marRight w:val="0"/>
          <w:marTop w:val="0"/>
          <w:marBottom w:val="0"/>
          <w:divBdr>
            <w:top w:val="none" w:sz="0" w:space="0" w:color="auto"/>
            <w:left w:val="none" w:sz="0" w:space="0" w:color="auto"/>
            <w:bottom w:val="none" w:sz="0" w:space="0" w:color="auto"/>
            <w:right w:val="none" w:sz="0" w:space="0" w:color="auto"/>
          </w:divBdr>
          <w:divsChild>
            <w:div w:id="1502307177">
              <w:marLeft w:val="0"/>
              <w:marRight w:val="0"/>
              <w:marTop w:val="0"/>
              <w:marBottom w:val="0"/>
              <w:divBdr>
                <w:top w:val="none" w:sz="0" w:space="0" w:color="auto"/>
                <w:left w:val="none" w:sz="0" w:space="0" w:color="auto"/>
                <w:bottom w:val="none" w:sz="0" w:space="0" w:color="auto"/>
                <w:right w:val="none" w:sz="0" w:space="0" w:color="auto"/>
              </w:divBdr>
              <w:divsChild>
                <w:div w:id="15023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esta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0E7DC0"/>
    <w:rsid w:val="001109AB"/>
    <w:rsid w:val="002A3A01"/>
    <w:rsid w:val="00333B58"/>
    <w:rsid w:val="00446A55"/>
    <w:rsid w:val="00467078"/>
    <w:rsid w:val="00477EA9"/>
    <w:rsid w:val="004904A5"/>
    <w:rsid w:val="005A3F6E"/>
    <w:rsid w:val="00625164"/>
    <w:rsid w:val="006E7E42"/>
    <w:rsid w:val="00727721"/>
    <w:rsid w:val="00747CDD"/>
    <w:rsid w:val="007C324E"/>
    <w:rsid w:val="00802ECE"/>
    <w:rsid w:val="008B622E"/>
    <w:rsid w:val="00AD2BA8"/>
    <w:rsid w:val="00CC383D"/>
    <w:rsid w:val="00D61E4D"/>
    <w:rsid w:val="00E321AB"/>
    <w:rsid w:val="00EF47A6"/>
    <w:rsid w:val="00F34FCB"/>
    <w:rsid w:val="00FA5F1D"/>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MOHECM-374881106-6728</_dlc_DocId>
    <_dlc_DocIdUrl xmlns="c5b47098-0215-444c-9096-523bda4ac5c6">
      <Url>https://mohgovtnz.sharepoint.com/sites/moh-ecm-FunComRes/_layouts/15/DocIdRedir.aspx?ID=MOHECM-374881106-6728</Url>
      <Description>MOHECM-374881106-6728</Description>
    </_dlc_DocIdUrl>
    <TaxCatchAll xmlns="c5b47098-0215-444c-9096-523bda4ac5c6" xsi:nil="true"/>
    <lcf76f155ced4ddcb4097134ff3c332f xmlns="54904628-6268-4ac5-9416-97794f1d508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87787-3D14-46C4-9DA8-9A1652D0F0CE}">
  <ds:schemaRefs>
    <ds:schemaRef ds:uri="http://schemas.microsoft.com/sharepoint/events"/>
  </ds:schemaRefs>
</ds:datastoreItem>
</file>

<file path=customXml/itemProps2.xml><?xml version="1.0" encoding="utf-8"?>
<ds:datastoreItem xmlns:ds="http://schemas.openxmlformats.org/officeDocument/2006/customXml" ds:itemID="{38206D0D-0A4B-4736-8F5A-090225881483}"/>
</file>

<file path=customXml/itemProps3.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customXml/itemProps4.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s>
</ds:datastoreItem>
</file>

<file path=customXml/itemProps5.xml><?xml version="1.0" encoding="utf-8"?>
<ds:datastoreItem xmlns:ds="http://schemas.openxmlformats.org/officeDocument/2006/customXml" ds:itemID="{4C5297D9-482A-4669-AE59-86A504A9C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1845</Words>
  <Characters>10521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12342</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COVID-19 and National Immunisation Programme research</dc:title>
  <dc:subject/>
  <dc:creator>Ministry of Health</dc:creator>
  <cp:keywords/>
  <dc:description/>
  <cp:lastModifiedBy>Emma Bailey</cp:lastModifiedBy>
  <cp:revision>2</cp:revision>
  <dcterms:created xsi:type="dcterms:W3CDTF">2024-08-14T20:40:00Z</dcterms:created>
  <dcterms:modified xsi:type="dcterms:W3CDTF">2024-08-14T20:40:00Z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1f8ed4d3-d65c-455c-a9bd-dec4c0038214</vt:lpwstr>
  </property>
  <property fmtid="{D5CDD505-2E9C-101B-9397-08002B2CF9AE}" pid="11" name="MediaServiceImageTags">
    <vt:lpwstr/>
  </property>
</Properties>
</file>