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DF86" w14:textId="77777777" w:rsidR="00E76F63" w:rsidRDefault="00E76F63" w:rsidP="00E76F63">
      <w:pPr>
        <w:pStyle w:val="Title"/>
      </w:pPr>
    </w:p>
    <w:p w14:paraId="4C947EB5" w14:textId="77777777" w:rsidR="00E76F63" w:rsidRDefault="00E76F63" w:rsidP="00E76F63">
      <w:pPr>
        <w:pStyle w:val="Title"/>
      </w:pPr>
    </w:p>
    <w:p w14:paraId="2989EF6C" w14:textId="52580B9E" w:rsidR="009B34A8" w:rsidRPr="006E17A9" w:rsidRDefault="00463D68" w:rsidP="00E76F63">
      <w:pPr>
        <w:pStyle w:val="Title"/>
        <w:tabs>
          <w:tab w:val="left" w:pos="1985"/>
        </w:tabs>
        <w:rPr>
          <w:sz w:val="56"/>
          <w:szCs w:val="18"/>
        </w:rPr>
      </w:pPr>
      <w:r w:rsidRPr="006E17A9">
        <w:rPr>
          <w:sz w:val="56"/>
          <w:szCs w:val="18"/>
        </w:rPr>
        <w:t>Final</w:t>
      </w:r>
      <w:r w:rsidR="00C43429" w:rsidRPr="006E17A9">
        <w:rPr>
          <w:sz w:val="56"/>
          <w:szCs w:val="18"/>
        </w:rPr>
        <w:t xml:space="preserve"> report</w:t>
      </w:r>
      <w:r w:rsidR="00A903C8" w:rsidRPr="006E17A9">
        <w:rPr>
          <w:sz w:val="56"/>
          <w:szCs w:val="18"/>
        </w:rPr>
        <w:t xml:space="preserve"> summary</w:t>
      </w:r>
    </w:p>
    <w:p w14:paraId="75FF0D40" w14:textId="0A92029F" w:rsidR="00F94476" w:rsidRDefault="00F94476" w:rsidP="00E76F63">
      <w:pPr>
        <w:pStyle w:val="Subhead"/>
        <w:spacing w:after="840"/>
      </w:pPr>
      <w:r w:rsidRPr="00F94476">
        <w:t>COVID-19 and National Immunisation Programme research</w:t>
      </w:r>
    </w:p>
    <w:p w14:paraId="3BCB42F7" w14:textId="4F43A2E1" w:rsidR="00E76F63" w:rsidRDefault="00E76F63" w:rsidP="00E76F63">
      <w:pPr>
        <w:pStyle w:val="Subhead"/>
        <w:spacing w:after="840"/>
      </w:pPr>
      <w:r w:rsidRPr="00D762B4">
        <w:rPr>
          <w:b/>
        </w:rPr>
        <w:t>Submitted by</w:t>
      </w:r>
      <w:r w:rsidRPr="00D762B4">
        <w:br/>
      </w:r>
      <w:sdt>
        <w:sdtPr>
          <w:alias w:val="Organisation names"/>
          <w:tag w:val="Organisation names"/>
          <w:id w:val="-1840685219"/>
          <w:placeholder>
            <w:docPart w:val="DefaultPlaceholder_-1854013438"/>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Content>
          <w:r w:rsidR="003A4DF6">
            <w:t>University of Otago</w:t>
          </w:r>
        </w:sdtContent>
      </w:sdt>
    </w:p>
    <w:p w14:paraId="5DC88103" w14:textId="77777777" w:rsidR="00363D85" w:rsidRDefault="00363D85" w:rsidP="00C43429">
      <w:pPr>
        <w:pStyle w:val="Subhead"/>
        <w:spacing w:after="840"/>
        <w:rPr>
          <w:b/>
        </w:rPr>
      </w:pPr>
    </w:p>
    <w:p w14:paraId="06595261" w14:textId="383DFB4B" w:rsidR="00C43429" w:rsidRDefault="00C43429" w:rsidP="00C43429">
      <w:pPr>
        <w:pStyle w:val="Subhead"/>
        <w:spacing w:after="840"/>
      </w:pPr>
      <w:r>
        <w:rPr>
          <w:b/>
        </w:rPr>
        <w:t>Project title</w:t>
      </w:r>
      <w:r w:rsidR="00442B65">
        <w:rPr>
          <w:b/>
        </w:rPr>
        <w:t xml:space="preserve">: He </w:t>
      </w:r>
      <w:proofErr w:type="spellStart"/>
      <w:r w:rsidR="00442B65">
        <w:rPr>
          <w:b/>
        </w:rPr>
        <w:t>Aroka</w:t>
      </w:r>
      <w:proofErr w:type="spellEnd"/>
      <w:r w:rsidR="00442B65">
        <w:rPr>
          <w:b/>
        </w:rPr>
        <w:t xml:space="preserve"> </w:t>
      </w:r>
      <w:proofErr w:type="spellStart"/>
      <w:r w:rsidR="00442B65">
        <w:rPr>
          <w:b/>
        </w:rPr>
        <w:t>Urutā</w:t>
      </w:r>
      <w:proofErr w:type="spellEnd"/>
      <w:r w:rsidRPr="00D762B4">
        <w:rPr>
          <w:b/>
        </w:rPr>
        <w:t xml:space="preserve"> </w:t>
      </w:r>
      <w:r w:rsidRPr="00D762B4">
        <w:br/>
      </w:r>
      <w:sdt>
        <w:sdtPr>
          <w:id w:val="1774748417"/>
          <w:placeholder>
            <w:docPart w:val="DefaultPlaceholder_-1854013438"/>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Content>
          <w:r w:rsidR="003A4DF6">
            <w:t>PROP-065 What can we learn from factors underpinning the rollout of the COVID-19 vaccination programme and pandemic response in different rural communities? A mixed methods study.</w:t>
          </w:r>
        </w:sdtContent>
      </w:sdt>
    </w:p>
    <w:p w14:paraId="25CB611D" w14:textId="77777777" w:rsidR="00C43429" w:rsidRPr="00C43429" w:rsidRDefault="00C43429" w:rsidP="00C43429"/>
    <w:p w14:paraId="2EE444C9" w14:textId="77777777" w:rsidR="00E76F63" w:rsidRDefault="00E76F63" w:rsidP="00E76F63">
      <w:pPr>
        <w:spacing w:before="0"/>
      </w:pPr>
    </w:p>
    <w:p w14:paraId="0333E038" w14:textId="77777777" w:rsidR="002D520D" w:rsidRDefault="002D520D" w:rsidP="00E76F63">
      <w:pPr>
        <w:spacing w:before="0"/>
      </w:pPr>
    </w:p>
    <w:p w14:paraId="00CB2274" w14:textId="77777777" w:rsidR="002D520D" w:rsidRDefault="002D520D" w:rsidP="00E76F63">
      <w:pPr>
        <w:spacing w:before="0"/>
      </w:pPr>
    </w:p>
    <w:p w14:paraId="06288AEA" w14:textId="77777777" w:rsidR="00E4203E" w:rsidRDefault="00E4203E" w:rsidP="00E76F63">
      <w:pPr>
        <w:spacing w:before="0"/>
      </w:pPr>
    </w:p>
    <w:p w14:paraId="23D1D824" w14:textId="648E60D4" w:rsidR="00987367" w:rsidRDefault="00987367" w:rsidP="00E76F63">
      <w:pPr>
        <w:spacing w:before="0"/>
      </w:pPr>
    </w:p>
    <w:p w14:paraId="5533A702" w14:textId="77777777" w:rsidR="00E91ED2" w:rsidRDefault="00E91ED2" w:rsidP="00E76F63">
      <w:pPr>
        <w:spacing w:before="0"/>
      </w:pPr>
    </w:p>
    <w:p w14:paraId="6F4CC45D" w14:textId="0B7CFE47" w:rsidR="00E91ED2" w:rsidRPr="00142954" w:rsidRDefault="00E91ED2" w:rsidP="00E76F63">
      <w:pPr>
        <w:spacing w:before="0"/>
        <w:sectPr w:rsidR="00E91ED2" w:rsidRPr="00142954" w:rsidSect="00B44BA7">
          <w:headerReference w:type="default" r:id="rId12"/>
          <w:footerReference w:type="default" r:id="rId13"/>
          <w:headerReference w:type="first" r:id="rId14"/>
          <w:pgSz w:w="11907" w:h="16834" w:code="9"/>
          <w:pgMar w:top="851" w:right="1134" w:bottom="1134" w:left="1134" w:header="851" w:footer="851" w:gutter="0"/>
          <w:cols w:space="720"/>
          <w:titlePg/>
          <w:docGrid w:linePitch="272"/>
        </w:sectPr>
      </w:pPr>
    </w:p>
    <w:p w14:paraId="546EAF59" w14:textId="2CDB8BFB" w:rsidR="00E76F63" w:rsidRDefault="00E76F63" w:rsidP="00865BFF">
      <w:pPr>
        <w:pStyle w:val="Heading1"/>
        <w:rPr>
          <w:rFonts w:eastAsiaTheme="majorEastAsia"/>
        </w:rPr>
      </w:pPr>
      <w:bookmarkStart w:id="0" w:name="_Toc99614157"/>
      <w:bookmarkStart w:id="1" w:name="_Toc457431656"/>
      <w:r>
        <w:rPr>
          <w:rFonts w:eastAsiaTheme="majorEastAsia"/>
        </w:rPr>
        <w:lastRenderedPageBreak/>
        <w:t xml:space="preserve">: </w:t>
      </w:r>
      <w:bookmarkEnd w:id="0"/>
      <w:r w:rsidR="00593E39">
        <w:rPr>
          <w:rFonts w:eastAsiaTheme="majorEastAsia"/>
        </w:rPr>
        <w:t>Contact information</w:t>
      </w:r>
    </w:p>
    <w:p w14:paraId="3549D082" w14:textId="75325A7D" w:rsidR="00E76F63" w:rsidRPr="00764A22" w:rsidRDefault="00593E39" w:rsidP="00482200">
      <w:pPr>
        <w:pStyle w:val="Heading2"/>
      </w:pPr>
      <w:r>
        <w:t>Point of Contact for this report</w:t>
      </w:r>
    </w:p>
    <w:p w14:paraId="0AB1059C" w14:textId="27C675B5" w:rsidR="00E76F63" w:rsidRDefault="00E76F63" w:rsidP="00482200">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EB4FC3" w14:paraId="2097548E" w14:textId="77777777" w:rsidTr="00EB4FC3">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07DB4AB" w14:textId="77777777" w:rsidR="00EB4FC3" w:rsidRDefault="00EB4FC3" w:rsidP="002026F6">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21890526" w14:textId="77777777" w:rsidR="00EB4FC3" w:rsidRDefault="00EB4FC3" w:rsidP="002026F6">
            <w:pPr>
              <w:pStyle w:val="Style1"/>
            </w:pPr>
            <w:r>
              <w:t>Detail</w:t>
            </w:r>
          </w:p>
        </w:tc>
      </w:tr>
      <w:tr w:rsidR="003A4DF6" w14:paraId="6D501CEC" w14:textId="77777777" w:rsidTr="00EB4FC3">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68938594" w14:textId="77777777" w:rsidR="003A4DF6" w:rsidRDefault="003A4DF6" w:rsidP="003A4DF6">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7E786F3B" w14:textId="1FB57223" w:rsidR="003A4DF6" w:rsidRDefault="003A4DF6" w:rsidP="003A4DF6">
            <w:pPr>
              <w:pStyle w:val="Style1"/>
            </w:pPr>
            <w:r>
              <w:t>Ali Cameron</w:t>
            </w:r>
          </w:p>
        </w:tc>
      </w:tr>
      <w:tr w:rsidR="003A4DF6" w14:paraId="06DBF38D" w14:textId="77777777" w:rsidTr="00EB4FC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3572788E" w14:textId="77777777" w:rsidR="003A4DF6" w:rsidRDefault="003A4DF6" w:rsidP="003A4DF6">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387ABF1" w14:textId="0EE86A95" w:rsidR="003A4DF6" w:rsidRDefault="003A4DF6" w:rsidP="003A4DF6">
            <w:pPr>
              <w:pStyle w:val="Style1"/>
            </w:pPr>
            <w:r>
              <w:t>Research Advisor</w:t>
            </w:r>
          </w:p>
        </w:tc>
      </w:tr>
      <w:tr w:rsidR="003A4DF6" w14:paraId="10C61D45" w14:textId="77777777" w:rsidTr="00EB4FC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3F1B2823" w14:textId="77777777" w:rsidR="003A4DF6" w:rsidRDefault="003A4DF6" w:rsidP="003A4DF6">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DF9E3C" w14:textId="054D7CA5" w:rsidR="003A4DF6" w:rsidRDefault="003A4DF6" w:rsidP="003A4DF6">
            <w:pPr>
              <w:pStyle w:val="Style1"/>
            </w:pPr>
            <w:r>
              <w:t>03 470 9030</w:t>
            </w:r>
          </w:p>
        </w:tc>
      </w:tr>
      <w:tr w:rsidR="003A4DF6" w14:paraId="6AC57030" w14:textId="77777777" w:rsidTr="00EB4FC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B5D9FC2" w14:textId="77777777" w:rsidR="003A4DF6" w:rsidRDefault="003A4DF6" w:rsidP="003A4DF6">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71C69816" w14:textId="50F95F4F" w:rsidR="003A4DF6" w:rsidRDefault="003A4DF6" w:rsidP="003A4DF6">
            <w:pPr>
              <w:pStyle w:val="Style1"/>
            </w:pPr>
          </w:p>
        </w:tc>
      </w:tr>
      <w:tr w:rsidR="003A4DF6" w14:paraId="17F11A50" w14:textId="77777777" w:rsidTr="00EB4FC3">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6DC65E" w14:textId="77777777" w:rsidR="003A4DF6" w:rsidRDefault="003A4DF6" w:rsidP="003A4DF6">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55FD167" w14:textId="08B3875C" w:rsidR="003A4DF6" w:rsidRDefault="00000000" w:rsidP="003A4DF6">
            <w:pPr>
              <w:pStyle w:val="Style1"/>
            </w:pPr>
            <w:hyperlink r:id="rId15" w:history="1">
              <w:r w:rsidR="003A4DF6" w:rsidRPr="00EA7AE6">
                <w:rPr>
                  <w:rStyle w:val="Hyperlink"/>
                </w:rPr>
                <w:t>ali.cameron@otago.ac.nz</w:t>
              </w:r>
            </w:hyperlink>
            <w:r w:rsidR="003A4DF6">
              <w:t xml:space="preserve"> </w:t>
            </w:r>
          </w:p>
        </w:tc>
      </w:tr>
    </w:tbl>
    <w:p w14:paraId="062BD352" w14:textId="77777777" w:rsidR="00865BFF" w:rsidRDefault="00865BFF" w:rsidP="00EB4FC3">
      <w:pPr>
        <w:rPr>
          <w:rFonts w:eastAsiaTheme="majorEastAsia"/>
        </w:rPr>
      </w:pPr>
    </w:p>
    <w:p w14:paraId="05F7150D" w14:textId="77777777" w:rsidR="002026F6" w:rsidRDefault="002026F6" w:rsidP="002A0148">
      <w:pPr>
        <w:sectPr w:rsidR="002026F6" w:rsidSect="001968C0">
          <w:headerReference w:type="even" r:id="rId16"/>
          <w:headerReference w:type="default" r:id="rId17"/>
          <w:footerReference w:type="default" r:id="rId18"/>
          <w:headerReference w:type="first" r:id="rId19"/>
          <w:pgSz w:w="11907" w:h="16834" w:code="9"/>
          <w:pgMar w:top="851" w:right="1134" w:bottom="851" w:left="1134" w:header="284" w:footer="567" w:gutter="0"/>
          <w:pgNumType w:start="1"/>
          <w:cols w:space="720"/>
          <w:docGrid w:linePitch="299"/>
        </w:sectPr>
      </w:pPr>
    </w:p>
    <w:p w14:paraId="0BA90154" w14:textId="168F0EC1" w:rsidR="00593E39" w:rsidRDefault="00593E39" w:rsidP="00865BFF">
      <w:pPr>
        <w:pStyle w:val="Heading1"/>
        <w:rPr>
          <w:rFonts w:eastAsiaTheme="majorEastAsia"/>
        </w:rPr>
      </w:pPr>
      <w:r>
        <w:rPr>
          <w:rFonts w:eastAsiaTheme="majorEastAsia"/>
        </w:rPr>
        <w:lastRenderedPageBreak/>
        <w:t xml:space="preserve">: </w:t>
      </w:r>
      <w:r w:rsidR="00FB078F">
        <w:rPr>
          <w:rFonts w:eastAsiaTheme="majorEastAsia"/>
        </w:rPr>
        <w:t>Reporting</w:t>
      </w:r>
    </w:p>
    <w:p w14:paraId="6DA4A8CA" w14:textId="5B546B26" w:rsidR="00593E39" w:rsidRDefault="00FB078F">
      <w:pPr>
        <w:pStyle w:val="Heading2"/>
      </w:pPr>
      <w:r>
        <w:t>Overview</w:t>
      </w:r>
    </w:p>
    <w:p w14:paraId="459AB0B0" w14:textId="781A7C1F" w:rsidR="00442B65" w:rsidRDefault="00442B65" w:rsidP="00442B65">
      <w:pPr>
        <w:jc w:val="both"/>
      </w:pPr>
      <w:r>
        <w:t>What we learnt from our quantitative research (Items 2-4 in final report):</w:t>
      </w:r>
    </w:p>
    <w:p w14:paraId="5A79279A" w14:textId="77777777" w:rsidR="00442B65" w:rsidRDefault="00442B65" w:rsidP="00442B65">
      <w:pPr>
        <w:pStyle w:val="ListParagraph"/>
        <w:numPr>
          <w:ilvl w:val="0"/>
          <w:numId w:val="46"/>
        </w:numPr>
        <w:spacing w:before="0"/>
        <w:jc w:val="both"/>
      </w:pPr>
      <w:r>
        <w:t xml:space="preserve">Vaccination rates for rural residents of NZ lagged rates for urban residents (see Figure 1). </w:t>
      </w:r>
    </w:p>
    <w:p w14:paraId="74F12CB6" w14:textId="77777777" w:rsidR="00442B65" w:rsidRDefault="00442B65" w:rsidP="00442B65">
      <w:pPr>
        <w:pStyle w:val="ListParagraph"/>
        <w:numPr>
          <w:ilvl w:val="0"/>
          <w:numId w:val="46"/>
        </w:numPr>
        <w:spacing w:before="0"/>
        <w:jc w:val="both"/>
      </w:pPr>
      <w:r>
        <w:t xml:space="preserve">At the end of December 2021 there was a clear rural-to-urban gradient in vaccination uptake for both Māori and </w:t>
      </w:r>
      <w:proofErr w:type="spellStart"/>
      <w:r>
        <w:t>non-Māori:non-Pacific</w:t>
      </w:r>
      <w:proofErr w:type="spellEnd"/>
      <w:r>
        <w:t>.  M</w:t>
      </w:r>
      <w:r w:rsidRPr="2CFE4CB1">
        <w:rPr>
          <w:lang w:val="mi-NZ"/>
        </w:rPr>
        <w:t xml:space="preserve">āori living in urban areas had higher vaccination uptake rates than Māori living in rural areas. </w:t>
      </w:r>
      <w:r>
        <w:rPr>
          <w:lang w:val="mi-NZ"/>
        </w:rPr>
        <w:t xml:space="preserve"> </w:t>
      </w:r>
      <w:r w:rsidRPr="2CFE4CB1">
        <w:rPr>
          <w:lang w:val="mi-NZ"/>
        </w:rPr>
        <w:t xml:space="preserve">A similar rural-urban gradient was observed for non-Māori non-Pacific. </w:t>
      </w:r>
      <w:r>
        <w:rPr>
          <w:lang w:val="mi-NZ"/>
        </w:rPr>
        <w:t xml:space="preserve"> </w:t>
      </w:r>
      <w:r>
        <w:t xml:space="preserve">These disparities were more pronounced in younger age groups (&lt;45 years).  A clear pattern of </w:t>
      </w:r>
      <w:proofErr w:type="spellStart"/>
      <w:r>
        <w:t>rural:urban</w:t>
      </w:r>
      <w:proofErr w:type="spellEnd"/>
      <w:r>
        <w:t xml:space="preserve"> differential was less apparent for Pacific people (Item 4).</w:t>
      </w:r>
    </w:p>
    <w:p w14:paraId="634D464A" w14:textId="77777777" w:rsidR="00442B65" w:rsidRDefault="00442B65" w:rsidP="00442B65">
      <w:pPr>
        <w:pStyle w:val="ListParagraph"/>
        <w:numPr>
          <w:ilvl w:val="0"/>
          <w:numId w:val="46"/>
        </w:numPr>
        <w:jc w:val="both"/>
      </w:pPr>
      <w:proofErr w:type="spellStart"/>
      <w:r>
        <w:t>Rural:urban</w:t>
      </w:r>
      <w:proofErr w:type="spellEnd"/>
      <w:r>
        <w:t xml:space="preserve"> disparity in vaccination uptake was more marked in the Northern and Te Manawa Taki regions and less so in Te Waipounamu.</w:t>
      </w:r>
    </w:p>
    <w:p w14:paraId="268E6E9C" w14:textId="77777777" w:rsidR="00442B65" w:rsidRDefault="00442B65" w:rsidP="00442B65">
      <w:pPr>
        <w:pStyle w:val="ListParagraph"/>
        <w:numPr>
          <w:ilvl w:val="0"/>
          <w:numId w:val="46"/>
        </w:numPr>
        <w:jc w:val="both"/>
      </w:pPr>
      <w:r>
        <w:t>Rural areas had greater intra-variation in vaccination rates; this was apparent when comparing rates at a local level (SA</w:t>
      </w:r>
      <w:r w:rsidRPr="001525E6">
        <w:rPr>
          <w:sz w:val="25"/>
          <w:szCs w:val="25"/>
        </w:rPr>
        <w:t>2</w:t>
      </w:r>
      <w:r>
        <w:t xml:space="preserve">s with population 2,000-5,000).  At times considerable differences were observed between neighbouring communities.  The variation was more apparent for Māori than non-Māori vaccination rates. </w:t>
      </w:r>
    </w:p>
    <w:p w14:paraId="1EA3D2A7" w14:textId="77777777" w:rsidR="00442B65" w:rsidRDefault="00442B65" w:rsidP="00442B65">
      <w:pPr>
        <w:jc w:val="both"/>
      </w:pPr>
    </w:p>
    <w:p w14:paraId="41361576" w14:textId="77777777" w:rsidR="00442B65" w:rsidRDefault="00442B65" w:rsidP="00442B65">
      <w:pPr>
        <w:pStyle w:val="ListParagraph"/>
        <w:ind w:left="363"/>
        <w:jc w:val="both"/>
      </w:pPr>
      <w:r>
        <w:t xml:space="preserve"> </w:t>
      </w:r>
      <w:r>
        <w:rPr>
          <w:noProof/>
          <w:color w:val="ED7D31" w:themeColor="accent2"/>
        </w:rPr>
        <w:drawing>
          <wp:inline distT="0" distB="0" distL="0" distR="0" wp14:anchorId="54DD73F5" wp14:editId="4DEF4E4D">
            <wp:extent cx="4370871" cy="2438400"/>
            <wp:effectExtent l="0" t="0" r="0" b="0"/>
            <wp:docPr id="782336399" name="Picture 782336399" descr="Figure one showing age-standardised rates of vaccination uptake by geographic classification for health. Vaccination rates for rural residents of NZ lagged rates for urban resid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36399" name="Picture 782336399" descr="Figure one showing age-standardised rates of vaccination uptake by geographic classification for health. Vaccination rates for rural residents of NZ lagged rates for urban residents.&#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3385" cy="2450960"/>
                    </a:xfrm>
                    <a:prstGeom prst="rect">
                      <a:avLst/>
                    </a:prstGeom>
                    <a:noFill/>
                    <a:ln>
                      <a:noFill/>
                    </a:ln>
                  </pic:spPr>
                </pic:pic>
              </a:graphicData>
            </a:graphic>
          </wp:inline>
        </w:drawing>
      </w:r>
    </w:p>
    <w:p w14:paraId="52E231F3" w14:textId="51C6486E" w:rsidR="00442B65" w:rsidRDefault="00442B65" w:rsidP="00442B65">
      <w:pPr>
        <w:pStyle w:val="Caption"/>
        <w:keepNext/>
        <w:ind w:left="363"/>
        <w:jc w:val="both"/>
      </w:pPr>
      <w:r>
        <w:t xml:space="preserve">Figure </w:t>
      </w:r>
      <w:r>
        <w:fldChar w:fldCharType="begin"/>
      </w:r>
      <w:r>
        <w:instrText>SEQ Figure \* ARABIC</w:instrText>
      </w:r>
      <w:r>
        <w:fldChar w:fldCharType="separate"/>
      </w:r>
      <w:r w:rsidR="005325A0">
        <w:rPr>
          <w:noProof/>
        </w:rPr>
        <w:t>1</w:t>
      </w:r>
      <w:r>
        <w:fldChar w:fldCharType="end"/>
      </w:r>
      <w:r w:rsidRPr="28193B8A">
        <w:rPr>
          <w:lang w:val="mi-NZ"/>
        </w:rPr>
        <w:t xml:space="preserve">. Rural-urban disparities: age-standardised rates of vaccination uptake by GCH (June-Dec 2021) </w:t>
      </w:r>
      <w:r w:rsidRPr="0072083E">
        <w:t>The GCH has two urban (U1, U2) and three rural (R1, R2, R3) categories, with U1 being the “most urban” and R3 the “most rural”</w:t>
      </w:r>
    </w:p>
    <w:p w14:paraId="6429A016" w14:textId="77777777" w:rsidR="00442B65" w:rsidRDefault="00442B65" w:rsidP="00442B65">
      <w:pPr>
        <w:jc w:val="both"/>
      </w:pPr>
    </w:p>
    <w:p w14:paraId="4AA30833" w14:textId="7854B17A" w:rsidR="00442B65" w:rsidRDefault="00442B65" w:rsidP="00442B65">
      <w:pPr>
        <w:jc w:val="both"/>
      </w:pPr>
      <w:r>
        <w:t>What we learnt from our qualitative research (Item 5 in final report):</w:t>
      </w:r>
    </w:p>
    <w:p w14:paraId="6B7E6CF5" w14:textId="77777777" w:rsidR="00442B65" w:rsidRDefault="00442B65" w:rsidP="00442B65">
      <w:pPr>
        <w:pStyle w:val="ListParagraph"/>
        <w:numPr>
          <w:ilvl w:val="0"/>
          <w:numId w:val="46"/>
        </w:numPr>
        <w:spacing w:before="0"/>
        <w:jc w:val="both"/>
      </w:pPr>
      <w:r>
        <w:t>The vaccine rollout was heavily reliant on established rural health and social services with strong local leadership and well-connected networks, both locally and with the wider healthcare system.  Recognition that central vaccination policies and procedures were failing rural communities spurred rural health providers to tailor the vaccination rollout service to their local context considering their geography, community characteristics, cultural safety, small health provider teams, limited connectivity etc.</w:t>
      </w:r>
    </w:p>
    <w:p w14:paraId="6C26EA70" w14:textId="77777777" w:rsidR="00442B65" w:rsidRDefault="00442B65" w:rsidP="00442B65">
      <w:pPr>
        <w:pStyle w:val="ListParagraph"/>
        <w:numPr>
          <w:ilvl w:val="0"/>
          <w:numId w:val="46"/>
        </w:numPr>
        <w:jc w:val="both"/>
      </w:pPr>
      <w:r>
        <w:t>In more remote communities where distances are larger and service delivery teams smaller, it was essential that the vaccine delivery was</w:t>
      </w:r>
      <w:r w:rsidRPr="006056FC">
        <w:rPr>
          <w:lang w:val="en-GB"/>
        </w:rPr>
        <w:t xml:space="preserve"> integrated </w:t>
      </w:r>
      <w:r>
        <w:rPr>
          <w:lang w:val="en-GB"/>
        </w:rPr>
        <w:t>as part of</w:t>
      </w:r>
      <w:r w:rsidRPr="006056FC">
        <w:rPr>
          <w:lang w:val="en-GB"/>
        </w:rPr>
        <w:t xml:space="preserve"> existing health services and connected to all other </w:t>
      </w:r>
      <w:r>
        <w:rPr>
          <w:lang w:val="en-GB"/>
        </w:rPr>
        <w:t>COVID-19</w:t>
      </w:r>
      <w:r w:rsidRPr="006056FC">
        <w:rPr>
          <w:lang w:val="en-GB"/>
        </w:rPr>
        <w:t xml:space="preserve"> related activities </w:t>
      </w:r>
      <w:r>
        <w:rPr>
          <w:lang w:val="en-GB"/>
        </w:rPr>
        <w:t>(</w:t>
      </w:r>
      <w:r w:rsidRPr="006056FC">
        <w:rPr>
          <w:lang w:val="en-GB"/>
        </w:rPr>
        <w:t>e</w:t>
      </w:r>
      <w:r>
        <w:rPr>
          <w:lang w:val="en-GB"/>
        </w:rPr>
        <w:t>.</w:t>
      </w:r>
      <w:r w:rsidRPr="006056FC">
        <w:rPr>
          <w:lang w:val="en-GB"/>
        </w:rPr>
        <w:t>g</w:t>
      </w:r>
      <w:r>
        <w:rPr>
          <w:lang w:val="en-GB"/>
        </w:rPr>
        <w:t>.</w:t>
      </w:r>
      <w:r w:rsidRPr="006056FC">
        <w:rPr>
          <w:lang w:val="en-GB"/>
        </w:rPr>
        <w:t xml:space="preserve"> </w:t>
      </w:r>
      <w:r>
        <w:rPr>
          <w:lang w:val="en-GB"/>
        </w:rPr>
        <w:t>SIQ</w:t>
      </w:r>
      <w:r w:rsidRPr="006056FC">
        <w:rPr>
          <w:lang w:val="en-GB"/>
        </w:rPr>
        <w:t>, swabs, clinical care etc</w:t>
      </w:r>
      <w:r>
        <w:rPr>
          <w:lang w:val="en-GB"/>
        </w:rPr>
        <w:t>.)</w:t>
      </w:r>
      <w:r w:rsidRPr="006056FC">
        <w:rPr>
          <w:lang w:val="en-GB"/>
        </w:rPr>
        <w:t xml:space="preserve"> within that service</w:t>
      </w:r>
      <w:r>
        <w:rPr>
          <w:lang w:val="en-GB"/>
        </w:rPr>
        <w:t>.</w:t>
      </w:r>
    </w:p>
    <w:p w14:paraId="2BFCB935" w14:textId="77777777" w:rsidR="00442B65" w:rsidRPr="00083205" w:rsidRDefault="00442B65" w:rsidP="00442B65">
      <w:pPr>
        <w:pStyle w:val="ListParagraph"/>
        <w:numPr>
          <w:ilvl w:val="0"/>
          <w:numId w:val="46"/>
        </w:numPr>
        <w:jc w:val="both"/>
        <w:rPr>
          <w:i/>
          <w:iCs/>
        </w:rPr>
      </w:pPr>
      <w:r>
        <w:t>Established networks and trusted relationships, especially for rural Māori and Pacific, are crucial for a successful vaccine rollout.  Māori and Pacific clinical and non-clinical providers who are familiar with the local context, including fine-grain geography, in rural communities should take a lead role in successful vaccine delivery.</w:t>
      </w:r>
    </w:p>
    <w:p w14:paraId="1959FD19" w14:textId="77777777" w:rsidR="00442B65" w:rsidRDefault="00442B65" w:rsidP="00442B65">
      <w:pPr>
        <w:pStyle w:val="ListParagraph"/>
        <w:numPr>
          <w:ilvl w:val="0"/>
          <w:numId w:val="46"/>
        </w:numPr>
        <w:jc w:val="both"/>
      </w:pPr>
      <w:r>
        <w:lastRenderedPageBreak/>
        <w:t>With adequate central resourcing (as provided during COVID-19 pandemic), rural services are flexible and can pivot quickly to meet rapidly changing healthcare needs within their communities including upskilling and maximising the opportunities offered by the unregulated (but community engaged) workforce.  Large, rapid, and temporary upscaling are very problematic for rural health services due to a number of factors including diseconomies of scale, greater geographical distances, small low density populations, small workforce teams, more severe workforce shortages, wide service roles and limited resources including poor connectivity and lack of physical infrastructure.</w:t>
      </w:r>
    </w:p>
    <w:p w14:paraId="7737E682" w14:textId="608D7F35" w:rsidR="00AB73C1" w:rsidRDefault="00442B65" w:rsidP="002B0F6B">
      <w:pPr>
        <w:pStyle w:val="ListParagraph"/>
        <w:numPr>
          <w:ilvl w:val="0"/>
          <w:numId w:val="46"/>
        </w:numPr>
        <w:jc w:val="both"/>
      </w:pPr>
      <w:r>
        <w:t>Central IT systems designed in collaboration with rural health providers</w:t>
      </w:r>
      <w:r w:rsidRPr="00EB7C21">
        <w:t xml:space="preserve"> </w:t>
      </w:r>
      <w:r>
        <w:t>at concept to suit the rural context (e.g., where connectivity may be limited and there are low staffing configurations) along with training that does not require the need for distant travel for rural health workers would mitigate many logistical challenges faced by rural providers.</w:t>
      </w:r>
    </w:p>
    <w:p w14:paraId="0EC41E95" w14:textId="77777777" w:rsidR="00442B65" w:rsidRDefault="00442B65" w:rsidP="00442B65">
      <w:pPr>
        <w:pStyle w:val="ListParagraph"/>
        <w:ind w:left="363"/>
        <w:jc w:val="both"/>
      </w:pPr>
    </w:p>
    <w:p w14:paraId="3FA255DC" w14:textId="2A7E94A2" w:rsidR="00A67FEA" w:rsidRPr="0085243C" w:rsidRDefault="006D1D79" w:rsidP="000966D7">
      <w:pPr>
        <w:pStyle w:val="Heading2"/>
      </w:pPr>
      <w:r>
        <w:t>What are the p</w:t>
      </w:r>
      <w:r w:rsidRPr="00215471">
        <w:t>ractical solutions and implementation options</w:t>
      </w:r>
      <w:r>
        <w:t xml:space="preserve"> that you recommend?</w:t>
      </w:r>
      <w:bookmarkEnd w:id="1"/>
    </w:p>
    <w:p w14:paraId="03DEB9FD" w14:textId="77777777" w:rsidR="00442B65" w:rsidRPr="00124BC8" w:rsidRDefault="00442B65" w:rsidP="00442B65">
      <w:pPr>
        <w:pStyle w:val="ListParagraph"/>
        <w:numPr>
          <w:ilvl w:val="0"/>
          <w:numId w:val="48"/>
        </w:numPr>
        <w:ind w:left="284" w:hanging="284"/>
        <w:rPr>
          <w:rFonts w:cs="Segoe UI"/>
          <w:color w:val="000000"/>
        </w:rPr>
      </w:pPr>
      <w:r w:rsidRPr="28193B8A">
        <w:rPr>
          <w:b/>
          <w:bCs/>
        </w:rPr>
        <w:t xml:space="preserve">Sustainable rural resourcing for emergency preparation. </w:t>
      </w:r>
      <w:r>
        <w:rPr>
          <w:b/>
          <w:bCs/>
        </w:rPr>
        <w:t xml:space="preserve"> </w:t>
      </w:r>
      <w:r w:rsidRPr="28193B8A">
        <w:rPr>
          <w:rFonts w:cs="Segoe UI"/>
          <w:color w:val="000000" w:themeColor="text1"/>
        </w:rPr>
        <w:t>In its contracts with rural health services the commissioning arm of T</w:t>
      </w:r>
      <w:r>
        <w:rPr>
          <w:rFonts w:cs="Segoe UI"/>
          <w:color w:val="000000" w:themeColor="text1"/>
        </w:rPr>
        <w:t xml:space="preserve">e </w:t>
      </w:r>
      <w:r w:rsidRPr="28193B8A">
        <w:rPr>
          <w:rFonts w:cs="Segoe UI"/>
          <w:color w:val="000000" w:themeColor="text1"/>
        </w:rPr>
        <w:t>W</w:t>
      </w:r>
      <w:r>
        <w:rPr>
          <w:rFonts w:cs="Segoe UI"/>
          <w:color w:val="000000" w:themeColor="text1"/>
        </w:rPr>
        <w:t xml:space="preserve">hatu </w:t>
      </w:r>
      <w:r w:rsidRPr="28193B8A">
        <w:rPr>
          <w:rFonts w:cs="Segoe UI"/>
          <w:color w:val="000000" w:themeColor="text1"/>
        </w:rPr>
        <w:t>O</w:t>
      </w:r>
      <w:r>
        <w:rPr>
          <w:rFonts w:cs="Segoe UI"/>
          <w:color w:val="000000" w:themeColor="text1"/>
        </w:rPr>
        <w:t>ra</w:t>
      </w:r>
      <w:r w:rsidRPr="28193B8A">
        <w:rPr>
          <w:rFonts w:cs="Segoe UI"/>
          <w:color w:val="000000" w:themeColor="text1"/>
        </w:rPr>
        <w:t xml:space="preserve"> and Te Aka </w:t>
      </w:r>
      <w:proofErr w:type="spellStart"/>
      <w:r w:rsidRPr="28193B8A">
        <w:rPr>
          <w:rFonts w:cs="Segoe UI"/>
          <w:color w:val="000000" w:themeColor="text1"/>
        </w:rPr>
        <w:t>Whai</w:t>
      </w:r>
      <w:proofErr w:type="spellEnd"/>
      <w:r w:rsidRPr="28193B8A">
        <w:rPr>
          <w:rFonts w:cs="Segoe UI"/>
          <w:color w:val="000000" w:themeColor="text1"/>
        </w:rPr>
        <w:t xml:space="preserve"> Ora should assume that events such as pandemics and extreme weather events will become increasingly common</w:t>
      </w:r>
      <w:r>
        <w:rPr>
          <w:rFonts w:cs="Segoe UI"/>
          <w:color w:val="000000" w:themeColor="text1"/>
        </w:rPr>
        <w:t xml:space="preserve">.  There needs to be recognition by Te Whatu Ora and Te Aka </w:t>
      </w:r>
      <w:proofErr w:type="spellStart"/>
      <w:r>
        <w:rPr>
          <w:rFonts w:cs="Segoe UI"/>
          <w:color w:val="000000" w:themeColor="text1"/>
        </w:rPr>
        <w:t>Whai</w:t>
      </w:r>
      <w:proofErr w:type="spellEnd"/>
      <w:r>
        <w:rPr>
          <w:rFonts w:cs="Segoe UI"/>
          <w:color w:val="000000" w:themeColor="text1"/>
        </w:rPr>
        <w:t xml:space="preserve"> Ora</w:t>
      </w:r>
      <w:r w:rsidRPr="28193B8A">
        <w:rPr>
          <w:rFonts w:cs="Segoe UI"/>
          <w:color w:val="000000" w:themeColor="text1"/>
        </w:rPr>
        <w:t xml:space="preserve"> </w:t>
      </w:r>
      <w:r w:rsidRPr="6C51F3E6">
        <w:rPr>
          <w:rFonts w:cs="Segoe UI"/>
          <w:color w:val="000000" w:themeColor="text1"/>
        </w:rPr>
        <w:t xml:space="preserve">that existing </w:t>
      </w:r>
      <w:r>
        <w:rPr>
          <w:rFonts w:cs="Segoe UI"/>
          <w:color w:val="000000" w:themeColor="text1"/>
        </w:rPr>
        <w:t>/</w:t>
      </w:r>
      <w:r w:rsidRPr="6C51F3E6">
        <w:rPr>
          <w:rFonts w:cs="Segoe UI"/>
          <w:color w:val="000000" w:themeColor="text1"/>
        </w:rPr>
        <w:t xml:space="preserve"> established </w:t>
      </w:r>
      <w:r w:rsidRPr="28193B8A">
        <w:rPr>
          <w:rFonts w:cs="Segoe UI"/>
          <w:color w:val="000000" w:themeColor="text1"/>
        </w:rPr>
        <w:t>rural health services are best placed to manage the local response</w:t>
      </w:r>
      <w:r>
        <w:rPr>
          <w:rFonts w:cs="Segoe UI"/>
          <w:color w:val="000000" w:themeColor="text1"/>
        </w:rPr>
        <w:t xml:space="preserve"> in such emergencies</w:t>
      </w:r>
      <w:r w:rsidRPr="6C51F3E6">
        <w:rPr>
          <w:rFonts w:cs="Segoe UI"/>
          <w:color w:val="000000" w:themeColor="text1"/>
        </w:rPr>
        <w:t xml:space="preserve">. </w:t>
      </w:r>
      <w:r>
        <w:rPr>
          <w:rFonts w:cs="Segoe UI"/>
          <w:color w:val="000000" w:themeColor="text1"/>
        </w:rPr>
        <w:t xml:space="preserve"> </w:t>
      </w:r>
      <w:r w:rsidRPr="6C51F3E6">
        <w:rPr>
          <w:rFonts w:cs="Segoe UI"/>
          <w:color w:val="000000" w:themeColor="text1"/>
        </w:rPr>
        <w:t>Thus,</w:t>
      </w:r>
      <w:r w:rsidRPr="28193B8A">
        <w:rPr>
          <w:rFonts w:cs="Segoe UI"/>
          <w:color w:val="000000" w:themeColor="text1"/>
        </w:rPr>
        <w:t xml:space="preserve"> they need to ensure rural health services have the necessary resources, leadership, relationships and resilience to undertake this role. </w:t>
      </w:r>
      <w:r>
        <w:rPr>
          <w:rFonts w:cs="Segoe UI"/>
          <w:color w:val="000000" w:themeColor="text1"/>
        </w:rPr>
        <w:t xml:space="preserve"> </w:t>
      </w:r>
      <w:r w:rsidRPr="28193B8A">
        <w:rPr>
          <w:rFonts w:cs="Segoe UI"/>
          <w:color w:val="000000" w:themeColor="text1"/>
        </w:rPr>
        <w:t>Every effort should be made to avoid rural funding that is temporary and fragmented.</w:t>
      </w:r>
      <w:r>
        <w:rPr>
          <w:rFonts w:cs="Segoe UI"/>
          <w:color w:val="000000" w:themeColor="text1"/>
        </w:rPr>
        <w:t xml:space="preserve">  When this is not appropriate </w:t>
      </w:r>
      <w:r w:rsidRPr="6C51F3E6">
        <w:rPr>
          <w:rFonts w:cs="Segoe UI"/>
          <w:color w:val="000000" w:themeColor="text1"/>
        </w:rPr>
        <w:t xml:space="preserve">or not avoidable </w:t>
      </w:r>
      <w:r>
        <w:rPr>
          <w:rFonts w:cs="Segoe UI"/>
          <w:color w:val="000000" w:themeColor="text1"/>
        </w:rPr>
        <w:t xml:space="preserve">the </w:t>
      </w:r>
      <w:r w:rsidRPr="6C51F3E6">
        <w:rPr>
          <w:rFonts w:cs="Segoe UI"/>
          <w:color w:val="000000" w:themeColor="text1"/>
        </w:rPr>
        <w:t xml:space="preserve">allocated </w:t>
      </w:r>
      <w:r>
        <w:rPr>
          <w:rFonts w:cs="Segoe UI"/>
          <w:color w:val="000000" w:themeColor="text1"/>
        </w:rPr>
        <w:t xml:space="preserve">funding should be </w:t>
      </w:r>
      <w:r w:rsidRPr="6C51F3E6">
        <w:rPr>
          <w:rFonts w:cs="Segoe UI"/>
          <w:color w:val="000000" w:themeColor="text1"/>
        </w:rPr>
        <w:t>channelled</w:t>
      </w:r>
      <w:r>
        <w:rPr>
          <w:rFonts w:cs="Segoe UI"/>
          <w:color w:val="000000" w:themeColor="text1"/>
        </w:rPr>
        <w:t xml:space="preserve"> directly through local rural healthcare providers. </w:t>
      </w:r>
    </w:p>
    <w:p w14:paraId="1291C2A7" w14:textId="77777777" w:rsidR="00442B65" w:rsidRPr="00E34C60" w:rsidRDefault="00442B65" w:rsidP="00442B65">
      <w:pPr>
        <w:pStyle w:val="ListParagraph"/>
        <w:ind w:left="284"/>
        <w:rPr>
          <w:rFonts w:cs="Segoe UI"/>
          <w:color w:val="000000"/>
        </w:rPr>
      </w:pPr>
    </w:p>
    <w:p w14:paraId="7CE54CCB" w14:textId="77777777" w:rsidR="00442B65" w:rsidRDefault="00442B65" w:rsidP="00442B65">
      <w:pPr>
        <w:pStyle w:val="ListParagraph"/>
        <w:numPr>
          <w:ilvl w:val="0"/>
          <w:numId w:val="48"/>
        </w:numPr>
        <w:ind w:left="284" w:hanging="284"/>
        <w:rPr>
          <w:rFonts w:cs="Segoe UI"/>
          <w:color w:val="000000" w:themeColor="text1"/>
        </w:rPr>
      </w:pPr>
      <w:r w:rsidRPr="00124BC8">
        <w:rPr>
          <w:rFonts w:cs="Segoe UI"/>
          <w:b/>
          <w:bCs/>
          <w:color w:val="000000" w:themeColor="text1"/>
        </w:rPr>
        <w:t xml:space="preserve">User-friendly IT systems developed for robust reporting of data using Geographic Classification </w:t>
      </w:r>
      <w:r w:rsidRPr="64F3D052">
        <w:rPr>
          <w:rFonts w:cs="Segoe UI"/>
          <w:b/>
          <w:bCs/>
          <w:color w:val="000000" w:themeColor="text1"/>
        </w:rPr>
        <w:t xml:space="preserve">for </w:t>
      </w:r>
      <w:r w:rsidRPr="001D131A">
        <w:rPr>
          <w:rFonts w:cs="Segoe UI"/>
          <w:b/>
          <w:bCs/>
          <w:color w:val="000000" w:themeColor="text1"/>
        </w:rPr>
        <w:t>Health (GCH)</w:t>
      </w:r>
      <w:r w:rsidRPr="64F3D052">
        <w:rPr>
          <w:rFonts w:cs="Segoe UI"/>
          <w:b/>
          <w:bCs/>
          <w:color w:val="000000" w:themeColor="text1"/>
        </w:rPr>
        <w:t xml:space="preserve"> and ethnicity</w:t>
      </w:r>
      <w:r w:rsidRPr="00124BC8">
        <w:rPr>
          <w:rFonts w:cs="Segoe UI"/>
          <w:b/>
          <w:bCs/>
          <w:color w:val="000000" w:themeColor="text1"/>
        </w:rPr>
        <w:t>.</w:t>
      </w:r>
      <w:r>
        <w:rPr>
          <w:rFonts w:cs="Segoe UI"/>
          <w:b/>
          <w:bCs/>
          <w:color w:val="000000" w:themeColor="text1"/>
        </w:rPr>
        <w:t xml:space="preserve"> </w:t>
      </w:r>
      <w:r w:rsidRPr="64F3D052">
        <w:rPr>
          <w:rFonts w:cs="Segoe UI"/>
          <w:color w:val="000000" w:themeColor="text1"/>
        </w:rPr>
        <w:t xml:space="preserve"> Near real-time monitoring of pandemic and vaccination data that includes geographic information and ethnicity would allow for tailoring or adapting response based on local factors to help ensure an equitable response.</w:t>
      </w:r>
      <w:r>
        <w:rPr>
          <w:rFonts w:cs="Segoe UI"/>
          <w:color w:val="000000" w:themeColor="text1"/>
        </w:rPr>
        <w:t xml:space="preserve">  Systems designed to use off-line in areas with no/poor connectivity with automatic upload when internet access is detected should be explored.</w:t>
      </w:r>
    </w:p>
    <w:p w14:paraId="03BFF692" w14:textId="77777777" w:rsidR="00442B65" w:rsidRPr="00D47C58" w:rsidRDefault="00442B65" w:rsidP="00442B65">
      <w:pPr>
        <w:spacing w:before="0"/>
        <w:ind w:left="284" w:hanging="284"/>
        <w:jc w:val="both"/>
        <w:rPr>
          <w:rFonts w:cs="Segoe UI"/>
          <w:bCs/>
          <w:color w:val="000000"/>
        </w:rPr>
      </w:pPr>
    </w:p>
    <w:p w14:paraId="7662E506" w14:textId="77777777" w:rsidR="00442B65" w:rsidRPr="00E34C60" w:rsidRDefault="00442B65" w:rsidP="00442B65">
      <w:pPr>
        <w:pStyle w:val="ListParagraph"/>
        <w:numPr>
          <w:ilvl w:val="0"/>
          <w:numId w:val="48"/>
        </w:numPr>
        <w:spacing w:before="0"/>
        <w:ind w:left="284" w:hanging="284"/>
        <w:jc w:val="both"/>
        <w:rPr>
          <w:rFonts w:cs="Segoe UI"/>
          <w:bCs/>
          <w:color w:val="000000"/>
        </w:rPr>
      </w:pPr>
      <w:r w:rsidRPr="28193B8A">
        <w:rPr>
          <w:rFonts w:cs="Segoe UI"/>
          <w:b/>
          <w:bCs/>
          <w:color w:val="000000" w:themeColor="text1"/>
        </w:rPr>
        <w:t xml:space="preserve">Build and maintain long-term rural relationships. </w:t>
      </w:r>
      <w:r>
        <w:rPr>
          <w:rFonts w:cs="Segoe UI"/>
          <w:b/>
          <w:bCs/>
          <w:color w:val="000000" w:themeColor="text1"/>
        </w:rPr>
        <w:t xml:space="preserve"> </w:t>
      </w:r>
      <w:r w:rsidRPr="28193B8A">
        <w:rPr>
          <w:rFonts w:cs="Segoe UI"/>
          <w:color w:val="000000" w:themeColor="text1"/>
        </w:rPr>
        <w:t>T</w:t>
      </w:r>
      <w:r>
        <w:rPr>
          <w:rFonts w:cs="Segoe UI"/>
          <w:color w:val="000000" w:themeColor="text1"/>
        </w:rPr>
        <w:t xml:space="preserve">e </w:t>
      </w:r>
      <w:r w:rsidRPr="28193B8A">
        <w:rPr>
          <w:rFonts w:cs="Segoe UI"/>
          <w:color w:val="000000" w:themeColor="text1"/>
        </w:rPr>
        <w:t>W</w:t>
      </w:r>
      <w:r>
        <w:rPr>
          <w:rFonts w:cs="Segoe UI"/>
          <w:color w:val="000000" w:themeColor="text1"/>
        </w:rPr>
        <w:t xml:space="preserve">hatu </w:t>
      </w:r>
      <w:r w:rsidRPr="28193B8A">
        <w:rPr>
          <w:rFonts w:cs="Segoe UI"/>
          <w:color w:val="000000" w:themeColor="text1"/>
        </w:rPr>
        <w:t>O</w:t>
      </w:r>
      <w:r>
        <w:rPr>
          <w:rFonts w:cs="Segoe UI"/>
          <w:color w:val="000000" w:themeColor="text1"/>
        </w:rPr>
        <w:t>ra</w:t>
      </w:r>
      <w:r w:rsidRPr="28193B8A">
        <w:rPr>
          <w:rFonts w:cs="Segoe UI"/>
          <w:color w:val="000000" w:themeColor="text1"/>
        </w:rPr>
        <w:t xml:space="preserve"> should consolidate and formalise its points of contact with individual rural health services and rural health networks, </w:t>
      </w:r>
      <w:r>
        <w:rPr>
          <w:rFonts w:cs="Segoe UI"/>
          <w:color w:val="000000" w:themeColor="text1"/>
        </w:rPr>
        <w:t>prioritising the development of</w:t>
      </w:r>
      <w:r w:rsidRPr="28193B8A">
        <w:rPr>
          <w:rFonts w:cs="Segoe UI"/>
          <w:color w:val="000000" w:themeColor="text1"/>
        </w:rPr>
        <w:t xml:space="preserve"> long-term relationships and </w:t>
      </w:r>
      <w:r>
        <w:rPr>
          <w:rFonts w:cs="Segoe UI"/>
          <w:color w:val="000000" w:themeColor="text1"/>
        </w:rPr>
        <w:t xml:space="preserve">ensuring </w:t>
      </w:r>
      <w:r w:rsidRPr="28193B8A">
        <w:rPr>
          <w:rFonts w:cs="Segoe UI"/>
          <w:color w:val="000000" w:themeColor="text1"/>
        </w:rPr>
        <w:t xml:space="preserve">a </w:t>
      </w:r>
      <w:r w:rsidRPr="00042D3E">
        <w:rPr>
          <w:rFonts w:cs="Segoe UI"/>
          <w:color w:val="000000" w:themeColor="text1"/>
          <w:u w:val="single"/>
        </w:rPr>
        <w:t xml:space="preserve">greater </w:t>
      </w:r>
      <w:r>
        <w:rPr>
          <w:rFonts w:cs="Segoe UI"/>
          <w:color w:val="000000" w:themeColor="text1"/>
          <w:u w:val="single"/>
        </w:rPr>
        <w:t xml:space="preserve">central </w:t>
      </w:r>
      <w:r w:rsidRPr="00042D3E">
        <w:rPr>
          <w:rFonts w:cs="Segoe UI"/>
          <w:color w:val="000000" w:themeColor="text1"/>
          <w:u w:val="single"/>
        </w:rPr>
        <w:t>understanding of the rural context</w:t>
      </w:r>
      <w:r w:rsidRPr="28193B8A">
        <w:rPr>
          <w:rFonts w:cs="Segoe UI"/>
          <w:color w:val="000000" w:themeColor="text1"/>
        </w:rPr>
        <w:t>.</w:t>
      </w:r>
    </w:p>
    <w:p w14:paraId="4AF91AE7" w14:textId="77777777" w:rsidR="00442B65" w:rsidRPr="00F83EBC" w:rsidRDefault="00442B65" w:rsidP="00442B65">
      <w:pPr>
        <w:pStyle w:val="ListParagraph"/>
        <w:spacing w:before="0"/>
        <w:ind w:left="284" w:hanging="284"/>
        <w:jc w:val="both"/>
        <w:rPr>
          <w:rFonts w:cs="Segoe UI"/>
          <w:bCs/>
          <w:color w:val="000000"/>
        </w:rPr>
      </w:pPr>
    </w:p>
    <w:p w14:paraId="5189F658" w14:textId="77777777" w:rsidR="00442B65" w:rsidRPr="00E34C60" w:rsidRDefault="00442B65" w:rsidP="00442B65">
      <w:pPr>
        <w:pStyle w:val="ListParagraph"/>
        <w:numPr>
          <w:ilvl w:val="0"/>
          <w:numId w:val="48"/>
        </w:numPr>
        <w:ind w:left="284" w:hanging="284"/>
        <w:jc w:val="both"/>
        <w:rPr>
          <w:rFonts w:cs="Segoe UI"/>
          <w:color w:val="000000"/>
        </w:rPr>
      </w:pPr>
      <w:r w:rsidRPr="28193B8A">
        <w:rPr>
          <w:rFonts w:cs="Segoe UI"/>
          <w:b/>
          <w:bCs/>
          <w:color w:val="000000" w:themeColor="text1"/>
        </w:rPr>
        <w:t>Rural included in emergency response.</w:t>
      </w:r>
      <w:r w:rsidRPr="28193B8A">
        <w:rPr>
          <w:rFonts w:cs="Segoe UI"/>
          <w:color w:val="000000" w:themeColor="text1"/>
        </w:rPr>
        <w:t xml:space="preserve"> </w:t>
      </w:r>
      <w:r>
        <w:rPr>
          <w:rFonts w:cs="Segoe UI"/>
          <w:color w:val="000000" w:themeColor="text1"/>
        </w:rPr>
        <w:t xml:space="preserve"> </w:t>
      </w:r>
      <w:r w:rsidRPr="28193B8A">
        <w:rPr>
          <w:rFonts w:cs="Segoe UI"/>
          <w:color w:val="000000" w:themeColor="text1"/>
        </w:rPr>
        <w:t xml:space="preserve">A </w:t>
      </w:r>
      <w:r w:rsidRPr="28193B8A">
        <w:rPr>
          <w:rStyle w:val="normaltextrun"/>
          <w:color w:val="000000" w:themeColor="text1"/>
        </w:rPr>
        <w:t>national group of rural health and community leaders (that includes Māori and Pa</w:t>
      </w:r>
      <w:r>
        <w:rPr>
          <w:rStyle w:val="normaltextrun"/>
          <w:color w:val="000000" w:themeColor="text1"/>
        </w:rPr>
        <w:t>cific</w:t>
      </w:r>
      <w:r w:rsidRPr="28193B8A">
        <w:rPr>
          <w:rStyle w:val="normaltextrun"/>
          <w:color w:val="000000" w:themeColor="text1"/>
        </w:rPr>
        <w:t xml:space="preserve"> providers) should be formed in preparation of any future public health emergency.</w:t>
      </w:r>
      <w:r>
        <w:rPr>
          <w:rStyle w:val="normaltextrun"/>
          <w:color w:val="000000" w:themeColor="text1"/>
        </w:rPr>
        <w:t xml:space="preserve"> </w:t>
      </w:r>
      <w:r w:rsidRPr="28193B8A">
        <w:rPr>
          <w:rStyle w:val="normaltextrun"/>
          <w:color w:val="000000" w:themeColor="text1"/>
        </w:rPr>
        <w:t xml:space="preserve"> The group </w:t>
      </w:r>
      <w:r>
        <w:rPr>
          <w:rStyle w:val="normaltextrun"/>
          <w:color w:val="000000" w:themeColor="text1"/>
        </w:rPr>
        <w:t>could then be</w:t>
      </w:r>
      <w:r w:rsidRPr="28193B8A">
        <w:rPr>
          <w:rStyle w:val="normaltextrun"/>
          <w:color w:val="000000" w:themeColor="text1"/>
        </w:rPr>
        <w:t xml:space="preserve"> convened at haste to design processes that actively facilitate (and avoid impeding) locally tailored responses</w:t>
      </w:r>
      <w:r>
        <w:rPr>
          <w:rStyle w:val="normaltextrun"/>
          <w:color w:val="000000" w:themeColor="text1"/>
        </w:rPr>
        <w:t xml:space="preserve"> in rural areas.</w:t>
      </w:r>
    </w:p>
    <w:p w14:paraId="34BC736C" w14:textId="77777777" w:rsidR="00442B65" w:rsidRPr="00BD650D" w:rsidRDefault="00442B65" w:rsidP="00442B65">
      <w:pPr>
        <w:spacing w:before="0"/>
        <w:ind w:left="284" w:hanging="284"/>
        <w:jc w:val="both"/>
        <w:rPr>
          <w:rFonts w:cs="Segoe UI"/>
          <w:bCs/>
          <w:color w:val="000000"/>
        </w:rPr>
      </w:pPr>
    </w:p>
    <w:p w14:paraId="3CA4CDD3" w14:textId="77777777" w:rsidR="00442B65" w:rsidRPr="00B974A2" w:rsidRDefault="00442B65" w:rsidP="00442B65">
      <w:pPr>
        <w:pStyle w:val="ListParagraph"/>
        <w:numPr>
          <w:ilvl w:val="0"/>
          <w:numId w:val="48"/>
        </w:numPr>
        <w:spacing w:before="0"/>
        <w:ind w:left="284" w:hanging="284"/>
        <w:jc w:val="both"/>
        <w:rPr>
          <w:rFonts w:cs="Segoe UI"/>
          <w:i/>
          <w:iCs/>
          <w:color w:val="000000"/>
          <w:szCs w:val="20"/>
        </w:rPr>
      </w:pPr>
      <w:r w:rsidRPr="14014D7C">
        <w:rPr>
          <w:rFonts w:cs="Segoe UI"/>
          <w:b/>
          <w:color w:val="000000" w:themeColor="text1"/>
        </w:rPr>
        <w:t xml:space="preserve">Iwi and Pacific providers included in emergency response. </w:t>
      </w:r>
      <w:r>
        <w:rPr>
          <w:rFonts w:cs="Segoe UI"/>
          <w:b/>
          <w:color w:val="000000" w:themeColor="text1"/>
        </w:rPr>
        <w:t xml:space="preserve"> </w:t>
      </w:r>
      <w:r w:rsidRPr="14014D7C">
        <w:rPr>
          <w:rFonts w:eastAsiaTheme="minorEastAsia" w:cs="Helvetica Neue"/>
          <w:color w:val="000000" w:themeColor="text1"/>
          <w:lang w:val="en-GB" w:eastAsia="en-US"/>
        </w:rPr>
        <w:t>Recognition of the role of rural Iwi and Pacific providers and community groups (clinical and non-clinical) in public health emergency planning and response is required.  Sustained pre-existing investment (i.e. long-term contracts, arrangements and relationships</w:t>
      </w:r>
      <w:r>
        <w:rPr>
          <w:rFonts w:eastAsiaTheme="minorEastAsia" w:cs="Helvetica Neue"/>
          <w:color w:val="000000" w:themeColor="text1"/>
          <w:lang w:val="en-GB" w:eastAsia="en-US"/>
        </w:rPr>
        <w:t xml:space="preserve"> that </w:t>
      </w:r>
      <w:proofErr w:type="spellStart"/>
      <w:r>
        <w:rPr>
          <w:rFonts w:eastAsiaTheme="minorEastAsia" w:cs="Helvetica Neue"/>
          <w:color w:val="000000" w:themeColor="text1"/>
          <w:lang w:val="en-GB" w:eastAsia="en-US"/>
        </w:rPr>
        <w:t>explicity</w:t>
      </w:r>
      <w:proofErr w:type="spellEnd"/>
      <w:r>
        <w:rPr>
          <w:rFonts w:eastAsiaTheme="minorEastAsia" w:cs="Helvetica Neue"/>
          <w:color w:val="000000" w:themeColor="text1"/>
          <w:lang w:val="en-GB" w:eastAsia="en-US"/>
        </w:rPr>
        <w:t xml:space="preserve"> acknowledge their role in future emergencies</w:t>
      </w:r>
      <w:r w:rsidRPr="14014D7C">
        <w:rPr>
          <w:rFonts w:eastAsiaTheme="minorEastAsia" w:cs="Helvetica Neue"/>
          <w:color w:val="000000" w:themeColor="text1"/>
          <w:lang w:val="en-GB" w:eastAsia="en-US"/>
        </w:rPr>
        <w:t xml:space="preserve">) </w:t>
      </w:r>
      <w:r>
        <w:rPr>
          <w:rFonts w:eastAsiaTheme="minorEastAsia" w:cs="Helvetica Neue"/>
          <w:color w:val="000000" w:themeColor="text1"/>
          <w:lang w:val="en-GB" w:eastAsia="en-US"/>
        </w:rPr>
        <w:t xml:space="preserve">with </w:t>
      </w:r>
      <w:r w:rsidRPr="14014D7C">
        <w:rPr>
          <w:rFonts w:eastAsiaTheme="minorEastAsia" w:cs="Helvetica Neue"/>
          <w:color w:val="000000" w:themeColor="text1"/>
          <w:lang w:val="en-GB" w:eastAsia="en-US"/>
        </w:rPr>
        <w:t>rural Iwi and Pacific providers will ensure rapidly available support and response.</w:t>
      </w:r>
    </w:p>
    <w:p w14:paraId="1978FE75" w14:textId="77777777" w:rsidR="00442B65" w:rsidRDefault="00442B65" w:rsidP="00442B65">
      <w:pPr>
        <w:spacing w:before="0"/>
        <w:ind w:left="284" w:hanging="284"/>
        <w:jc w:val="both"/>
        <w:rPr>
          <w:rFonts w:cs="Segoe UI"/>
          <w:bCs/>
          <w:color w:val="000000"/>
        </w:rPr>
      </w:pPr>
    </w:p>
    <w:p w14:paraId="51C68A12" w14:textId="77777777" w:rsidR="00442B65" w:rsidRPr="00B974A2" w:rsidRDefault="00442B65" w:rsidP="00442B65">
      <w:pPr>
        <w:pStyle w:val="ListParagraph"/>
        <w:numPr>
          <w:ilvl w:val="0"/>
          <w:numId w:val="48"/>
        </w:numPr>
        <w:spacing w:before="0"/>
        <w:ind w:left="284" w:hanging="284"/>
        <w:jc w:val="both"/>
        <w:rPr>
          <w:rFonts w:cs="Segoe UI"/>
          <w:i/>
          <w:iCs/>
          <w:color w:val="000000"/>
        </w:rPr>
      </w:pPr>
      <w:r w:rsidRPr="1404768A">
        <w:rPr>
          <w:rStyle w:val="normaltextrun"/>
          <w:b/>
          <w:bCs/>
          <w:color w:val="000000" w:themeColor="text1"/>
        </w:rPr>
        <w:t>Clarify roles, expectations, and processes for collaboration</w:t>
      </w:r>
      <w:r>
        <w:rPr>
          <w:rStyle w:val="normaltextrun"/>
          <w:b/>
          <w:bCs/>
          <w:color w:val="000000" w:themeColor="text1"/>
        </w:rPr>
        <w:t xml:space="preserve"> between local rural health services and external providers</w:t>
      </w:r>
      <w:r w:rsidRPr="1404768A">
        <w:rPr>
          <w:rStyle w:val="normaltextrun"/>
          <w:b/>
          <w:bCs/>
          <w:color w:val="000000" w:themeColor="text1"/>
        </w:rPr>
        <w:t>.</w:t>
      </w:r>
      <w:r>
        <w:rPr>
          <w:rStyle w:val="normaltextrun"/>
          <w:b/>
          <w:bCs/>
          <w:color w:val="000000" w:themeColor="text1"/>
        </w:rPr>
        <w:t xml:space="preserve">  </w:t>
      </w:r>
      <w:r>
        <w:rPr>
          <w:rStyle w:val="normaltextrun"/>
          <w:color w:val="000000" w:themeColor="text1"/>
        </w:rPr>
        <w:t>On those occasions where it becomes necessary for outside agencies to provide services within a local community (e.g., during an emergency)</w:t>
      </w:r>
      <w:r w:rsidRPr="1404768A">
        <w:rPr>
          <w:rStyle w:val="normaltextrun"/>
          <w:b/>
          <w:bCs/>
          <w:color w:val="000000" w:themeColor="text1"/>
        </w:rPr>
        <w:t xml:space="preserve"> </w:t>
      </w:r>
      <w:r>
        <w:rPr>
          <w:rStyle w:val="normaltextrun"/>
          <w:color w:val="000000" w:themeColor="text1"/>
        </w:rPr>
        <w:t>f</w:t>
      </w:r>
      <w:r w:rsidRPr="1404768A">
        <w:rPr>
          <w:rStyle w:val="normaltextrun"/>
          <w:color w:val="000000" w:themeColor="text1"/>
        </w:rPr>
        <w:t xml:space="preserve">ormal agreements/processes </w:t>
      </w:r>
      <w:r>
        <w:rPr>
          <w:rStyle w:val="normaltextrun"/>
          <w:color w:val="000000" w:themeColor="text1"/>
        </w:rPr>
        <w:t xml:space="preserve">entered into </w:t>
      </w:r>
      <w:r w:rsidRPr="1404768A">
        <w:rPr>
          <w:rStyle w:val="normaltextrun"/>
          <w:color w:val="000000" w:themeColor="text1"/>
        </w:rPr>
        <w:t xml:space="preserve">between local and external providers around roles and expectations </w:t>
      </w:r>
      <w:r>
        <w:rPr>
          <w:rStyle w:val="normaltextrun"/>
          <w:color w:val="000000" w:themeColor="text1"/>
        </w:rPr>
        <w:t xml:space="preserve">will </w:t>
      </w:r>
      <w:r w:rsidRPr="1404768A">
        <w:rPr>
          <w:rStyle w:val="normaltextrun"/>
          <w:color w:val="000000" w:themeColor="text1"/>
        </w:rPr>
        <w:t>ensure effective inter-organisational collaboration</w:t>
      </w:r>
      <w:r>
        <w:rPr>
          <w:rStyle w:val="normaltextrun"/>
          <w:color w:val="000000" w:themeColor="text1"/>
        </w:rPr>
        <w:t>.</w:t>
      </w:r>
      <w:r w:rsidRPr="1404768A">
        <w:rPr>
          <w:rStyle w:val="normaltextrun"/>
          <w:color w:val="000000" w:themeColor="text1"/>
        </w:rPr>
        <w:t xml:space="preserve"> </w:t>
      </w:r>
      <w:r>
        <w:rPr>
          <w:rStyle w:val="normaltextrun"/>
          <w:color w:val="000000" w:themeColor="text1"/>
        </w:rPr>
        <w:t xml:space="preserve"> Maintaining</w:t>
      </w:r>
      <w:r w:rsidRPr="1404768A">
        <w:rPr>
          <w:rStyle w:val="normaltextrun"/>
          <w:color w:val="000000" w:themeColor="text1"/>
        </w:rPr>
        <w:t xml:space="preserve"> agency within the locality</w:t>
      </w:r>
      <w:r>
        <w:rPr>
          <w:rStyle w:val="normaltextrun"/>
          <w:color w:val="000000" w:themeColor="text1"/>
        </w:rPr>
        <w:t xml:space="preserve"> needs to remain an important objective</w:t>
      </w:r>
      <w:r w:rsidRPr="1404768A">
        <w:rPr>
          <w:rStyle w:val="normaltextrun"/>
          <w:color w:val="000000" w:themeColor="text1"/>
        </w:rPr>
        <w:t>.</w:t>
      </w:r>
    </w:p>
    <w:p w14:paraId="48ABBDE3" w14:textId="77777777" w:rsidR="00442B65" w:rsidRPr="00BD650D" w:rsidRDefault="00442B65" w:rsidP="00442B65">
      <w:pPr>
        <w:spacing w:before="0"/>
        <w:ind w:left="284" w:hanging="284"/>
        <w:jc w:val="both"/>
        <w:rPr>
          <w:rFonts w:cs="Segoe UI"/>
          <w:bCs/>
          <w:color w:val="000000"/>
        </w:rPr>
      </w:pPr>
    </w:p>
    <w:p w14:paraId="7FA09623" w14:textId="77777777" w:rsidR="00442B65" w:rsidRPr="00442B65" w:rsidRDefault="00442B65" w:rsidP="00442B65">
      <w:pPr>
        <w:pStyle w:val="ListParagraph"/>
        <w:numPr>
          <w:ilvl w:val="0"/>
          <w:numId w:val="48"/>
        </w:numPr>
        <w:spacing w:before="0"/>
        <w:ind w:left="284" w:hanging="284"/>
        <w:jc w:val="both"/>
        <w:rPr>
          <w:rStyle w:val="normaltextrun"/>
          <w:rFonts w:cs="Segoe UI"/>
          <w:i/>
          <w:iCs/>
          <w:color w:val="000000"/>
        </w:rPr>
      </w:pPr>
      <w:r w:rsidRPr="1404768A">
        <w:rPr>
          <w:rFonts w:cs="Segoe UI"/>
          <w:b/>
          <w:bCs/>
          <w:color w:val="000000" w:themeColor="text1"/>
        </w:rPr>
        <w:t xml:space="preserve">Focus on capacity building. </w:t>
      </w:r>
      <w:r>
        <w:rPr>
          <w:rFonts w:cs="Segoe UI"/>
          <w:b/>
          <w:bCs/>
          <w:color w:val="000000" w:themeColor="text1"/>
        </w:rPr>
        <w:t xml:space="preserve"> </w:t>
      </w:r>
      <w:r w:rsidRPr="1404768A">
        <w:rPr>
          <w:rStyle w:val="normaltextrun"/>
          <w:color w:val="000000" w:themeColor="text1"/>
        </w:rPr>
        <w:t>Invest in a community development approach to build capacity in local rural communities</w:t>
      </w:r>
      <w:r>
        <w:rPr>
          <w:rStyle w:val="normaltextrun"/>
          <w:color w:val="000000" w:themeColor="text1"/>
        </w:rPr>
        <w:t xml:space="preserve">: </w:t>
      </w:r>
      <w:proofErr w:type="spellStart"/>
      <w:r>
        <w:rPr>
          <w:rStyle w:val="normaltextrun"/>
          <w:color w:val="000000" w:themeColor="text1"/>
        </w:rPr>
        <w:t>i</w:t>
      </w:r>
      <w:proofErr w:type="spellEnd"/>
      <w:r>
        <w:rPr>
          <w:rStyle w:val="normaltextrun"/>
          <w:color w:val="000000" w:themeColor="text1"/>
        </w:rPr>
        <w:t xml:space="preserve">) Ground-up community development through </w:t>
      </w:r>
      <w:r w:rsidRPr="1404768A">
        <w:rPr>
          <w:rStyle w:val="normaltextrun"/>
          <w:color w:val="000000" w:themeColor="text1"/>
        </w:rPr>
        <w:t>fund</w:t>
      </w:r>
      <w:r>
        <w:rPr>
          <w:rStyle w:val="normaltextrun"/>
          <w:color w:val="000000" w:themeColor="text1"/>
        </w:rPr>
        <w:t>ing</w:t>
      </w:r>
      <w:r w:rsidRPr="1404768A">
        <w:rPr>
          <w:rStyle w:val="normaltextrun"/>
          <w:color w:val="000000" w:themeColor="text1"/>
        </w:rPr>
        <w:t xml:space="preserve"> localities to identify and tailor existing generic skills within its non-regulated workforce to support healthcare providers on daily basis as well as having the capability to be mobilised during emergency responses</w:t>
      </w:r>
      <w:r>
        <w:rPr>
          <w:rStyle w:val="normaltextrun"/>
          <w:color w:val="000000" w:themeColor="text1"/>
        </w:rPr>
        <w:t>, and ii) Strengthening rural health professional training.</w:t>
      </w:r>
    </w:p>
    <w:p w14:paraId="570D1701" w14:textId="77777777" w:rsidR="00442B65" w:rsidRPr="00442B65" w:rsidRDefault="00442B65" w:rsidP="00442B65">
      <w:pPr>
        <w:pStyle w:val="ListParagraph"/>
        <w:rPr>
          <w:rFonts w:cs="Segoe UI"/>
          <w:i/>
          <w:iCs/>
          <w:color w:val="000000"/>
        </w:rPr>
      </w:pPr>
    </w:p>
    <w:p w14:paraId="1A129C91" w14:textId="77777777" w:rsidR="00442B65" w:rsidRPr="00E34C60" w:rsidRDefault="00442B65" w:rsidP="00442B65">
      <w:pPr>
        <w:pStyle w:val="ListParagraph"/>
        <w:spacing w:before="0"/>
        <w:ind w:left="284"/>
        <w:jc w:val="both"/>
        <w:rPr>
          <w:rFonts w:cs="Segoe UI"/>
          <w:i/>
          <w:iCs/>
          <w:color w:val="000000"/>
        </w:rPr>
      </w:pPr>
    </w:p>
    <w:p w14:paraId="099F6DB5" w14:textId="3DE89278" w:rsidR="00270545" w:rsidRDefault="00D862DA">
      <w:pPr>
        <w:pStyle w:val="Heading2"/>
      </w:pPr>
      <w:r>
        <w:lastRenderedPageBreak/>
        <w:t xml:space="preserve">What </w:t>
      </w:r>
      <w:r w:rsidR="51349D61">
        <w:t xml:space="preserve">considerations </w:t>
      </w:r>
      <w:r w:rsidR="003569B7">
        <w:t xml:space="preserve">need to be taken into account when implementing the </w:t>
      </w:r>
      <w:r w:rsidR="009C4807">
        <w:t>solutions?</w:t>
      </w:r>
    </w:p>
    <w:p w14:paraId="5A5453E1" w14:textId="77777777" w:rsidR="00442B65" w:rsidRPr="000202A6" w:rsidRDefault="00442B65" w:rsidP="00442B65">
      <w:pPr>
        <w:spacing w:before="0" w:line="233" w:lineRule="atLeast"/>
        <w:rPr>
          <w:rStyle w:val="normaltextrun"/>
          <w:color w:val="000000" w:themeColor="text1"/>
          <w:szCs w:val="24"/>
        </w:rPr>
      </w:pPr>
      <w:r w:rsidRPr="000202A6">
        <w:rPr>
          <w:rStyle w:val="normaltextrun"/>
          <w:color w:val="000000" w:themeColor="text1"/>
          <w:szCs w:val="24"/>
        </w:rPr>
        <w:t>Advantages</w:t>
      </w:r>
      <w:r>
        <w:rPr>
          <w:rStyle w:val="normaltextrun"/>
          <w:color w:val="000000" w:themeColor="text1"/>
          <w:szCs w:val="24"/>
        </w:rPr>
        <w:t xml:space="preserve"> to implementing solutions identified in 1.2</w:t>
      </w:r>
      <w:r w:rsidRPr="000202A6">
        <w:rPr>
          <w:rStyle w:val="normaltextrun"/>
          <w:color w:val="000000" w:themeColor="text1"/>
          <w:szCs w:val="24"/>
        </w:rPr>
        <w:t>:</w:t>
      </w:r>
    </w:p>
    <w:p w14:paraId="7022C324" w14:textId="77777777" w:rsidR="00442B65" w:rsidRPr="00C1693F" w:rsidRDefault="00442B65" w:rsidP="00442B65">
      <w:pPr>
        <w:pStyle w:val="ListParagraph"/>
        <w:numPr>
          <w:ilvl w:val="0"/>
          <w:numId w:val="49"/>
        </w:numPr>
        <w:spacing w:before="0" w:line="233" w:lineRule="atLeast"/>
        <w:rPr>
          <w:rStyle w:val="normaltextrun"/>
          <w:color w:val="000000" w:themeColor="text1"/>
        </w:rPr>
      </w:pPr>
      <w:r w:rsidRPr="64F3D052">
        <w:rPr>
          <w:rStyle w:val="normaltextrun"/>
          <w:color w:val="000000" w:themeColor="text1"/>
        </w:rPr>
        <w:t xml:space="preserve">More sustainable and resilient local rural health services that are geographically tailored, culturally appropriate, and locally driven can deliver routine care </w:t>
      </w:r>
      <w:r w:rsidRPr="64F3D052">
        <w:rPr>
          <w:rStyle w:val="normaltextrun"/>
          <w:color w:val="000000" w:themeColor="text1"/>
          <w:u w:val="single"/>
        </w:rPr>
        <w:t>and</w:t>
      </w:r>
      <w:r w:rsidRPr="64F3D052">
        <w:rPr>
          <w:rStyle w:val="normaltextrun"/>
          <w:color w:val="000000" w:themeColor="text1"/>
        </w:rPr>
        <w:t xml:space="preserve"> are adequately prepared to respond to emergencies.</w:t>
      </w:r>
    </w:p>
    <w:p w14:paraId="00A52535" w14:textId="77777777" w:rsidR="00442B65" w:rsidRPr="00C1693F" w:rsidRDefault="00442B65" w:rsidP="00442B65">
      <w:pPr>
        <w:pStyle w:val="ListParagraph"/>
        <w:numPr>
          <w:ilvl w:val="0"/>
          <w:numId w:val="49"/>
        </w:numPr>
        <w:spacing w:before="0" w:line="233" w:lineRule="atLeast"/>
        <w:rPr>
          <w:rStyle w:val="normaltextrun"/>
          <w:color w:val="000000" w:themeColor="text1"/>
        </w:rPr>
      </w:pPr>
      <w:r w:rsidRPr="00C1693F">
        <w:rPr>
          <w:rStyle w:val="normaltextrun"/>
          <w:color w:val="000000" w:themeColor="text1"/>
        </w:rPr>
        <w:t>More equitable outcomes will result from services that are more responsive, flexible and innovative.</w:t>
      </w:r>
    </w:p>
    <w:p w14:paraId="5A910FBC" w14:textId="77777777" w:rsidR="00442B65" w:rsidRDefault="00442B65" w:rsidP="00442B65">
      <w:pPr>
        <w:spacing w:before="0" w:line="233" w:lineRule="atLeast"/>
        <w:rPr>
          <w:rStyle w:val="normaltextrun"/>
          <w:color w:val="000000" w:themeColor="text1"/>
          <w:szCs w:val="24"/>
        </w:rPr>
      </w:pPr>
    </w:p>
    <w:p w14:paraId="599DC852" w14:textId="77777777" w:rsidR="00442B65" w:rsidRPr="000202A6" w:rsidRDefault="00442B65" w:rsidP="00442B65">
      <w:pPr>
        <w:spacing w:before="0" w:line="233" w:lineRule="atLeast"/>
        <w:rPr>
          <w:rStyle w:val="normaltextrun"/>
          <w:color w:val="000000" w:themeColor="text1"/>
          <w:szCs w:val="24"/>
        </w:rPr>
      </w:pPr>
    </w:p>
    <w:p w14:paraId="0A1582F5" w14:textId="77777777" w:rsidR="00442B65" w:rsidRDefault="00442B65" w:rsidP="00442B65">
      <w:pPr>
        <w:spacing w:before="0" w:line="233" w:lineRule="atLeast"/>
        <w:rPr>
          <w:rStyle w:val="normaltextrun"/>
          <w:color w:val="000000" w:themeColor="text1"/>
          <w:szCs w:val="24"/>
        </w:rPr>
      </w:pPr>
      <w:r>
        <w:rPr>
          <w:rStyle w:val="normaltextrun"/>
          <w:color w:val="000000" w:themeColor="text1"/>
          <w:szCs w:val="24"/>
        </w:rPr>
        <w:t>Considerations to implementing solutions identified in 1.2</w:t>
      </w:r>
      <w:r w:rsidRPr="000202A6">
        <w:rPr>
          <w:rStyle w:val="normaltextrun"/>
          <w:color w:val="000000" w:themeColor="text1"/>
          <w:szCs w:val="24"/>
        </w:rPr>
        <w:t xml:space="preserve">: </w:t>
      </w:r>
    </w:p>
    <w:p w14:paraId="206DB2AB" w14:textId="764D9FE8" w:rsidR="00B01F25" w:rsidRPr="00B01F25" w:rsidRDefault="00442B65" w:rsidP="00442B65">
      <w:pPr>
        <w:pStyle w:val="ListParagraph"/>
        <w:numPr>
          <w:ilvl w:val="0"/>
          <w:numId w:val="50"/>
        </w:numPr>
        <w:jc w:val="both"/>
      </w:pPr>
      <w:r w:rsidRPr="00442B65">
        <w:rPr>
          <w:rStyle w:val="normaltextrun"/>
          <w:color w:val="000000" w:themeColor="text1"/>
        </w:rPr>
        <w:t>Our solutions require an alternative funding and commissioning process for rural health services to the current predominant model that is based on siloed programmes and funding: without diminishing the accountability providers have to funders, a more “high trust model” with reduced centra</w:t>
      </w:r>
      <w:r w:rsidRPr="00442B65">
        <w:rPr>
          <w:rFonts w:ascii="Calibri" w:hAnsi="Calibri" w:cs="Calibri"/>
          <w:color w:val="212121"/>
          <w:sz w:val="22"/>
          <w:szCs w:val="22"/>
        </w:rPr>
        <w:t xml:space="preserve">l </w:t>
      </w:r>
      <w:r w:rsidRPr="00442B65">
        <w:rPr>
          <w:rStyle w:val="normaltextrun"/>
          <w:color w:val="000000" w:themeColor="text1"/>
        </w:rPr>
        <w:t>control is necessary to achieve this</w:t>
      </w:r>
    </w:p>
    <w:p w14:paraId="2D015D7A" w14:textId="174BA099" w:rsidR="00B01F25" w:rsidRPr="00B01F25" w:rsidRDefault="00B01F25" w:rsidP="00E54279">
      <w:pPr>
        <w:jc w:val="both"/>
      </w:pPr>
    </w:p>
    <w:sectPr w:rsidR="00B01F25" w:rsidRPr="00B01F25" w:rsidSect="001968C0">
      <w:headerReference w:type="even" r:id="rId21"/>
      <w:headerReference w:type="default" r:id="rId22"/>
      <w:footerReference w:type="default" r:id="rId23"/>
      <w:headerReference w:type="first" r:id="rId24"/>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F1FB" w14:textId="77777777" w:rsidR="00521D25" w:rsidRDefault="00521D25" w:rsidP="009B34A8">
      <w:pPr>
        <w:spacing w:before="0" w:line="240" w:lineRule="auto"/>
      </w:pPr>
      <w:r>
        <w:separator/>
      </w:r>
    </w:p>
  </w:endnote>
  <w:endnote w:type="continuationSeparator" w:id="0">
    <w:p w14:paraId="0BE5E257" w14:textId="77777777" w:rsidR="00521D25" w:rsidRDefault="00521D25" w:rsidP="009B34A8">
      <w:pPr>
        <w:spacing w:before="0" w:line="240" w:lineRule="auto"/>
      </w:pPr>
      <w:r>
        <w:continuationSeparator/>
      </w:r>
    </w:p>
  </w:endnote>
  <w:endnote w:type="continuationNotice" w:id="1">
    <w:p w14:paraId="75B890CD" w14:textId="77777777" w:rsidR="00521D25" w:rsidRDefault="00521D2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AF43" w14:textId="1496BEC9" w:rsidR="001D3DA8" w:rsidRPr="00B9660F" w:rsidRDefault="001D3DA8" w:rsidP="00A230A7">
    <w:pPr>
      <w:pStyle w:val="Footer"/>
      <w:tabs>
        <w:tab w:val="right" w:pos="9355"/>
      </w:tabs>
      <w:rPr>
        <w:b/>
      </w:rPr>
    </w:pPr>
    <w:r w:rsidRPr="00B9660F">
      <w:rPr>
        <w:b/>
      </w:rPr>
      <w:tab/>
      <w:t>health.govt.nz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D660" w14:textId="712EDACC" w:rsidR="001D3DA8" w:rsidRDefault="001D3DA8" w:rsidP="00593E39">
    <w:pPr>
      <w:pStyle w:val="RectoFooter"/>
      <w:tabs>
        <w:tab w:val="left" w:pos="284"/>
      </w:tabs>
    </w:pPr>
    <w:r>
      <w:tab/>
    </w:r>
    <w:r w:rsidR="006F4720">
      <w:t>Final</w:t>
    </w:r>
    <w:r w:rsidR="00593E39">
      <w:t xml:space="preserve"> report</w:t>
    </w:r>
    <w:r w:rsidR="006F4720">
      <w:t xml:space="preserve"> summary</w:t>
    </w:r>
    <w:r>
      <w:t xml:space="preserve">: </w:t>
    </w:r>
    <w:r w:rsidR="00F94476" w:rsidRPr="00F94476">
      <w:t>COVID-19 and National Immunisation Programme research</w:t>
    </w:r>
    <w:r>
      <w:tab/>
    </w:r>
    <w:r>
      <w:rPr>
        <w:rStyle w:val="PageNumber"/>
      </w:rPr>
      <w:fldChar w:fldCharType="begin"/>
    </w:r>
    <w:r>
      <w:rPr>
        <w:rStyle w:val="PageNumber"/>
      </w:rPr>
      <w:instrText xml:space="preserve"> PAGE </w:instrText>
    </w:r>
    <w:r>
      <w:rPr>
        <w:rStyle w:val="PageNumber"/>
      </w:rPr>
      <w:fldChar w:fldCharType="separate"/>
    </w:r>
    <w:r w:rsidR="009D2A3E">
      <w:rPr>
        <w:rStyle w:val="PageNumber"/>
        <w:noProof/>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B44BA7">
    <w:pPr>
      <w:pStyle w:val="RectoFooter"/>
      <w:tabs>
        <w:tab w:val="left" w:pos="284"/>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sidRPr="00B44BA7">
      <w:fldChar w:fldCharType="begin"/>
    </w:r>
    <w:r w:rsidR="00171228" w:rsidRPr="00B44BA7">
      <w:instrText xml:space="preserve"> PAGE </w:instrText>
    </w:r>
    <w:r w:rsidR="00171228" w:rsidRPr="00B44BA7">
      <w:fldChar w:fldCharType="separate"/>
    </w:r>
    <w:r w:rsidR="00171228" w:rsidRPr="00B44BA7">
      <w:t>16</w:t>
    </w:r>
    <w:r w:rsidR="00171228" w:rsidRPr="00B44B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3A6B" w14:textId="77777777" w:rsidR="00521D25" w:rsidRDefault="00521D25" w:rsidP="009B34A8">
      <w:pPr>
        <w:spacing w:before="0" w:line="240" w:lineRule="auto"/>
      </w:pPr>
      <w:r>
        <w:separator/>
      </w:r>
    </w:p>
  </w:footnote>
  <w:footnote w:type="continuationSeparator" w:id="0">
    <w:p w14:paraId="0B415006" w14:textId="77777777" w:rsidR="00521D25" w:rsidRDefault="00521D25" w:rsidP="009B34A8">
      <w:pPr>
        <w:spacing w:before="0" w:line="240" w:lineRule="auto"/>
      </w:pPr>
      <w:r>
        <w:continuationSeparator/>
      </w:r>
    </w:p>
  </w:footnote>
  <w:footnote w:type="continuationNotice" w:id="1">
    <w:p w14:paraId="335DB59C" w14:textId="77777777" w:rsidR="00521D25" w:rsidRDefault="00521D2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D9B6" w14:textId="59C892A2" w:rsidR="00D35D1B" w:rsidRDefault="00D35D1B" w:rsidP="00B44BA7">
    <w:pPr>
      <w:pStyle w:val="Header"/>
      <w:tabs>
        <w:tab w:val="center" w:pos="8080"/>
      </w:tabs>
      <w:jc w:val="right"/>
    </w:pPr>
  </w:p>
  <w:p w14:paraId="5169C4BB" w14:textId="77777777" w:rsidR="001D3DA8" w:rsidRDefault="001D3DA8" w:rsidP="00A230A7">
    <w:pPr>
      <w:pStyle w:val="Header"/>
      <w:ind w:left="-155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73AF" w14:textId="4447502E" w:rsidR="00B44BA7" w:rsidRDefault="00B44BA7" w:rsidP="00B44BA7">
    <w:pPr>
      <w:pStyle w:val="Header"/>
      <w:jc w:val="right"/>
    </w:pPr>
    <w:r w:rsidRPr="00B44BA7">
      <w:rPr>
        <w:noProof/>
      </w:rPr>
      <w:drawing>
        <wp:inline distT="0" distB="0" distL="0" distR="0" wp14:anchorId="7EDBDE82" wp14:editId="284E5C12">
          <wp:extent cx="2169042" cy="844785"/>
          <wp:effectExtent l="0" t="0" r="3175" b="6350"/>
          <wp:docPr id="188991388" name="Picture 3" descr="A blue and white sign with white text&#10;&#10;Description automatically generated">
            <a:extLst xmlns:a="http://schemas.openxmlformats.org/drawingml/2006/main">
              <a:ext uri="{FF2B5EF4-FFF2-40B4-BE49-F238E27FC236}">
                <a16:creationId xmlns:a16="http://schemas.microsoft.com/office/drawing/2014/main" id="{40DBDB5F-5B25-18ED-9DD3-BF292EBD16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sign with white text&#10;&#10;Description automatically generated">
                    <a:extLst>
                      <a:ext uri="{FF2B5EF4-FFF2-40B4-BE49-F238E27FC236}">
                        <a16:creationId xmlns:a16="http://schemas.microsoft.com/office/drawing/2014/main" id="{40DBDB5F-5B25-18ED-9DD3-BF292EBD1671}"/>
                      </a:ext>
                    </a:extLst>
                  </pic:cNvPr>
                  <pic:cNvPicPr>
                    <a:picLocks noChangeAspect="1"/>
                  </pic:cNvPicPr>
                </pic:nvPicPr>
                <pic:blipFill>
                  <a:blip r:embed="rId1"/>
                  <a:stretch>
                    <a:fillRect/>
                  </a:stretch>
                </pic:blipFill>
                <pic:spPr>
                  <a:xfrm>
                    <a:off x="0" y="0"/>
                    <a:ext cx="2183024" cy="8502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5544" w14:textId="77777777" w:rsidR="008A4F3A" w:rsidRDefault="008A4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FFED" w14:textId="77777777" w:rsidR="001D3DA8" w:rsidRDefault="001D3DA8" w:rsidP="00A230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F1A" w14:textId="77777777" w:rsidR="008A4F3A" w:rsidRDefault="008A4F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E936" w14:textId="77777777" w:rsidR="008A4F3A" w:rsidRDefault="008A4F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8443" w14:textId="77777777" w:rsidR="008A4F3A" w:rsidRDefault="008A4F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1EE8" w14:textId="77777777" w:rsidR="008A4F3A" w:rsidRDefault="008A4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5C2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30286"/>
    <w:multiLevelType w:val="hybridMultilevel"/>
    <w:tmpl w:val="0020212C"/>
    <w:lvl w:ilvl="0" w:tplc="A25E6D5E">
      <w:start w:val="13"/>
      <w:numFmt w:val="bullet"/>
      <w:lvlText w:val="-"/>
      <w:lvlJc w:val="left"/>
      <w:pPr>
        <w:ind w:left="747" w:hanging="360"/>
      </w:pPr>
      <w:rPr>
        <w:rFonts w:ascii="Georgia" w:eastAsia="Times New Roman" w:hAnsi="Georgia" w:cs="Times New Roman" w:hint="default"/>
      </w:rPr>
    </w:lvl>
    <w:lvl w:ilvl="1" w:tplc="14090003" w:tentative="1">
      <w:start w:val="1"/>
      <w:numFmt w:val="bullet"/>
      <w:lvlText w:val="o"/>
      <w:lvlJc w:val="left"/>
      <w:pPr>
        <w:ind w:left="1467" w:hanging="360"/>
      </w:pPr>
      <w:rPr>
        <w:rFonts w:ascii="Courier New" w:hAnsi="Courier New" w:cs="Courier New" w:hint="default"/>
      </w:rPr>
    </w:lvl>
    <w:lvl w:ilvl="2" w:tplc="14090005" w:tentative="1">
      <w:start w:val="1"/>
      <w:numFmt w:val="bullet"/>
      <w:lvlText w:val=""/>
      <w:lvlJc w:val="left"/>
      <w:pPr>
        <w:ind w:left="2187" w:hanging="360"/>
      </w:pPr>
      <w:rPr>
        <w:rFonts w:ascii="Wingdings" w:hAnsi="Wingdings" w:hint="default"/>
      </w:rPr>
    </w:lvl>
    <w:lvl w:ilvl="3" w:tplc="14090001" w:tentative="1">
      <w:start w:val="1"/>
      <w:numFmt w:val="bullet"/>
      <w:lvlText w:val=""/>
      <w:lvlJc w:val="left"/>
      <w:pPr>
        <w:ind w:left="2907" w:hanging="360"/>
      </w:pPr>
      <w:rPr>
        <w:rFonts w:ascii="Symbol" w:hAnsi="Symbol" w:hint="default"/>
      </w:rPr>
    </w:lvl>
    <w:lvl w:ilvl="4" w:tplc="14090003" w:tentative="1">
      <w:start w:val="1"/>
      <w:numFmt w:val="bullet"/>
      <w:lvlText w:val="o"/>
      <w:lvlJc w:val="left"/>
      <w:pPr>
        <w:ind w:left="3627" w:hanging="360"/>
      </w:pPr>
      <w:rPr>
        <w:rFonts w:ascii="Courier New" w:hAnsi="Courier New" w:cs="Courier New" w:hint="default"/>
      </w:rPr>
    </w:lvl>
    <w:lvl w:ilvl="5" w:tplc="14090005" w:tentative="1">
      <w:start w:val="1"/>
      <w:numFmt w:val="bullet"/>
      <w:lvlText w:val=""/>
      <w:lvlJc w:val="left"/>
      <w:pPr>
        <w:ind w:left="4347" w:hanging="360"/>
      </w:pPr>
      <w:rPr>
        <w:rFonts w:ascii="Wingdings" w:hAnsi="Wingdings" w:hint="default"/>
      </w:rPr>
    </w:lvl>
    <w:lvl w:ilvl="6" w:tplc="14090001" w:tentative="1">
      <w:start w:val="1"/>
      <w:numFmt w:val="bullet"/>
      <w:lvlText w:val=""/>
      <w:lvlJc w:val="left"/>
      <w:pPr>
        <w:ind w:left="5067" w:hanging="360"/>
      </w:pPr>
      <w:rPr>
        <w:rFonts w:ascii="Symbol" w:hAnsi="Symbol" w:hint="default"/>
      </w:rPr>
    </w:lvl>
    <w:lvl w:ilvl="7" w:tplc="14090003" w:tentative="1">
      <w:start w:val="1"/>
      <w:numFmt w:val="bullet"/>
      <w:lvlText w:val="o"/>
      <w:lvlJc w:val="left"/>
      <w:pPr>
        <w:ind w:left="5787" w:hanging="360"/>
      </w:pPr>
      <w:rPr>
        <w:rFonts w:ascii="Courier New" w:hAnsi="Courier New" w:cs="Courier New" w:hint="default"/>
      </w:rPr>
    </w:lvl>
    <w:lvl w:ilvl="8" w:tplc="14090005" w:tentative="1">
      <w:start w:val="1"/>
      <w:numFmt w:val="bullet"/>
      <w:lvlText w:val=""/>
      <w:lvlJc w:val="left"/>
      <w:pPr>
        <w:ind w:left="6507"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9C358A"/>
    <w:multiLevelType w:val="hybridMultilevel"/>
    <w:tmpl w:val="727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2CBA"/>
    <w:multiLevelType w:val="hybridMultilevel"/>
    <w:tmpl w:val="50704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384E7F"/>
    <w:multiLevelType w:val="hybridMultilevel"/>
    <w:tmpl w:val="31F84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574DF9"/>
    <w:multiLevelType w:val="hybridMultilevel"/>
    <w:tmpl w:val="F9721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CC6358"/>
    <w:multiLevelType w:val="hybridMultilevel"/>
    <w:tmpl w:val="0BE4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2D61"/>
    <w:multiLevelType w:val="hybridMultilevel"/>
    <w:tmpl w:val="54943F94"/>
    <w:lvl w:ilvl="0" w:tplc="61B6E9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23169EE"/>
    <w:multiLevelType w:val="hybridMultilevel"/>
    <w:tmpl w:val="52F2A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793486"/>
    <w:multiLevelType w:val="hybridMultilevel"/>
    <w:tmpl w:val="62943BD2"/>
    <w:lvl w:ilvl="0" w:tplc="1409000F">
      <w:start w:val="1"/>
      <w:numFmt w:val="decimal"/>
      <w:lvlText w:val="%1."/>
      <w:lvlJc w:val="left"/>
      <w:pPr>
        <w:ind w:left="720" w:hanging="360"/>
      </w:pPr>
      <w:rPr>
        <w:rFonts w:hint="default"/>
      </w:rPr>
    </w:lvl>
    <w:lvl w:ilvl="1" w:tplc="0A7ED950">
      <w:start w:val="1"/>
      <w:numFmt w:val="bullet"/>
      <w:lvlText w:val="o"/>
      <w:lvlJc w:val="left"/>
      <w:pPr>
        <w:ind w:left="1440" w:hanging="360"/>
      </w:pPr>
      <w:rPr>
        <w:rFonts w:ascii="Courier New" w:hAnsi="Courier New" w:hint="default"/>
      </w:rPr>
    </w:lvl>
    <w:lvl w:ilvl="2" w:tplc="5B94D8FC">
      <w:start w:val="1"/>
      <w:numFmt w:val="bullet"/>
      <w:lvlText w:val=""/>
      <w:lvlJc w:val="left"/>
      <w:pPr>
        <w:ind w:left="2160" w:hanging="360"/>
      </w:pPr>
      <w:rPr>
        <w:rFonts w:ascii="Wingdings" w:hAnsi="Wingdings" w:hint="default"/>
      </w:rPr>
    </w:lvl>
    <w:lvl w:ilvl="3" w:tplc="E3E4291A">
      <w:start w:val="1"/>
      <w:numFmt w:val="bullet"/>
      <w:lvlText w:val=""/>
      <w:lvlJc w:val="left"/>
      <w:pPr>
        <w:ind w:left="2880" w:hanging="360"/>
      </w:pPr>
      <w:rPr>
        <w:rFonts w:ascii="Symbol" w:hAnsi="Symbol" w:hint="default"/>
      </w:rPr>
    </w:lvl>
    <w:lvl w:ilvl="4" w:tplc="34F02B9E">
      <w:start w:val="1"/>
      <w:numFmt w:val="bullet"/>
      <w:lvlText w:val="o"/>
      <w:lvlJc w:val="left"/>
      <w:pPr>
        <w:ind w:left="3600" w:hanging="360"/>
      </w:pPr>
      <w:rPr>
        <w:rFonts w:ascii="Courier New" w:hAnsi="Courier New" w:hint="default"/>
      </w:rPr>
    </w:lvl>
    <w:lvl w:ilvl="5" w:tplc="CEE6F032">
      <w:start w:val="1"/>
      <w:numFmt w:val="bullet"/>
      <w:lvlText w:val=""/>
      <w:lvlJc w:val="left"/>
      <w:pPr>
        <w:ind w:left="4320" w:hanging="360"/>
      </w:pPr>
      <w:rPr>
        <w:rFonts w:ascii="Wingdings" w:hAnsi="Wingdings" w:hint="default"/>
      </w:rPr>
    </w:lvl>
    <w:lvl w:ilvl="6" w:tplc="7704522E">
      <w:start w:val="1"/>
      <w:numFmt w:val="bullet"/>
      <w:lvlText w:val=""/>
      <w:lvlJc w:val="left"/>
      <w:pPr>
        <w:ind w:left="5040" w:hanging="360"/>
      </w:pPr>
      <w:rPr>
        <w:rFonts w:ascii="Symbol" w:hAnsi="Symbol" w:hint="default"/>
      </w:rPr>
    </w:lvl>
    <w:lvl w:ilvl="7" w:tplc="2A4E5858">
      <w:start w:val="1"/>
      <w:numFmt w:val="bullet"/>
      <w:lvlText w:val="o"/>
      <w:lvlJc w:val="left"/>
      <w:pPr>
        <w:ind w:left="5760" w:hanging="360"/>
      </w:pPr>
      <w:rPr>
        <w:rFonts w:ascii="Courier New" w:hAnsi="Courier New" w:hint="default"/>
      </w:rPr>
    </w:lvl>
    <w:lvl w:ilvl="8" w:tplc="A58C9152">
      <w:start w:val="1"/>
      <w:numFmt w:val="bullet"/>
      <w:lvlText w:val=""/>
      <w:lvlJc w:val="left"/>
      <w:pPr>
        <w:ind w:left="6480" w:hanging="360"/>
      </w:pPr>
      <w:rPr>
        <w:rFonts w:ascii="Wingdings" w:hAnsi="Wingdings" w:hint="default"/>
      </w:rPr>
    </w:lvl>
  </w:abstractNum>
  <w:abstractNum w:abstractNumId="12" w15:restartNumberingAfterBreak="0">
    <w:nsid w:val="2E6F0CDC"/>
    <w:multiLevelType w:val="hybridMultilevel"/>
    <w:tmpl w:val="FB2A221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3" w15:restartNumberingAfterBreak="0">
    <w:nsid w:val="2F7F62ED"/>
    <w:multiLevelType w:val="hybridMultilevel"/>
    <w:tmpl w:val="DDE656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966272"/>
    <w:multiLevelType w:val="hybridMultilevel"/>
    <w:tmpl w:val="09EE6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4118E3"/>
    <w:multiLevelType w:val="hybridMultilevel"/>
    <w:tmpl w:val="D958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217D4E"/>
    <w:multiLevelType w:val="hybridMultilevel"/>
    <w:tmpl w:val="DDF21FF4"/>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A39C5"/>
    <w:multiLevelType w:val="hybridMultilevel"/>
    <w:tmpl w:val="1ED88A70"/>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EC5694"/>
    <w:multiLevelType w:val="hybridMultilevel"/>
    <w:tmpl w:val="6200E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07E7357"/>
    <w:multiLevelType w:val="multilevel"/>
    <w:tmpl w:val="0CBAC120"/>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B91626"/>
    <w:multiLevelType w:val="hybridMultilevel"/>
    <w:tmpl w:val="A874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B10544"/>
    <w:multiLevelType w:val="hybridMultilevel"/>
    <w:tmpl w:val="7C2A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54DB5"/>
    <w:multiLevelType w:val="hybridMultilevel"/>
    <w:tmpl w:val="CEFAF4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DAB535C"/>
    <w:multiLevelType w:val="hybridMultilevel"/>
    <w:tmpl w:val="9042D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420F87"/>
    <w:multiLevelType w:val="hybridMultilevel"/>
    <w:tmpl w:val="DD28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8" w15:restartNumberingAfterBreak="0">
    <w:nsid w:val="56A9000D"/>
    <w:multiLevelType w:val="hybridMultilevel"/>
    <w:tmpl w:val="3D3AA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C47826"/>
    <w:multiLevelType w:val="hybridMultilevel"/>
    <w:tmpl w:val="AB1E307C"/>
    <w:lvl w:ilvl="0" w:tplc="FB022A0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823078B"/>
    <w:multiLevelType w:val="hybridMultilevel"/>
    <w:tmpl w:val="38D23F78"/>
    <w:lvl w:ilvl="0" w:tplc="497A2DE6">
      <w:start w:val="1"/>
      <w:numFmt w:val="decimal"/>
      <w:lvlText w:val="%1)"/>
      <w:lvlJc w:val="left"/>
      <w:pPr>
        <w:ind w:left="717" w:hanging="360"/>
      </w:pPr>
      <w:rPr>
        <w:rFonts w:hint="default"/>
        <w:i w:val="0"/>
        <w:iCs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2" w15:restartNumberingAfterBreak="0">
    <w:nsid w:val="585D2317"/>
    <w:multiLevelType w:val="hybridMultilevel"/>
    <w:tmpl w:val="9F3A18A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3" w15:restartNumberingAfterBreak="0">
    <w:nsid w:val="58B905C6"/>
    <w:multiLevelType w:val="hybridMultilevel"/>
    <w:tmpl w:val="53CC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242807"/>
    <w:multiLevelType w:val="multilevel"/>
    <w:tmpl w:val="EF041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863C89"/>
    <w:multiLevelType w:val="hybridMultilevel"/>
    <w:tmpl w:val="1D1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A130AA"/>
    <w:multiLevelType w:val="hybridMultilevel"/>
    <w:tmpl w:val="81CAB598"/>
    <w:lvl w:ilvl="0" w:tplc="F4EC826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96635B8"/>
    <w:multiLevelType w:val="hybridMultilevel"/>
    <w:tmpl w:val="EEBEA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E126DF5"/>
    <w:multiLevelType w:val="hybridMultilevel"/>
    <w:tmpl w:val="20D4B1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9" w15:restartNumberingAfterBreak="0">
    <w:nsid w:val="6F2C328E"/>
    <w:multiLevelType w:val="hybridMultilevel"/>
    <w:tmpl w:val="7A126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763231"/>
    <w:multiLevelType w:val="hybridMultilevel"/>
    <w:tmpl w:val="ED70852A"/>
    <w:lvl w:ilvl="0" w:tplc="0DC6B54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5951691"/>
    <w:multiLevelType w:val="hybridMultilevel"/>
    <w:tmpl w:val="C0201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93E18FD"/>
    <w:multiLevelType w:val="hybridMultilevel"/>
    <w:tmpl w:val="8AFC9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A2815FC"/>
    <w:multiLevelType w:val="hybridMultilevel"/>
    <w:tmpl w:val="2C6A5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195399"/>
    <w:multiLevelType w:val="hybridMultilevel"/>
    <w:tmpl w:val="3D704FF4"/>
    <w:lvl w:ilvl="0" w:tplc="E2F8D5B0">
      <w:start w:val="13"/>
      <w:numFmt w:val="bullet"/>
      <w:lvlText w:val="-"/>
      <w:lvlJc w:val="left"/>
      <w:pPr>
        <w:ind w:left="387" w:hanging="360"/>
      </w:pPr>
      <w:rPr>
        <w:rFonts w:ascii="Georgia" w:eastAsia="Times New Roman" w:hAnsi="Georgia" w:cs="Times New Roman"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num w:numId="1" w16cid:durableId="1476606091">
    <w:abstractNumId w:val="21"/>
  </w:num>
  <w:num w:numId="2" w16cid:durableId="1845901437">
    <w:abstractNumId w:val="34"/>
  </w:num>
  <w:num w:numId="3" w16cid:durableId="315497893">
    <w:abstractNumId w:val="21"/>
  </w:num>
  <w:num w:numId="4" w16cid:durableId="963195942">
    <w:abstractNumId w:val="17"/>
  </w:num>
  <w:num w:numId="5" w16cid:durableId="17433075">
    <w:abstractNumId w:val="2"/>
  </w:num>
  <w:num w:numId="6" w16cid:durableId="1922564557">
    <w:abstractNumId w:val="30"/>
  </w:num>
  <w:num w:numId="7" w16cid:durableId="1841654840">
    <w:abstractNumId w:val="3"/>
  </w:num>
  <w:num w:numId="8" w16cid:durableId="865145229">
    <w:abstractNumId w:val="36"/>
  </w:num>
  <w:num w:numId="9" w16cid:durableId="905142752">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013173">
    <w:abstractNumId w:val="38"/>
  </w:num>
  <w:num w:numId="11" w16cid:durableId="1253054121">
    <w:abstractNumId w:val="45"/>
  </w:num>
  <w:num w:numId="12" w16cid:durableId="753865727">
    <w:abstractNumId w:val="19"/>
  </w:num>
  <w:num w:numId="13" w16cid:durableId="1665353382">
    <w:abstractNumId w:val="33"/>
  </w:num>
  <w:num w:numId="14" w16cid:durableId="1931547577">
    <w:abstractNumId w:val="7"/>
  </w:num>
  <w:num w:numId="15" w16cid:durableId="1072771860">
    <w:abstractNumId w:val="25"/>
  </w:num>
  <w:num w:numId="16" w16cid:durableId="448932384">
    <w:abstractNumId w:val="6"/>
  </w:num>
  <w:num w:numId="17" w16cid:durableId="93670173">
    <w:abstractNumId w:val="15"/>
  </w:num>
  <w:num w:numId="18" w16cid:durableId="1529106617">
    <w:abstractNumId w:val="40"/>
  </w:num>
  <w:num w:numId="19" w16cid:durableId="1073091541">
    <w:abstractNumId w:val="18"/>
  </w:num>
  <w:num w:numId="20" w16cid:durableId="406926634">
    <w:abstractNumId w:val="16"/>
  </w:num>
  <w:num w:numId="21" w16cid:durableId="1315060484">
    <w:abstractNumId w:val="1"/>
  </w:num>
  <w:num w:numId="22" w16cid:durableId="1089540679">
    <w:abstractNumId w:val="46"/>
  </w:num>
  <w:num w:numId="23" w16cid:durableId="610550474">
    <w:abstractNumId w:val="9"/>
  </w:num>
  <w:num w:numId="24" w16cid:durableId="1618756353">
    <w:abstractNumId w:val="0"/>
  </w:num>
  <w:num w:numId="25" w16cid:durableId="13968158">
    <w:abstractNumId w:val="4"/>
  </w:num>
  <w:num w:numId="26" w16cid:durableId="766774122">
    <w:abstractNumId w:val="20"/>
  </w:num>
  <w:num w:numId="27" w16cid:durableId="846136619">
    <w:abstractNumId w:val="27"/>
  </w:num>
  <w:num w:numId="28" w16cid:durableId="1099831213">
    <w:abstractNumId w:val="41"/>
  </w:num>
  <w:num w:numId="29" w16cid:durableId="1660426995">
    <w:abstractNumId w:val="44"/>
  </w:num>
  <w:num w:numId="30" w16cid:durableId="963776797">
    <w:abstractNumId w:val="24"/>
  </w:num>
  <w:num w:numId="31" w16cid:durableId="1785346922">
    <w:abstractNumId w:val="13"/>
  </w:num>
  <w:num w:numId="32" w16cid:durableId="869798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992353">
    <w:abstractNumId w:val="11"/>
  </w:num>
  <w:num w:numId="34" w16cid:durableId="1363439374">
    <w:abstractNumId w:val="37"/>
  </w:num>
  <w:num w:numId="35" w16cid:durableId="1933315785">
    <w:abstractNumId w:val="39"/>
  </w:num>
  <w:num w:numId="36" w16cid:durableId="670833826">
    <w:abstractNumId w:val="14"/>
  </w:num>
  <w:num w:numId="37" w16cid:durableId="131483614">
    <w:abstractNumId w:val="43"/>
  </w:num>
  <w:num w:numId="38" w16cid:durableId="502941523">
    <w:abstractNumId w:val="32"/>
  </w:num>
  <w:num w:numId="39" w16cid:durableId="277680635">
    <w:abstractNumId w:val="5"/>
  </w:num>
  <w:num w:numId="40" w16cid:durableId="375472341">
    <w:abstractNumId w:val="28"/>
  </w:num>
  <w:num w:numId="41" w16cid:durableId="1117336631">
    <w:abstractNumId w:val="42"/>
  </w:num>
  <w:num w:numId="42" w16cid:durableId="1351762705">
    <w:abstractNumId w:val="29"/>
  </w:num>
  <w:num w:numId="43" w16cid:durableId="1430349782">
    <w:abstractNumId w:val="22"/>
  </w:num>
  <w:num w:numId="44" w16cid:durableId="581332384">
    <w:abstractNumId w:val="26"/>
  </w:num>
  <w:num w:numId="45" w16cid:durableId="1992246450">
    <w:abstractNumId w:val="8"/>
  </w:num>
  <w:num w:numId="46" w16cid:durableId="1856268739">
    <w:abstractNumId w:val="12"/>
  </w:num>
  <w:num w:numId="47" w16cid:durableId="829173643">
    <w:abstractNumId w:val="10"/>
  </w:num>
  <w:num w:numId="48" w16cid:durableId="816379">
    <w:abstractNumId w:val="31"/>
  </w:num>
  <w:num w:numId="49" w16cid:durableId="1746419284">
    <w:abstractNumId w:val="35"/>
  </w:num>
  <w:num w:numId="50" w16cid:durableId="16934095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173F7"/>
    <w:rsid w:val="000338BE"/>
    <w:rsid w:val="000408FE"/>
    <w:rsid w:val="00053D27"/>
    <w:rsid w:val="00072B1C"/>
    <w:rsid w:val="00084343"/>
    <w:rsid w:val="000857DD"/>
    <w:rsid w:val="00087043"/>
    <w:rsid w:val="00095CD7"/>
    <w:rsid w:val="000966D7"/>
    <w:rsid w:val="000A13FD"/>
    <w:rsid w:val="000A6423"/>
    <w:rsid w:val="000B0D02"/>
    <w:rsid w:val="000B329D"/>
    <w:rsid w:val="000B4B15"/>
    <w:rsid w:val="000B57D8"/>
    <w:rsid w:val="000C3AA1"/>
    <w:rsid w:val="000C4D40"/>
    <w:rsid w:val="000D0B1F"/>
    <w:rsid w:val="000D7AB7"/>
    <w:rsid w:val="000E6069"/>
    <w:rsid w:val="000F2B9A"/>
    <w:rsid w:val="00107852"/>
    <w:rsid w:val="0011067C"/>
    <w:rsid w:val="001111CC"/>
    <w:rsid w:val="00120CDF"/>
    <w:rsid w:val="00127924"/>
    <w:rsid w:val="001305DB"/>
    <w:rsid w:val="00131EAD"/>
    <w:rsid w:val="00134313"/>
    <w:rsid w:val="00142408"/>
    <w:rsid w:val="001541ED"/>
    <w:rsid w:val="00154B27"/>
    <w:rsid w:val="00162191"/>
    <w:rsid w:val="00162A5C"/>
    <w:rsid w:val="001660D0"/>
    <w:rsid w:val="0016765F"/>
    <w:rsid w:val="00171228"/>
    <w:rsid w:val="00175A00"/>
    <w:rsid w:val="001873B2"/>
    <w:rsid w:val="00187511"/>
    <w:rsid w:val="00187DB2"/>
    <w:rsid w:val="00190754"/>
    <w:rsid w:val="001968C0"/>
    <w:rsid w:val="001A07D9"/>
    <w:rsid w:val="001A358B"/>
    <w:rsid w:val="001B5229"/>
    <w:rsid w:val="001C2362"/>
    <w:rsid w:val="001C47FF"/>
    <w:rsid w:val="001C4C6B"/>
    <w:rsid w:val="001D2D44"/>
    <w:rsid w:val="001D3DA8"/>
    <w:rsid w:val="001D5C30"/>
    <w:rsid w:val="001E01CD"/>
    <w:rsid w:val="001E5E84"/>
    <w:rsid w:val="001E6AE3"/>
    <w:rsid w:val="001F02F3"/>
    <w:rsid w:val="001F1BA1"/>
    <w:rsid w:val="002026F6"/>
    <w:rsid w:val="00215438"/>
    <w:rsid w:val="00215471"/>
    <w:rsid w:val="0021617D"/>
    <w:rsid w:val="00222738"/>
    <w:rsid w:val="00222E9C"/>
    <w:rsid w:val="0022615E"/>
    <w:rsid w:val="002300A5"/>
    <w:rsid w:val="00231415"/>
    <w:rsid w:val="002318F8"/>
    <w:rsid w:val="00231A21"/>
    <w:rsid w:val="00236935"/>
    <w:rsid w:val="002426D0"/>
    <w:rsid w:val="002457D9"/>
    <w:rsid w:val="00253951"/>
    <w:rsid w:val="00255925"/>
    <w:rsid w:val="0026047C"/>
    <w:rsid w:val="00270352"/>
    <w:rsid w:val="00270545"/>
    <w:rsid w:val="002713D7"/>
    <w:rsid w:val="00277462"/>
    <w:rsid w:val="002836A0"/>
    <w:rsid w:val="002838FC"/>
    <w:rsid w:val="00286D66"/>
    <w:rsid w:val="002A0081"/>
    <w:rsid w:val="002A0148"/>
    <w:rsid w:val="002A7847"/>
    <w:rsid w:val="002B0F6B"/>
    <w:rsid w:val="002C3191"/>
    <w:rsid w:val="002C62A6"/>
    <w:rsid w:val="002C6DB1"/>
    <w:rsid w:val="002C7640"/>
    <w:rsid w:val="002D50CD"/>
    <w:rsid w:val="002D520D"/>
    <w:rsid w:val="002D75B9"/>
    <w:rsid w:val="002E3370"/>
    <w:rsid w:val="002E5766"/>
    <w:rsid w:val="002E6619"/>
    <w:rsid w:val="002F57C3"/>
    <w:rsid w:val="00302AF6"/>
    <w:rsid w:val="003053C8"/>
    <w:rsid w:val="0031278D"/>
    <w:rsid w:val="00324130"/>
    <w:rsid w:val="00325FCC"/>
    <w:rsid w:val="003275A9"/>
    <w:rsid w:val="0033066E"/>
    <w:rsid w:val="0033250B"/>
    <w:rsid w:val="0033309E"/>
    <w:rsid w:val="00335CA5"/>
    <w:rsid w:val="00336FBC"/>
    <w:rsid w:val="00337229"/>
    <w:rsid w:val="003373B1"/>
    <w:rsid w:val="00344644"/>
    <w:rsid w:val="0034596C"/>
    <w:rsid w:val="003471AE"/>
    <w:rsid w:val="0035018C"/>
    <w:rsid w:val="00354898"/>
    <w:rsid w:val="00355FCB"/>
    <w:rsid w:val="003569B7"/>
    <w:rsid w:val="003634EC"/>
    <w:rsid w:val="00363D85"/>
    <w:rsid w:val="00370B34"/>
    <w:rsid w:val="003743F5"/>
    <w:rsid w:val="00374E87"/>
    <w:rsid w:val="00383310"/>
    <w:rsid w:val="00385446"/>
    <w:rsid w:val="003A2E66"/>
    <w:rsid w:val="003A4DF6"/>
    <w:rsid w:val="003B0755"/>
    <w:rsid w:val="003C4828"/>
    <w:rsid w:val="003D3836"/>
    <w:rsid w:val="003D38BC"/>
    <w:rsid w:val="003D4B44"/>
    <w:rsid w:val="003E7D18"/>
    <w:rsid w:val="003F17B2"/>
    <w:rsid w:val="003F2859"/>
    <w:rsid w:val="003F6873"/>
    <w:rsid w:val="004040B3"/>
    <w:rsid w:val="00404174"/>
    <w:rsid w:val="00406AA2"/>
    <w:rsid w:val="00406F34"/>
    <w:rsid w:val="00410B69"/>
    <w:rsid w:val="00426787"/>
    <w:rsid w:val="00431FDF"/>
    <w:rsid w:val="004361E1"/>
    <w:rsid w:val="00442858"/>
    <w:rsid w:val="00442B65"/>
    <w:rsid w:val="004454B0"/>
    <w:rsid w:val="00454B93"/>
    <w:rsid w:val="004621CD"/>
    <w:rsid w:val="00463D68"/>
    <w:rsid w:val="00465BC4"/>
    <w:rsid w:val="004706AA"/>
    <w:rsid w:val="00480A96"/>
    <w:rsid w:val="00481425"/>
    <w:rsid w:val="00481D81"/>
    <w:rsid w:val="00482200"/>
    <w:rsid w:val="0049311E"/>
    <w:rsid w:val="004A2390"/>
    <w:rsid w:val="004A283E"/>
    <w:rsid w:val="004B1A82"/>
    <w:rsid w:val="004B3DE3"/>
    <w:rsid w:val="004B3E60"/>
    <w:rsid w:val="004B4579"/>
    <w:rsid w:val="004C31A9"/>
    <w:rsid w:val="004C5606"/>
    <w:rsid w:val="004C7B82"/>
    <w:rsid w:val="004E3959"/>
    <w:rsid w:val="004F1D92"/>
    <w:rsid w:val="004F650C"/>
    <w:rsid w:val="0050752B"/>
    <w:rsid w:val="00507EDA"/>
    <w:rsid w:val="00513107"/>
    <w:rsid w:val="00514447"/>
    <w:rsid w:val="00521D25"/>
    <w:rsid w:val="00530DBA"/>
    <w:rsid w:val="005325A0"/>
    <w:rsid w:val="00543824"/>
    <w:rsid w:val="005449C8"/>
    <w:rsid w:val="00544BED"/>
    <w:rsid w:val="00556887"/>
    <w:rsid w:val="00562A76"/>
    <w:rsid w:val="00570004"/>
    <w:rsid w:val="00593E39"/>
    <w:rsid w:val="00595F7F"/>
    <w:rsid w:val="005C028A"/>
    <w:rsid w:val="005D0392"/>
    <w:rsid w:val="005D14C6"/>
    <w:rsid w:val="005E5522"/>
    <w:rsid w:val="005E5649"/>
    <w:rsid w:val="005E5E96"/>
    <w:rsid w:val="005E7D59"/>
    <w:rsid w:val="005F26E3"/>
    <w:rsid w:val="005F4BA6"/>
    <w:rsid w:val="00600E92"/>
    <w:rsid w:val="006068E6"/>
    <w:rsid w:val="0061700E"/>
    <w:rsid w:val="006248DB"/>
    <w:rsid w:val="00636BF9"/>
    <w:rsid w:val="006372D9"/>
    <w:rsid w:val="00643502"/>
    <w:rsid w:val="00644276"/>
    <w:rsid w:val="006479D7"/>
    <w:rsid w:val="0066610F"/>
    <w:rsid w:val="00680544"/>
    <w:rsid w:val="00693946"/>
    <w:rsid w:val="00693FF9"/>
    <w:rsid w:val="006A6F74"/>
    <w:rsid w:val="006C168D"/>
    <w:rsid w:val="006C3142"/>
    <w:rsid w:val="006D1D79"/>
    <w:rsid w:val="006D794E"/>
    <w:rsid w:val="006E17A9"/>
    <w:rsid w:val="006E3E99"/>
    <w:rsid w:val="006E7E46"/>
    <w:rsid w:val="006F1E57"/>
    <w:rsid w:val="006F4720"/>
    <w:rsid w:val="006F7984"/>
    <w:rsid w:val="00702439"/>
    <w:rsid w:val="0070404A"/>
    <w:rsid w:val="007056C9"/>
    <w:rsid w:val="0071487F"/>
    <w:rsid w:val="00715E37"/>
    <w:rsid w:val="00717871"/>
    <w:rsid w:val="00717895"/>
    <w:rsid w:val="0073167F"/>
    <w:rsid w:val="00732EC9"/>
    <w:rsid w:val="00735566"/>
    <w:rsid w:val="00737C56"/>
    <w:rsid w:val="0074326F"/>
    <w:rsid w:val="0074459D"/>
    <w:rsid w:val="00751E10"/>
    <w:rsid w:val="00753C46"/>
    <w:rsid w:val="00760258"/>
    <w:rsid w:val="007770E7"/>
    <w:rsid w:val="007778FA"/>
    <w:rsid w:val="00777B29"/>
    <w:rsid w:val="00781A58"/>
    <w:rsid w:val="00785553"/>
    <w:rsid w:val="007A1B20"/>
    <w:rsid w:val="007A3035"/>
    <w:rsid w:val="007A50DF"/>
    <w:rsid w:val="007A5E42"/>
    <w:rsid w:val="007B04A8"/>
    <w:rsid w:val="007B1F27"/>
    <w:rsid w:val="007B3589"/>
    <w:rsid w:val="007B4C80"/>
    <w:rsid w:val="007D14EB"/>
    <w:rsid w:val="007D23E2"/>
    <w:rsid w:val="007D3767"/>
    <w:rsid w:val="007D429B"/>
    <w:rsid w:val="007E0746"/>
    <w:rsid w:val="007E3659"/>
    <w:rsid w:val="007F1011"/>
    <w:rsid w:val="007F3D1C"/>
    <w:rsid w:val="007F401D"/>
    <w:rsid w:val="0080618B"/>
    <w:rsid w:val="0081434F"/>
    <w:rsid w:val="008156FD"/>
    <w:rsid w:val="00817DB4"/>
    <w:rsid w:val="00825426"/>
    <w:rsid w:val="00827706"/>
    <w:rsid w:val="008343AF"/>
    <w:rsid w:val="00837E13"/>
    <w:rsid w:val="00840947"/>
    <w:rsid w:val="00842DBE"/>
    <w:rsid w:val="00844EC6"/>
    <w:rsid w:val="0085243C"/>
    <w:rsid w:val="00865BFF"/>
    <w:rsid w:val="00883C78"/>
    <w:rsid w:val="008917D6"/>
    <w:rsid w:val="0089717C"/>
    <w:rsid w:val="008A1C8A"/>
    <w:rsid w:val="008A33EF"/>
    <w:rsid w:val="008A4F3A"/>
    <w:rsid w:val="008A64F6"/>
    <w:rsid w:val="008A7AA7"/>
    <w:rsid w:val="008B1580"/>
    <w:rsid w:val="008B1AD9"/>
    <w:rsid w:val="008C0347"/>
    <w:rsid w:val="008D1FBA"/>
    <w:rsid w:val="008D2B1F"/>
    <w:rsid w:val="008D30E4"/>
    <w:rsid w:val="008D3218"/>
    <w:rsid w:val="008E5C5E"/>
    <w:rsid w:val="008F4D7B"/>
    <w:rsid w:val="008F5371"/>
    <w:rsid w:val="008F6A51"/>
    <w:rsid w:val="00902173"/>
    <w:rsid w:val="00904C5A"/>
    <w:rsid w:val="00912331"/>
    <w:rsid w:val="009142C6"/>
    <w:rsid w:val="0091580F"/>
    <w:rsid w:val="009249CB"/>
    <w:rsid w:val="00925B48"/>
    <w:rsid w:val="00931EBF"/>
    <w:rsid w:val="00934AC4"/>
    <w:rsid w:val="00936D1A"/>
    <w:rsid w:val="00942478"/>
    <w:rsid w:val="00945214"/>
    <w:rsid w:val="00945652"/>
    <w:rsid w:val="00950ED4"/>
    <w:rsid w:val="00956C31"/>
    <w:rsid w:val="00963D4B"/>
    <w:rsid w:val="00973A1E"/>
    <w:rsid w:val="009760A3"/>
    <w:rsid w:val="009815E2"/>
    <w:rsid w:val="00987367"/>
    <w:rsid w:val="009B0D55"/>
    <w:rsid w:val="009B244F"/>
    <w:rsid w:val="009B3258"/>
    <w:rsid w:val="009B34A8"/>
    <w:rsid w:val="009C03D8"/>
    <w:rsid w:val="009C4807"/>
    <w:rsid w:val="009C5CC4"/>
    <w:rsid w:val="009C5CFE"/>
    <w:rsid w:val="009D2A3E"/>
    <w:rsid w:val="009E6829"/>
    <w:rsid w:val="00A008C7"/>
    <w:rsid w:val="00A06476"/>
    <w:rsid w:val="00A15781"/>
    <w:rsid w:val="00A16773"/>
    <w:rsid w:val="00A2141D"/>
    <w:rsid w:val="00A21EFA"/>
    <w:rsid w:val="00A230A7"/>
    <w:rsid w:val="00A244A3"/>
    <w:rsid w:val="00A2508B"/>
    <w:rsid w:val="00A40433"/>
    <w:rsid w:val="00A47EA4"/>
    <w:rsid w:val="00A53E5D"/>
    <w:rsid w:val="00A65A6D"/>
    <w:rsid w:val="00A67FEA"/>
    <w:rsid w:val="00A90057"/>
    <w:rsid w:val="00A903C8"/>
    <w:rsid w:val="00AB1EAA"/>
    <w:rsid w:val="00AB344B"/>
    <w:rsid w:val="00AB73C1"/>
    <w:rsid w:val="00AC00BF"/>
    <w:rsid w:val="00AC307B"/>
    <w:rsid w:val="00AC57F4"/>
    <w:rsid w:val="00AE35F4"/>
    <w:rsid w:val="00AE62DA"/>
    <w:rsid w:val="00AF17EF"/>
    <w:rsid w:val="00AF79D8"/>
    <w:rsid w:val="00AF7FE5"/>
    <w:rsid w:val="00B00A9D"/>
    <w:rsid w:val="00B01F25"/>
    <w:rsid w:val="00B06675"/>
    <w:rsid w:val="00B44310"/>
    <w:rsid w:val="00B44BA7"/>
    <w:rsid w:val="00B54E4C"/>
    <w:rsid w:val="00B54E7A"/>
    <w:rsid w:val="00B6063B"/>
    <w:rsid w:val="00B66EC9"/>
    <w:rsid w:val="00B67211"/>
    <w:rsid w:val="00B76E4F"/>
    <w:rsid w:val="00B81D61"/>
    <w:rsid w:val="00B951A8"/>
    <w:rsid w:val="00B9614B"/>
    <w:rsid w:val="00BB0C74"/>
    <w:rsid w:val="00BB0F4E"/>
    <w:rsid w:val="00BB79FA"/>
    <w:rsid w:val="00BD3759"/>
    <w:rsid w:val="00BE152F"/>
    <w:rsid w:val="00C01DE8"/>
    <w:rsid w:val="00C02C9D"/>
    <w:rsid w:val="00C04C9F"/>
    <w:rsid w:val="00C05D0E"/>
    <w:rsid w:val="00C10BFC"/>
    <w:rsid w:val="00C1181D"/>
    <w:rsid w:val="00C131E9"/>
    <w:rsid w:val="00C16350"/>
    <w:rsid w:val="00C17119"/>
    <w:rsid w:val="00C22CD9"/>
    <w:rsid w:val="00C30442"/>
    <w:rsid w:val="00C320A6"/>
    <w:rsid w:val="00C32FC4"/>
    <w:rsid w:val="00C373F6"/>
    <w:rsid w:val="00C4304C"/>
    <w:rsid w:val="00C43429"/>
    <w:rsid w:val="00C54B30"/>
    <w:rsid w:val="00C60E35"/>
    <w:rsid w:val="00C619E1"/>
    <w:rsid w:val="00C64B00"/>
    <w:rsid w:val="00C71A84"/>
    <w:rsid w:val="00C74364"/>
    <w:rsid w:val="00C829F1"/>
    <w:rsid w:val="00C8445F"/>
    <w:rsid w:val="00CA2DF0"/>
    <w:rsid w:val="00CB1CEB"/>
    <w:rsid w:val="00CB3A0C"/>
    <w:rsid w:val="00CB43CA"/>
    <w:rsid w:val="00CC26C9"/>
    <w:rsid w:val="00CC26FF"/>
    <w:rsid w:val="00CE40AF"/>
    <w:rsid w:val="00CF1A66"/>
    <w:rsid w:val="00CF2BA5"/>
    <w:rsid w:val="00CF374E"/>
    <w:rsid w:val="00CF551A"/>
    <w:rsid w:val="00CF5E1C"/>
    <w:rsid w:val="00CF7058"/>
    <w:rsid w:val="00D06437"/>
    <w:rsid w:val="00D074B0"/>
    <w:rsid w:val="00D217EA"/>
    <w:rsid w:val="00D24AD6"/>
    <w:rsid w:val="00D27625"/>
    <w:rsid w:val="00D35D1B"/>
    <w:rsid w:val="00D368E9"/>
    <w:rsid w:val="00D5264F"/>
    <w:rsid w:val="00D53A7B"/>
    <w:rsid w:val="00D555C8"/>
    <w:rsid w:val="00D55865"/>
    <w:rsid w:val="00D6169C"/>
    <w:rsid w:val="00D6591B"/>
    <w:rsid w:val="00D846D8"/>
    <w:rsid w:val="00D862DA"/>
    <w:rsid w:val="00D87038"/>
    <w:rsid w:val="00D9046F"/>
    <w:rsid w:val="00D92108"/>
    <w:rsid w:val="00D92879"/>
    <w:rsid w:val="00DA2DEB"/>
    <w:rsid w:val="00DA35C4"/>
    <w:rsid w:val="00DA5D31"/>
    <w:rsid w:val="00DA6C6B"/>
    <w:rsid w:val="00DB09DC"/>
    <w:rsid w:val="00DB6004"/>
    <w:rsid w:val="00DC41C4"/>
    <w:rsid w:val="00DC5AC4"/>
    <w:rsid w:val="00DC60B2"/>
    <w:rsid w:val="00DD1A7A"/>
    <w:rsid w:val="00DD2C6F"/>
    <w:rsid w:val="00DF5B99"/>
    <w:rsid w:val="00E07BC6"/>
    <w:rsid w:val="00E24F63"/>
    <w:rsid w:val="00E32589"/>
    <w:rsid w:val="00E34C60"/>
    <w:rsid w:val="00E35C36"/>
    <w:rsid w:val="00E41BBC"/>
    <w:rsid w:val="00E4203E"/>
    <w:rsid w:val="00E42614"/>
    <w:rsid w:val="00E43533"/>
    <w:rsid w:val="00E54279"/>
    <w:rsid w:val="00E72C9E"/>
    <w:rsid w:val="00E72D54"/>
    <w:rsid w:val="00E76854"/>
    <w:rsid w:val="00E76F63"/>
    <w:rsid w:val="00E80345"/>
    <w:rsid w:val="00E91ED2"/>
    <w:rsid w:val="00E953C3"/>
    <w:rsid w:val="00E95C1D"/>
    <w:rsid w:val="00EA059D"/>
    <w:rsid w:val="00EA5217"/>
    <w:rsid w:val="00EB4FC3"/>
    <w:rsid w:val="00EC0C75"/>
    <w:rsid w:val="00EC47A9"/>
    <w:rsid w:val="00EE10DA"/>
    <w:rsid w:val="00EE3B34"/>
    <w:rsid w:val="00EE77C9"/>
    <w:rsid w:val="00EF1716"/>
    <w:rsid w:val="00F012E9"/>
    <w:rsid w:val="00F05847"/>
    <w:rsid w:val="00F32CEC"/>
    <w:rsid w:val="00F3318D"/>
    <w:rsid w:val="00F337B4"/>
    <w:rsid w:val="00F369EF"/>
    <w:rsid w:val="00F36E94"/>
    <w:rsid w:val="00F409E5"/>
    <w:rsid w:val="00F47EE5"/>
    <w:rsid w:val="00F53C52"/>
    <w:rsid w:val="00F659EE"/>
    <w:rsid w:val="00F70B1B"/>
    <w:rsid w:val="00F86943"/>
    <w:rsid w:val="00F94476"/>
    <w:rsid w:val="00F94FAB"/>
    <w:rsid w:val="00FB078F"/>
    <w:rsid w:val="00FB6C71"/>
    <w:rsid w:val="00FC4C40"/>
    <w:rsid w:val="00FE0C32"/>
    <w:rsid w:val="00FE2CFC"/>
    <w:rsid w:val="00FE5344"/>
    <w:rsid w:val="00FF7036"/>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518"/>
  <w15:chartTrackingRefBased/>
  <w15:docId w15:val="{598DCDF8-6DDF-4AE9-A32B-C92DF43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482200"/>
    <w:pPr>
      <w:keepNext/>
      <w:numPr>
        <w:ilvl w:val="1"/>
        <w:numId w:val="1"/>
      </w:numPr>
      <w:spacing w:before="120" w:after="120" w:line="240" w:lineRule="auto"/>
      <w:ind w:left="851"/>
      <w:jc w:val="both"/>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82200"/>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4"/>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5"/>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7"/>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 w:type="character" w:customStyle="1" w:styleId="normaltextrun">
    <w:name w:val="normaltextrun"/>
    <w:basedOn w:val="DefaultParagraphFont"/>
    <w:rsid w:val="004C31A9"/>
  </w:style>
  <w:style w:type="character" w:customStyle="1" w:styleId="eop">
    <w:name w:val="eop"/>
    <w:basedOn w:val="DefaultParagraphFont"/>
    <w:rsid w:val="004C31A9"/>
  </w:style>
  <w:style w:type="paragraph" w:styleId="Caption">
    <w:name w:val="caption"/>
    <w:basedOn w:val="Normal"/>
    <w:next w:val="Normal"/>
    <w:uiPriority w:val="35"/>
    <w:unhideWhenUsed/>
    <w:qFormat/>
    <w:rsid w:val="00454B93"/>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mailto:ali.cameron@otago.ac.n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2D711E3-4A8C-458B-9376-059B7A1808A7}"/>
      </w:docPartPr>
      <w:docPartBody>
        <w:p w:rsidR="00446A55" w:rsidRDefault="00FB2964">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106048"/>
    <w:rsid w:val="001109AB"/>
    <w:rsid w:val="002168BC"/>
    <w:rsid w:val="00333B58"/>
    <w:rsid w:val="00422D60"/>
    <w:rsid w:val="00446A55"/>
    <w:rsid w:val="00467078"/>
    <w:rsid w:val="00555492"/>
    <w:rsid w:val="005B6044"/>
    <w:rsid w:val="00600E92"/>
    <w:rsid w:val="00696A31"/>
    <w:rsid w:val="007C4D8B"/>
    <w:rsid w:val="007D6DB8"/>
    <w:rsid w:val="008845A1"/>
    <w:rsid w:val="008B5FD5"/>
    <w:rsid w:val="009711F7"/>
    <w:rsid w:val="00971885"/>
    <w:rsid w:val="00C8499F"/>
    <w:rsid w:val="00EF47A6"/>
    <w:rsid w:val="00F34FCB"/>
    <w:rsid w:val="00F95DDD"/>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9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MOHECM-374881106-6606</_dlc_DocId>
    <_dlc_DocIdUrl xmlns="c5b47098-0215-444c-9096-523bda4ac5c6">
      <Url>https://mohgovtnz.sharepoint.com/sites/moh-ecm-FunComRes/_layouts/15/DocIdRedir.aspx?ID=MOHECM-374881106-6606</Url>
      <Description>MOHECM-374881106-6606</Description>
    </_dlc_DocIdUrl>
    <TaxCatchAll xmlns="c5b47098-0215-444c-9096-523bda4ac5c6" xsi:nil="true"/>
    <lcf76f155ced4ddcb4097134ff3c332f xmlns="54904628-6268-4ac5-9416-97794f1d5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87787-3D14-46C4-9DA8-9A1652D0F0CE}">
  <ds:schemaRefs>
    <ds:schemaRef ds:uri="http://schemas.microsoft.com/sharepoint/events"/>
  </ds:schemaRefs>
</ds:datastoreItem>
</file>

<file path=customXml/itemProps2.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3.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 ds:uri="54904628-6268-4ac5-9416-97794f1d508d"/>
  </ds:schemaRefs>
</ds:datastoreItem>
</file>

<file path=customXml/itemProps4.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customXml/itemProps5.xml><?xml version="1.0" encoding="utf-8"?>
<ds:datastoreItem xmlns:ds="http://schemas.openxmlformats.org/officeDocument/2006/customXml" ds:itemID="{C7F65C49-1E4E-4084-A140-F33BB848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Progress report: COVID-19 and National Immunisation Programme research</vt:lpstr>
    </vt:vector>
  </TitlesOfParts>
  <Company/>
  <LinksUpToDate>false</LinksUpToDate>
  <CharactersWithSpaces>8533</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PROP065_2023_Final Report Summary_For MoH publication</dc:title>
  <dc:subject/>
  <dc:creator>Ministry of Health</dc:creator>
  <cp:keywords/>
  <dc:description/>
  <cp:lastModifiedBy>Emma Bailey</cp:lastModifiedBy>
  <cp:revision>11</cp:revision>
  <cp:lastPrinted>2024-09-17T00:04:00Z</cp:lastPrinted>
  <dcterms:created xsi:type="dcterms:W3CDTF">2024-08-05T21:20:00Z</dcterms:created>
  <dcterms:modified xsi:type="dcterms:W3CDTF">2024-09-17T00:05:00Z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62afb15d-2814-48b3-94ef-94556755d96d</vt:lpwstr>
  </property>
  <property fmtid="{D5CDD505-2E9C-101B-9397-08002B2CF9AE}" pid="11" name="MediaServiceImageTags">
    <vt:lpwstr/>
  </property>
</Properties>
</file>