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AC0FD" w14:textId="77777777" w:rsidR="005158CD" w:rsidRPr="005158CD" w:rsidRDefault="005158CD" w:rsidP="005158CD">
      <w:pPr>
        <w:pStyle w:val="MaintitleML"/>
        <w:rPr>
          <w:b/>
          <w:bCs/>
        </w:rPr>
      </w:pPr>
      <w:r w:rsidRPr="005158CD">
        <w:rPr>
          <w:b/>
          <w:bCs/>
        </w:rPr>
        <w:t>Self-harm Hospitalisations</w:t>
      </w:r>
    </w:p>
    <w:tbl>
      <w:tblPr>
        <w:tblStyle w:val="TableGrid"/>
        <w:tblW w:w="9639" w:type="dxa"/>
        <w:tblInd w:w="-5" w:type="dxa"/>
        <w:tblLayout w:type="fixed"/>
        <w:tblLook w:val="06A0" w:firstRow="1" w:lastRow="0" w:firstColumn="1" w:lastColumn="0" w:noHBand="1" w:noVBand="1"/>
      </w:tblPr>
      <w:tblGrid>
        <w:gridCol w:w="2988"/>
        <w:gridCol w:w="6651"/>
      </w:tblGrid>
      <w:tr w:rsidR="005158CD" w:rsidRPr="00AD3169" w14:paraId="6A8F0F62" w14:textId="77777777" w:rsidTr="009560B2">
        <w:trPr>
          <w:trHeight w:val="179"/>
        </w:trPr>
        <w:tc>
          <w:tcPr>
            <w:tcW w:w="9639" w:type="dxa"/>
            <w:gridSpan w:val="2"/>
            <w:shd w:val="clear" w:color="auto" w:fill="7F7F7F" w:themeFill="text1" w:themeFillTint="80"/>
          </w:tcPr>
          <w:p w14:paraId="283A95BC" w14:textId="77777777" w:rsidR="005158CD" w:rsidRPr="009560B2" w:rsidRDefault="005158CD" w:rsidP="00AE6461">
            <w:pPr>
              <w:spacing w:before="60" w:after="60" w:line="276" w:lineRule="auto"/>
              <w:jc w:val="center"/>
              <w:rPr>
                <w:rFonts w:ascii="Whitney Semibold" w:hAnsi="Whitney Semibold" w:cs="Arial"/>
                <w:b/>
                <w:bCs/>
                <w:color w:val="FFFFFF" w:themeColor="background1"/>
              </w:rPr>
            </w:pPr>
            <w:r w:rsidRPr="009560B2">
              <w:rPr>
                <w:rFonts w:ascii="Whitney Semibold" w:hAnsi="Whitney Semibold" w:cs="Arial"/>
                <w:b/>
                <w:bCs/>
                <w:color w:val="FFFFFF" w:themeColor="background1"/>
              </w:rPr>
              <w:t>Technical information</w:t>
            </w:r>
          </w:p>
        </w:tc>
      </w:tr>
      <w:tr w:rsidR="005158CD" w:rsidRPr="00AD3169" w14:paraId="11E60703" w14:textId="77777777" w:rsidTr="009560B2">
        <w:trPr>
          <w:trHeight w:val="397"/>
        </w:trPr>
        <w:tc>
          <w:tcPr>
            <w:tcW w:w="2988" w:type="dxa"/>
            <w:shd w:val="clear" w:color="auto" w:fill="7F7F7F" w:themeFill="text1" w:themeFillTint="80"/>
          </w:tcPr>
          <w:p w14:paraId="0D4E0463" w14:textId="77777777" w:rsidR="005158CD" w:rsidRPr="009560B2" w:rsidRDefault="005158CD" w:rsidP="00AE6461">
            <w:pPr>
              <w:spacing w:before="60" w:after="60" w:line="276" w:lineRule="auto"/>
              <w:rPr>
                <w:rFonts w:ascii="Whitney Semibold" w:hAnsi="Whitney Semibold" w:cs="Arial"/>
                <w:b/>
                <w:bCs/>
                <w:color w:val="FFFFFF" w:themeColor="background1"/>
              </w:rPr>
            </w:pPr>
            <w:r w:rsidRPr="009560B2">
              <w:rPr>
                <w:rFonts w:ascii="Whitney Semibold" w:hAnsi="Whitney Semibold" w:cs="Arial"/>
                <w:b/>
                <w:bCs/>
                <w:color w:val="FFFFFF" w:themeColor="background1"/>
              </w:rPr>
              <w:t>Indicator name (short)</w:t>
            </w:r>
          </w:p>
        </w:tc>
        <w:tc>
          <w:tcPr>
            <w:tcW w:w="6651" w:type="dxa"/>
            <w:shd w:val="clear" w:color="auto" w:fill="FFFFFF" w:themeFill="background1"/>
          </w:tcPr>
          <w:p w14:paraId="050AFF05" w14:textId="77777777" w:rsidR="005158CD" w:rsidRPr="008E49CF" w:rsidRDefault="005158CD" w:rsidP="00AE6461">
            <w:pPr>
              <w:pStyle w:val="TabletextML"/>
            </w:pPr>
            <w:r>
              <w:t>Self-harm Hospitalisations (SH)</w:t>
            </w:r>
          </w:p>
        </w:tc>
      </w:tr>
      <w:tr w:rsidR="005158CD" w:rsidRPr="00AD3169" w14:paraId="4F34EC26" w14:textId="77777777" w:rsidTr="009560B2">
        <w:trPr>
          <w:trHeight w:val="340"/>
        </w:trPr>
        <w:tc>
          <w:tcPr>
            <w:tcW w:w="2988" w:type="dxa"/>
            <w:shd w:val="clear" w:color="auto" w:fill="7F7F7F" w:themeFill="text1" w:themeFillTint="80"/>
          </w:tcPr>
          <w:p w14:paraId="40A7A74D" w14:textId="77777777" w:rsidR="005158CD" w:rsidRPr="009560B2" w:rsidRDefault="005158CD" w:rsidP="00AE6461">
            <w:pPr>
              <w:spacing w:before="60" w:after="60" w:line="276" w:lineRule="auto"/>
              <w:rPr>
                <w:rFonts w:ascii="Whitney Semibold" w:hAnsi="Whitney Semibold" w:cs="Arial"/>
                <w:b/>
                <w:bCs/>
                <w:color w:val="FFFFFF" w:themeColor="background1"/>
              </w:rPr>
            </w:pPr>
            <w:r w:rsidRPr="009560B2">
              <w:rPr>
                <w:rFonts w:ascii="Whitney Semibold" w:hAnsi="Whitney Semibold" w:cs="Arial"/>
                <w:b/>
                <w:bCs/>
                <w:color w:val="FFFFFF" w:themeColor="background1"/>
              </w:rPr>
              <w:t>Description</w:t>
            </w:r>
          </w:p>
        </w:tc>
        <w:tc>
          <w:tcPr>
            <w:tcW w:w="6651" w:type="dxa"/>
            <w:shd w:val="clear" w:color="auto" w:fill="FFFFFF" w:themeFill="background1"/>
          </w:tcPr>
          <w:p w14:paraId="7ACA0B10" w14:textId="77777777" w:rsidR="005158CD" w:rsidRDefault="005158CD" w:rsidP="00AE6461">
            <w:pPr>
              <w:pStyle w:val="TabletextML"/>
            </w:pPr>
            <w:r>
              <w:t xml:space="preserve">The measure is the rate calculated by dividing the total number of self-harm hospitalisations by the number of individuals in the New Zealand (NZ) resident population. The measure will be illustrated using the number of self-harm hospitalisations per 10,000 population domiciled within a District (previously DHB) with age standardisation. </w:t>
            </w:r>
          </w:p>
          <w:p w14:paraId="21D60636" w14:textId="23107AC7" w:rsidR="005158CD" w:rsidRDefault="005158CD" w:rsidP="00AE6461">
            <w:pPr>
              <w:spacing w:before="60"/>
              <w:jc w:val="both"/>
            </w:pPr>
            <w:r>
              <w:t xml:space="preserve">This measure is presented for three categories: </w:t>
            </w:r>
          </w:p>
          <w:p w14:paraId="2AB919FD" w14:textId="77777777" w:rsidR="005158CD" w:rsidRDefault="005158CD" w:rsidP="005158CD">
            <w:pPr>
              <w:pStyle w:val="ListParagraph"/>
              <w:numPr>
                <w:ilvl w:val="0"/>
                <w:numId w:val="5"/>
              </w:numPr>
              <w:jc w:val="both"/>
            </w:pPr>
            <w:r>
              <w:t>Total</w:t>
            </w:r>
          </w:p>
          <w:p w14:paraId="1A26C69F" w14:textId="77777777" w:rsidR="005158CD" w:rsidRDefault="005158CD" w:rsidP="005158CD">
            <w:pPr>
              <w:pStyle w:val="ListParagraph"/>
              <w:numPr>
                <w:ilvl w:val="0"/>
                <w:numId w:val="5"/>
              </w:numPr>
              <w:jc w:val="both"/>
            </w:pPr>
            <w:r>
              <w:t xml:space="preserve">Intentional </w:t>
            </w:r>
          </w:p>
          <w:p w14:paraId="5C9E6EB8" w14:textId="77777777" w:rsidR="005158CD" w:rsidRDefault="005158CD" w:rsidP="005158CD">
            <w:pPr>
              <w:pStyle w:val="ListParagraph"/>
              <w:numPr>
                <w:ilvl w:val="0"/>
                <w:numId w:val="5"/>
              </w:numPr>
              <w:jc w:val="both"/>
            </w:pPr>
            <w:r>
              <w:t>undetermined</w:t>
            </w:r>
          </w:p>
          <w:p w14:paraId="450A6215" w14:textId="0F608410" w:rsidR="005158CD" w:rsidRDefault="005158CD" w:rsidP="00AE6461">
            <w:pPr>
              <w:pStyle w:val="TabletextML"/>
            </w:pPr>
            <w:r>
              <w:t xml:space="preserve">This measure will be calculated quarterly with a </w:t>
            </w:r>
            <w:r w:rsidRPr="00773B3E">
              <w:t>rolling 12</w:t>
            </w:r>
            <w:r w:rsidR="005A2F5A">
              <w:t>-</w:t>
            </w:r>
            <w:r w:rsidRPr="00773B3E">
              <w:t xml:space="preserve">month data period, </w:t>
            </w:r>
            <w:r>
              <w:t xml:space="preserve">by the ninth week after the quarter ends.  </w:t>
            </w:r>
          </w:p>
          <w:p w14:paraId="3A61A648" w14:textId="77777777" w:rsidR="005158CD" w:rsidRPr="008E49CF" w:rsidRDefault="005158CD" w:rsidP="00AE6461">
            <w:pPr>
              <w:pStyle w:val="TabletextML"/>
            </w:pPr>
            <w:r>
              <w:t>Where applicable, crude rates and age-standardised rates are provided.</w:t>
            </w:r>
          </w:p>
        </w:tc>
      </w:tr>
      <w:tr w:rsidR="005158CD" w:rsidRPr="00AD3169" w14:paraId="3A49DA1A" w14:textId="77777777" w:rsidTr="009560B2">
        <w:trPr>
          <w:trHeight w:val="340"/>
        </w:trPr>
        <w:tc>
          <w:tcPr>
            <w:tcW w:w="2988" w:type="dxa"/>
            <w:shd w:val="clear" w:color="auto" w:fill="7F7F7F" w:themeFill="text1" w:themeFillTint="80"/>
          </w:tcPr>
          <w:p w14:paraId="3C545F66" w14:textId="77777777" w:rsidR="005158CD" w:rsidRPr="009560B2" w:rsidRDefault="005158CD" w:rsidP="00AE6461">
            <w:pPr>
              <w:spacing w:before="60" w:after="60" w:line="276" w:lineRule="auto"/>
              <w:rPr>
                <w:rFonts w:ascii="Whitney Semibold" w:hAnsi="Whitney Semibold" w:cs="Arial"/>
                <w:b/>
                <w:bCs/>
                <w:color w:val="FFFFFF" w:themeColor="background1"/>
              </w:rPr>
            </w:pPr>
            <w:r w:rsidRPr="009560B2">
              <w:rPr>
                <w:rFonts w:ascii="Whitney Semibold" w:hAnsi="Whitney Semibold" w:cs="Arial"/>
                <w:b/>
                <w:bCs/>
                <w:color w:val="FFFFFF" w:themeColor="background1"/>
              </w:rPr>
              <w:t>Rationale</w:t>
            </w:r>
          </w:p>
        </w:tc>
        <w:tc>
          <w:tcPr>
            <w:tcW w:w="6651" w:type="dxa"/>
            <w:shd w:val="clear" w:color="auto" w:fill="FFFFFF" w:themeFill="background1"/>
          </w:tcPr>
          <w:p w14:paraId="0BDC8D9F" w14:textId="77777777" w:rsidR="005158CD" w:rsidRDefault="005158CD" w:rsidP="00AE6461">
            <w:pPr>
              <w:pStyle w:val="TabletextML"/>
            </w:pPr>
            <w:r>
              <w:t xml:space="preserve">Intentional self-harm is a mal-adaptive coping mechanism indicating young people in distress and coping with that distress in an unhealthy way. It is often associated with low mood, depression, anxiety, wider family/peer group issues and events, stress, bullying, bereavement, relationship issues, trauma, intense or difficult feelings, or being in a group that self-harms. </w:t>
            </w:r>
          </w:p>
          <w:p w14:paraId="2731BDC4" w14:textId="77777777" w:rsidR="005158CD" w:rsidRPr="008E49CF" w:rsidRDefault="005158CD" w:rsidP="00AE6461">
            <w:pPr>
              <w:pStyle w:val="TabletextML"/>
            </w:pPr>
            <w:r>
              <w:t>Detailed data will help Alliances respond more proactively to young people in distress including through primary mental health responsiveness, appropriate secondary responses, referral pathways and cross sector/community support.</w:t>
            </w:r>
          </w:p>
        </w:tc>
      </w:tr>
      <w:tr w:rsidR="005158CD" w:rsidRPr="00AD3169" w14:paraId="27AF0853" w14:textId="77777777" w:rsidTr="009560B2">
        <w:trPr>
          <w:trHeight w:val="340"/>
        </w:trPr>
        <w:tc>
          <w:tcPr>
            <w:tcW w:w="2988" w:type="dxa"/>
            <w:shd w:val="clear" w:color="auto" w:fill="7F7F7F" w:themeFill="text1" w:themeFillTint="80"/>
          </w:tcPr>
          <w:p w14:paraId="3E40DF60" w14:textId="77777777" w:rsidR="005158CD" w:rsidRPr="009560B2" w:rsidRDefault="005158CD" w:rsidP="00AE6461">
            <w:pPr>
              <w:spacing w:before="60" w:after="60" w:line="276" w:lineRule="auto"/>
              <w:rPr>
                <w:rFonts w:ascii="Whitney Semibold" w:hAnsi="Whitney Semibold" w:cs="Arial"/>
                <w:b/>
                <w:bCs/>
                <w:color w:val="FFFFFF" w:themeColor="background1"/>
              </w:rPr>
            </w:pPr>
            <w:bookmarkStart w:id="0" w:name="_Hlk93389011"/>
            <w:r w:rsidRPr="009560B2">
              <w:rPr>
                <w:rFonts w:ascii="Whitney Semibold" w:hAnsi="Whitney Semibold" w:cs="Arial"/>
                <w:b/>
                <w:bCs/>
                <w:color w:val="FFFFFF" w:themeColor="background1"/>
              </w:rPr>
              <w:t>Numerator</w:t>
            </w:r>
          </w:p>
        </w:tc>
        <w:tc>
          <w:tcPr>
            <w:tcW w:w="6651" w:type="dxa"/>
            <w:shd w:val="clear" w:color="auto" w:fill="auto"/>
          </w:tcPr>
          <w:p w14:paraId="59C64E19" w14:textId="485D1A87" w:rsidR="005158CD" w:rsidRPr="008E49CF" w:rsidRDefault="005158CD" w:rsidP="00AE6461">
            <w:pPr>
              <w:pStyle w:val="TabletextML"/>
              <w:rPr>
                <w:rFonts w:eastAsia="Whitney" w:cs="Whitney"/>
              </w:rPr>
            </w:pPr>
            <w:r>
              <w:t>Total number of self-harm hospitalisations among youth aged 10-24 years</w:t>
            </w:r>
          </w:p>
        </w:tc>
      </w:tr>
      <w:tr w:rsidR="005158CD" w:rsidRPr="00AD3169" w14:paraId="21D27AF3" w14:textId="77777777" w:rsidTr="009560B2">
        <w:trPr>
          <w:trHeight w:val="283"/>
        </w:trPr>
        <w:tc>
          <w:tcPr>
            <w:tcW w:w="2988" w:type="dxa"/>
            <w:shd w:val="clear" w:color="auto" w:fill="7F7F7F" w:themeFill="text1" w:themeFillTint="80"/>
          </w:tcPr>
          <w:p w14:paraId="00DF1992" w14:textId="77777777" w:rsidR="005158CD" w:rsidRPr="009560B2" w:rsidRDefault="005158CD" w:rsidP="00AE6461">
            <w:pPr>
              <w:spacing w:before="60" w:after="60" w:line="276" w:lineRule="auto"/>
              <w:rPr>
                <w:rFonts w:ascii="Whitney Semibold" w:hAnsi="Whitney Semibold" w:cs="Arial"/>
                <w:b/>
                <w:bCs/>
                <w:color w:val="FFFFFF" w:themeColor="background1"/>
              </w:rPr>
            </w:pPr>
            <w:r w:rsidRPr="009560B2">
              <w:rPr>
                <w:rFonts w:ascii="Whitney Semibold" w:hAnsi="Whitney Semibold" w:cs="Arial"/>
                <w:b/>
                <w:bCs/>
                <w:color w:val="FFFFFF" w:themeColor="background1"/>
              </w:rPr>
              <w:t>Denominator</w:t>
            </w:r>
          </w:p>
        </w:tc>
        <w:tc>
          <w:tcPr>
            <w:tcW w:w="6651" w:type="dxa"/>
            <w:shd w:val="clear" w:color="auto" w:fill="auto"/>
          </w:tcPr>
          <w:p w14:paraId="09E4991C" w14:textId="77777777" w:rsidR="005158CD" w:rsidRPr="008E49CF" w:rsidRDefault="005158CD" w:rsidP="00AE6461">
            <w:pPr>
              <w:pStyle w:val="TabletextML"/>
              <w:rPr>
                <w:rFonts w:eastAsia="Whitney" w:cs="Whitney"/>
              </w:rPr>
            </w:pPr>
            <w:r>
              <w:t xml:space="preserve">New Zealand (NZ) resident population - number of </w:t>
            </w:r>
            <w:proofErr w:type="gramStart"/>
            <w:r>
              <w:t>youth</w:t>
            </w:r>
            <w:proofErr w:type="gramEnd"/>
            <w:r>
              <w:t xml:space="preserve"> in the New Zealand (NZ) resident population</w:t>
            </w:r>
          </w:p>
        </w:tc>
      </w:tr>
      <w:tr w:rsidR="0040556D" w:rsidRPr="00AD3169" w14:paraId="4B7661C5" w14:textId="77777777" w:rsidTr="009560B2">
        <w:trPr>
          <w:trHeight w:val="283"/>
        </w:trPr>
        <w:tc>
          <w:tcPr>
            <w:tcW w:w="2988" w:type="dxa"/>
            <w:shd w:val="clear" w:color="auto" w:fill="7F7F7F" w:themeFill="text1" w:themeFillTint="80"/>
          </w:tcPr>
          <w:p w14:paraId="61904DD8" w14:textId="024FF1ED" w:rsidR="0040556D" w:rsidRPr="009560B2" w:rsidRDefault="0040556D" w:rsidP="00AE6461">
            <w:pPr>
              <w:spacing w:before="60" w:after="60" w:line="276" w:lineRule="auto"/>
              <w:rPr>
                <w:rFonts w:ascii="Whitney Semibold" w:hAnsi="Whitney Semibold" w:cs="Arial"/>
                <w:b/>
                <w:bCs/>
                <w:color w:val="FFFFFF" w:themeColor="background1"/>
              </w:rPr>
            </w:pPr>
            <w:r w:rsidRPr="009560B2">
              <w:rPr>
                <w:rFonts w:ascii="Whitney Semibold" w:hAnsi="Whitney Semibold" w:cs="Arial"/>
                <w:b/>
                <w:bCs/>
                <w:color w:val="FFFFFF" w:themeColor="background1"/>
              </w:rPr>
              <w:t>Suppression Rules</w:t>
            </w:r>
          </w:p>
        </w:tc>
        <w:tc>
          <w:tcPr>
            <w:tcW w:w="6651" w:type="dxa"/>
            <w:shd w:val="clear" w:color="auto" w:fill="auto"/>
          </w:tcPr>
          <w:p w14:paraId="78074F33" w14:textId="7A456130" w:rsidR="0040556D" w:rsidRDefault="0040556D" w:rsidP="00AE6461">
            <w:pPr>
              <w:pStyle w:val="TabletextML"/>
            </w:pPr>
            <w:r>
              <w:t>Where population is less than 50 the numbers are suppressed</w:t>
            </w:r>
          </w:p>
        </w:tc>
      </w:tr>
      <w:tr w:rsidR="005158CD" w:rsidRPr="00AD3169" w14:paraId="1126EDFA" w14:textId="77777777" w:rsidTr="009560B2">
        <w:trPr>
          <w:trHeight w:val="474"/>
        </w:trPr>
        <w:tc>
          <w:tcPr>
            <w:tcW w:w="2988" w:type="dxa"/>
            <w:shd w:val="clear" w:color="auto" w:fill="7F7F7F" w:themeFill="text1" w:themeFillTint="80"/>
          </w:tcPr>
          <w:p w14:paraId="22C38EF6" w14:textId="77777777" w:rsidR="005158CD" w:rsidRPr="009560B2" w:rsidRDefault="005158CD" w:rsidP="00AE6461">
            <w:pPr>
              <w:spacing w:before="60" w:after="60" w:line="276" w:lineRule="auto"/>
              <w:rPr>
                <w:rFonts w:ascii="Whitney Semibold" w:hAnsi="Whitney Semibold" w:cs="Arial"/>
                <w:b/>
                <w:bCs/>
                <w:color w:val="FFFFFF" w:themeColor="background1"/>
              </w:rPr>
            </w:pPr>
            <w:r w:rsidRPr="009560B2">
              <w:rPr>
                <w:rFonts w:ascii="Whitney Semibold" w:hAnsi="Whitney Semibold" w:cs="Arial"/>
                <w:b/>
                <w:bCs/>
                <w:color w:val="FFFFFF" w:themeColor="background1"/>
              </w:rPr>
              <w:t>Inclusions</w:t>
            </w:r>
          </w:p>
        </w:tc>
        <w:tc>
          <w:tcPr>
            <w:tcW w:w="6651" w:type="dxa"/>
            <w:shd w:val="clear" w:color="auto" w:fill="auto"/>
          </w:tcPr>
          <w:p w14:paraId="43504AEC" w14:textId="77777777" w:rsidR="005158CD" w:rsidRDefault="005158CD" w:rsidP="00AE6461">
            <w:pPr>
              <w:pStyle w:val="TabletextML"/>
            </w:pPr>
            <w:r>
              <w:t xml:space="preserve">The following are included in the model and have been flagged to allow </w:t>
            </w:r>
            <w:r w:rsidRPr="008D70EA">
              <w:t>further analysis:</w:t>
            </w:r>
          </w:p>
          <w:p w14:paraId="7A570FDE" w14:textId="77777777" w:rsidR="005158CD" w:rsidRDefault="005158CD" w:rsidP="00AE6461">
            <w:pPr>
              <w:pStyle w:val="TablebulletsML"/>
              <w:ind w:left="730" w:hanging="426"/>
            </w:pPr>
            <w:r>
              <w:t>Intentional self-harm (ICD-10 AM codes X60-X84)</w:t>
            </w:r>
          </w:p>
          <w:p w14:paraId="7908AEC8" w14:textId="77777777" w:rsidR="005158CD" w:rsidRDefault="005158CD" w:rsidP="00AE6461">
            <w:pPr>
              <w:pStyle w:val="TablebulletsML"/>
              <w:ind w:left="730" w:hanging="426"/>
            </w:pPr>
            <w:r>
              <w:t>Undetermined intent (ICD-10 AM codes Y10-Y34)</w:t>
            </w:r>
          </w:p>
          <w:p w14:paraId="5D2627AA" w14:textId="77777777" w:rsidR="005158CD" w:rsidRDefault="005158CD" w:rsidP="00AE6461">
            <w:pPr>
              <w:pStyle w:val="TablebulletsML"/>
              <w:ind w:left="730" w:hanging="426"/>
            </w:pPr>
            <w:r>
              <w:t>Short stay ED events</w:t>
            </w:r>
          </w:p>
          <w:p w14:paraId="1BCC8C16" w14:textId="77777777" w:rsidR="005158CD" w:rsidRPr="008E49CF" w:rsidRDefault="005158CD" w:rsidP="00AE6461">
            <w:pPr>
              <w:pStyle w:val="TablebulletsML"/>
              <w:ind w:left="730" w:hanging="426"/>
            </w:pPr>
            <w:r>
              <w:t>Mental health events</w:t>
            </w:r>
          </w:p>
        </w:tc>
      </w:tr>
      <w:tr w:rsidR="005158CD" w:rsidRPr="00AD3169" w14:paraId="45BEB0DC" w14:textId="77777777" w:rsidTr="009560B2">
        <w:trPr>
          <w:cantSplit/>
          <w:trHeight w:val="336"/>
        </w:trPr>
        <w:tc>
          <w:tcPr>
            <w:tcW w:w="2988" w:type="dxa"/>
            <w:shd w:val="clear" w:color="auto" w:fill="7F7F7F" w:themeFill="text1" w:themeFillTint="80"/>
          </w:tcPr>
          <w:p w14:paraId="1D845C53" w14:textId="77777777" w:rsidR="005158CD" w:rsidRPr="009560B2" w:rsidRDefault="005158CD" w:rsidP="00AE6461">
            <w:pPr>
              <w:spacing w:before="60" w:after="60" w:line="276" w:lineRule="auto"/>
              <w:rPr>
                <w:rFonts w:ascii="Whitney Semibold" w:hAnsi="Whitney Semibold" w:cs="Arial"/>
                <w:b/>
                <w:bCs/>
                <w:color w:val="FFFFFF" w:themeColor="background1"/>
              </w:rPr>
            </w:pPr>
            <w:r w:rsidRPr="009560B2">
              <w:rPr>
                <w:rFonts w:ascii="Whitney Semibold" w:hAnsi="Whitney Semibold" w:cs="Arial"/>
                <w:b/>
                <w:bCs/>
                <w:color w:val="FFFFFF" w:themeColor="background1"/>
              </w:rPr>
              <w:lastRenderedPageBreak/>
              <w:t>Exclusions</w:t>
            </w:r>
          </w:p>
        </w:tc>
        <w:tc>
          <w:tcPr>
            <w:tcW w:w="6651" w:type="dxa"/>
            <w:shd w:val="clear" w:color="auto" w:fill="auto"/>
          </w:tcPr>
          <w:p w14:paraId="79D6A115" w14:textId="77777777" w:rsidR="005158CD" w:rsidRPr="00F81712" w:rsidRDefault="005158CD" w:rsidP="00AE6461">
            <w:pPr>
              <w:jc w:val="both"/>
            </w:pPr>
            <w:r w:rsidRPr="00F81712">
              <w:t>The following are excluded in the model:</w:t>
            </w:r>
          </w:p>
          <w:p w14:paraId="39EEA707" w14:textId="77777777" w:rsidR="005158CD" w:rsidRDefault="005158CD" w:rsidP="00AE6461">
            <w:pPr>
              <w:pStyle w:val="TablebulletsML"/>
              <w:ind w:left="730" w:hanging="426"/>
            </w:pPr>
            <w:r w:rsidRPr="00F81712">
              <w:t>Overseas domiciled patients</w:t>
            </w:r>
          </w:p>
          <w:p w14:paraId="138A8FE3" w14:textId="77777777" w:rsidR="005158CD" w:rsidRPr="00E12BAC" w:rsidRDefault="005158CD" w:rsidP="00AE6461">
            <w:pPr>
              <w:pStyle w:val="TablebulletsML"/>
              <w:ind w:left="730" w:hanging="426"/>
            </w:pPr>
            <w:r>
              <w:t>Incomplete stays</w:t>
            </w:r>
          </w:p>
        </w:tc>
      </w:tr>
      <w:tr w:rsidR="005158CD" w:rsidRPr="00AD3169" w14:paraId="281C3068" w14:textId="77777777" w:rsidTr="009560B2">
        <w:trPr>
          <w:trHeight w:val="928"/>
        </w:trPr>
        <w:tc>
          <w:tcPr>
            <w:tcW w:w="2988" w:type="dxa"/>
            <w:shd w:val="clear" w:color="auto" w:fill="7F7F7F" w:themeFill="text1" w:themeFillTint="80"/>
          </w:tcPr>
          <w:p w14:paraId="3F93C702" w14:textId="77777777" w:rsidR="005158CD" w:rsidRPr="009560B2" w:rsidRDefault="005158CD" w:rsidP="00AE6461">
            <w:pPr>
              <w:spacing w:before="60" w:after="60" w:line="276" w:lineRule="auto"/>
              <w:rPr>
                <w:rFonts w:ascii="Whitney Semibold" w:hAnsi="Whitney Semibold" w:cs="Arial"/>
                <w:b/>
                <w:bCs/>
                <w:color w:val="FFFFFF" w:themeColor="background1"/>
              </w:rPr>
            </w:pPr>
            <w:r w:rsidRPr="009560B2">
              <w:rPr>
                <w:rFonts w:ascii="Whitney Semibold" w:hAnsi="Whitney Semibold" w:cs="Arial"/>
                <w:b/>
                <w:bCs/>
                <w:color w:val="FFFFFF" w:themeColor="background1"/>
              </w:rPr>
              <w:t>Note for calculation</w:t>
            </w:r>
          </w:p>
        </w:tc>
        <w:tc>
          <w:tcPr>
            <w:tcW w:w="6651" w:type="dxa"/>
            <w:shd w:val="clear" w:color="auto" w:fill="auto"/>
          </w:tcPr>
          <w:p w14:paraId="23465E76" w14:textId="77777777" w:rsidR="005158CD" w:rsidRPr="008E49CF" w:rsidRDefault="005158CD" w:rsidP="00AE6461">
            <w:pPr>
              <w:pStyle w:val="TabletextML"/>
              <w:rPr>
                <w:b/>
                <w:bCs/>
              </w:rPr>
            </w:pPr>
            <w:r w:rsidRPr="00B6024A">
              <w:rPr>
                <w:rFonts w:ascii="Whitney Medium" w:hAnsi="Whitney Medium"/>
              </w:rPr>
              <w:t>Unit of measure:</w:t>
            </w:r>
            <w:r w:rsidRPr="008E49CF">
              <w:rPr>
                <w:b/>
                <w:bCs/>
              </w:rPr>
              <w:t xml:space="preserve"> </w:t>
            </w:r>
            <w:r>
              <w:t>rate</w:t>
            </w:r>
          </w:p>
          <w:p w14:paraId="5DA29A53" w14:textId="77777777" w:rsidR="005158CD" w:rsidRPr="008E49CF" w:rsidRDefault="005158CD" w:rsidP="00AE6461">
            <w:pPr>
              <w:pStyle w:val="TabletextML"/>
              <w:ind w:left="730" w:right="324" w:hanging="730"/>
            </w:pPr>
            <w:r w:rsidRPr="008E49CF">
              <w:rPr>
                <w:rFonts w:ascii="Whitney Medium" w:hAnsi="Whitney Medium"/>
              </w:rPr>
              <w:t xml:space="preserve">Adjustment </w:t>
            </w:r>
            <w:r>
              <w:rPr>
                <w:rFonts w:ascii="Whitney Medium" w:hAnsi="Whitney Medium"/>
              </w:rPr>
              <w:t>a</w:t>
            </w:r>
            <w:r w:rsidRPr="008E49CF">
              <w:rPr>
                <w:rFonts w:ascii="Whitney Medium" w:hAnsi="Whitney Medium"/>
              </w:rPr>
              <w:t>pplied</w:t>
            </w:r>
            <w:r>
              <w:rPr>
                <w:rFonts w:ascii="Whitney Medium" w:hAnsi="Whitney Medium"/>
              </w:rPr>
              <w:t xml:space="preserve">: both </w:t>
            </w:r>
            <w:r w:rsidRPr="00DF6DC2">
              <w:rPr>
                <w:rFonts w:ascii="Whitney Medium" w:hAnsi="Whitney Medium"/>
                <w:b/>
                <w:bCs/>
              </w:rPr>
              <w:t>crude rates</w:t>
            </w:r>
            <w:r>
              <w:rPr>
                <w:rFonts w:ascii="Whitney Medium" w:hAnsi="Whitney Medium"/>
              </w:rPr>
              <w:t xml:space="preserve"> and </w:t>
            </w:r>
            <w:r w:rsidRPr="00DF6DC2">
              <w:rPr>
                <w:rFonts w:ascii="Whitney Medium" w:hAnsi="Whitney Medium"/>
                <w:b/>
                <w:bCs/>
              </w:rPr>
              <w:t>age standardised</w:t>
            </w:r>
            <w:r>
              <w:rPr>
                <w:rFonts w:ascii="Whitney Medium" w:hAnsi="Whitney Medium"/>
              </w:rPr>
              <w:t xml:space="preserve"> rates are provided. For the standardised rates, the user of the reports can select either </w:t>
            </w:r>
            <w:r w:rsidRPr="009919BE">
              <w:rPr>
                <w:rFonts w:ascii="Whitney Medium" w:hAnsi="Whitney Medium"/>
                <w:i/>
                <w:iCs/>
              </w:rPr>
              <w:t>WHO 2000 Population</w:t>
            </w:r>
            <w:r>
              <w:rPr>
                <w:rFonts w:ascii="Whitney Medium" w:hAnsi="Whitney Medium"/>
                <w:i/>
                <w:iCs/>
              </w:rPr>
              <w:t xml:space="preserve"> </w:t>
            </w:r>
            <w:r>
              <w:rPr>
                <w:rFonts w:ascii="Whitney Medium" w:hAnsi="Whitney Medium"/>
              </w:rPr>
              <w:t xml:space="preserve">or </w:t>
            </w:r>
            <w:r w:rsidRPr="00D06736">
              <w:rPr>
                <w:rFonts w:ascii="Whitney Medium" w:hAnsi="Whitney Medium"/>
                <w:i/>
                <w:iCs/>
              </w:rPr>
              <w:t>Census 201</w:t>
            </w:r>
            <w:r>
              <w:rPr>
                <w:rFonts w:ascii="Whitney Medium" w:hAnsi="Whitney Medium"/>
                <w:i/>
                <w:iCs/>
              </w:rPr>
              <w:t>8</w:t>
            </w:r>
            <w:r w:rsidRPr="00D06736">
              <w:rPr>
                <w:rFonts w:ascii="Whitney Medium" w:hAnsi="Whitney Medium"/>
                <w:i/>
                <w:iCs/>
              </w:rPr>
              <w:t xml:space="preserve"> NZ Resident Population</w:t>
            </w:r>
            <w:r>
              <w:rPr>
                <w:rFonts w:ascii="Whitney Medium" w:hAnsi="Whitney Medium"/>
              </w:rPr>
              <w:t>.</w:t>
            </w:r>
          </w:p>
          <w:p w14:paraId="42074A9A" w14:textId="77777777" w:rsidR="005158CD" w:rsidRDefault="005158CD" w:rsidP="00AE6461">
            <w:pPr>
              <w:pStyle w:val="TabletextML"/>
            </w:pPr>
            <w:r w:rsidRPr="008E49CF">
              <w:rPr>
                <w:rFonts w:ascii="Whitney Medium" w:hAnsi="Whitney Medium"/>
              </w:rPr>
              <w:t>District assignment:</w:t>
            </w:r>
            <w:r w:rsidRPr="008E49CF">
              <w:rPr>
                <w:b/>
                <w:bCs/>
              </w:rPr>
              <w:t xml:space="preserve"> </w:t>
            </w:r>
          </w:p>
          <w:p w14:paraId="2CC5D7BA" w14:textId="77777777" w:rsidR="005158CD" w:rsidRDefault="005158CD" w:rsidP="005158CD">
            <w:pPr>
              <w:pStyle w:val="TabletextML"/>
              <w:numPr>
                <w:ilvl w:val="0"/>
                <w:numId w:val="3"/>
              </w:numPr>
              <w:spacing w:before="0" w:after="0"/>
              <w:ind w:left="714" w:hanging="357"/>
            </w:pPr>
            <w:r>
              <w:t xml:space="preserve">District of domicile, </w:t>
            </w:r>
          </w:p>
          <w:p w14:paraId="3CF1D5FC" w14:textId="77777777" w:rsidR="005158CD" w:rsidRDefault="005158CD" w:rsidP="005158CD">
            <w:pPr>
              <w:pStyle w:val="TabletextML"/>
              <w:numPr>
                <w:ilvl w:val="0"/>
                <w:numId w:val="3"/>
              </w:numPr>
              <w:spacing w:before="0" w:after="0"/>
              <w:ind w:left="714" w:hanging="357"/>
            </w:pPr>
            <w:r>
              <w:t xml:space="preserve">PHO where patient is </w:t>
            </w:r>
            <w:proofErr w:type="gramStart"/>
            <w:r>
              <w:t>enrolled</w:t>
            </w:r>
            <w:proofErr w:type="gramEnd"/>
          </w:p>
          <w:p w14:paraId="24AAEF1A" w14:textId="77777777" w:rsidR="005158CD" w:rsidRDefault="005158CD" w:rsidP="00AE6461">
            <w:pPr>
              <w:pStyle w:val="TabletextML"/>
            </w:pPr>
            <w:r>
              <w:t>Stratification:</w:t>
            </w:r>
          </w:p>
          <w:p w14:paraId="4CA38805" w14:textId="77777777" w:rsidR="005158CD" w:rsidRPr="00E67A23" w:rsidRDefault="005158CD" w:rsidP="005158CD">
            <w:pPr>
              <w:pStyle w:val="ListParagraph"/>
              <w:numPr>
                <w:ilvl w:val="0"/>
                <w:numId w:val="4"/>
              </w:numPr>
              <w:spacing w:after="60"/>
              <w:ind w:left="714" w:hanging="357"/>
              <w:contextualSpacing w:val="0"/>
              <w:jc w:val="both"/>
            </w:pPr>
            <w:r>
              <w:t xml:space="preserve">District </w:t>
            </w:r>
            <w:r w:rsidRPr="00E67A23">
              <w:t>of domicile</w:t>
            </w:r>
            <w:r>
              <w:t xml:space="preserve"> based on the </w:t>
            </w:r>
            <w:r w:rsidRPr="00045607">
              <w:t>first e</w:t>
            </w:r>
            <w:r>
              <w:t xml:space="preserve">vent of the </w:t>
            </w:r>
            <w:proofErr w:type="gramStart"/>
            <w:r>
              <w:t>stay</w:t>
            </w:r>
            <w:proofErr w:type="gramEnd"/>
          </w:p>
          <w:p w14:paraId="38A5FDE9" w14:textId="77777777" w:rsidR="005158CD" w:rsidRPr="00E67A23" w:rsidRDefault="005158CD" w:rsidP="005158CD">
            <w:pPr>
              <w:pStyle w:val="ListParagraph"/>
              <w:numPr>
                <w:ilvl w:val="0"/>
                <w:numId w:val="4"/>
              </w:numPr>
              <w:spacing w:after="60"/>
              <w:ind w:left="714" w:hanging="357"/>
              <w:contextualSpacing w:val="0"/>
              <w:jc w:val="both"/>
            </w:pPr>
            <w:r w:rsidRPr="00E67A23">
              <w:t>age in 5-year bands</w:t>
            </w:r>
            <w:r>
              <w:t xml:space="preserve"> based on the </w:t>
            </w:r>
            <w:r w:rsidRPr="00045607">
              <w:t>first event</w:t>
            </w:r>
            <w:r>
              <w:t xml:space="preserve"> of the </w:t>
            </w:r>
            <w:proofErr w:type="gramStart"/>
            <w:r>
              <w:t>stay</w:t>
            </w:r>
            <w:proofErr w:type="gramEnd"/>
          </w:p>
          <w:p w14:paraId="530AA22B" w14:textId="77777777" w:rsidR="005158CD" w:rsidRPr="00E67A23" w:rsidRDefault="005158CD" w:rsidP="005158CD">
            <w:pPr>
              <w:pStyle w:val="ListParagraph"/>
              <w:numPr>
                <w:ilvl w:val="0"/>
                <w:numId w:val="4"/>
              </w:numPr>
              <w:spacing w:after="60"/>
              <w:ind w:left="714" w:hanging="357"/>
              <w:contextualSpacing w:val="0"/>
              <w:jc w:val="both"/>
            </w:pPr>
            <w:r w:rsidRPr="00E67A23">
              <w:t>gender</w:t>
            </w:r>
          </w:p>
          <w:p w14:paraId="59FC333F" w14:textId="77777777" w:rsidR="005158CD" w:rsidRDefault="005158CD" w:rsidP="005158CD">
            <w:pPr>
              <w:pStyle w:val="ListParagraph"/>
              <w:numPr>
                <w:ilvl w:val="0"/>
                <w:numId w:val="4"/>
              </w:numPr>
              <w:spacing w:after="60"/>
              <w:ind w:left="714" w:hanging="357"/>
              <w:contextualSpacing w:val="0"/>
              <w:jc w:val="both"/>
            </w:pPr>
            <w:r w:rsidRPr="00E67A23">
              <w:t>prioritised ethnicity (Māori, Pacific, and Other in that order)</w:t>
            </w:r>
            <w:r>
              <w:t xml:space="preserve"> from NMDS dataset based on </w:t>
            </w:r>
            <w:r w:rsidRPr="00045607">
              <w:t>the first event</w:t>
            </w:r>
            <w:r>
              <w:t xml:space="preserve"> of the </w:t>
            </w:r>
            <w:proofErr w:type="gramStart"/>
            <w:r>
              <w:t>stay</w:t>
            </w:r>
            <w:proofErr w:type="gramEnd"/>
          </w:p>
          <w:p w14:paraId="3B46D9BE" w14:textId="77777777" w:rsidR="005158CD" w:rsidRPr="009922C8" w:rsidRDefault="005158CD" w:rsidP="005158CD">
            <w:pPr>
              <w:pStyle w:val="ListParagraph"/>
              <w:numPr>
                <w:ilvl w:val="0"/>
                <w:numId w:val="4"/>
              </w:numPr>
              <w:spacing w:after="60"/>
              <w:ind w:left="714" w:hanging="357"/>
              <w:contextualSpacing w:val="0"/>
              <w:jc w:val="both"/>
            </w:pPr>
            <w:r w:rsidRPr="00045607">
              <w:t>NZDep201</w:t>
            </w:r>
            <w:r>
              <w:t>8</w:t>
            </w:r>
            <w:r w:rsidRPr="00045607">
              <w:t xml:space="preserve"> Index of deprivation quintile based on the first</w:t>
            </w:r>
            <w:r>
              <w:t xml:space="preserve"> event of the stay</w:t>
            </w:r>
          </w:p>
        </w:tc>
      </w:tr>
      <w:bookmarkEnd w:id="0"/>
      <w:tr w:rsidR="005158CD" w:rsidRPr="00AD3169" w14:paraId="491AAD30" w14:textId="77777777" w:rsidTr="009560B2">
        <w:trPr>
          <w:trHeight w:val="413"/>
        </w:trPr>
        <w:tc>
          <w:tcPr>
            <w:tcW w:w="2988" w:type="dxa"/>
            <w:shd w:val="clear" w:color="auto" w:fill="7F7F7F" w:themeFill="text1" w:themeFillTint="80"/>
          </w:tcPr>
          <w:p w14:paraId="5C79CC36" w14:textId="77777777" w:rsidR="005158CD" w:rsidRPr="009560B2" w:rsidRDefault="005158CD" w:rsidP="00AE6461">
            <w:pPr>
              <w:spacing w:before="60" w:after="60" w:line="276" w:lineRule="auto"/>
              <w:rPr>
                <w:rFonts w:ascii="Whitney Semibold" w:hAnsi="Whitney Semibold" w:cs="Arial"/>
                <w:b/>
                <w:bCs/>
                <w:color w:val="FFFFFF" w:themeColor="background1"/>
              </w:rPr>
            </w:pPr>
            <w:r w:rsidRPr="009560B2">
              <w:rPr>
                <w:rFonts w:ascii="Whitney Semibold" w:hAnsi="Whitney Semibold" w:cs="Arial"/>
                <w:b/>
                <w:bCs/>
                <w:color w:val="FFFFFF" w:themeColor="background1"/>
              </w:rPr>
              <w:t>Data sources</w:t>
            </w:r>
          </w:p>
        </w:tc>
        <w:tc>
          <w:tcPr>
            <w:tcW w:w="6651" w:type="dxa"/>
            <w:shd w:val="clear" w:color="auto" w:fill="auto"/>
          </w:tcPr>
          <w:p w14:paraId="479C29EE" w14:textId="77777777" w:rsidR="005158CD" w:rsidRDefault="005158CD" w:rsidP="00AE6461">
            <w:pPr>
              <w:pStyle w:val="TabletextML"/>
            </w:pPr>
            <w:r w:rsidRPr="00F740B2">
              <w:t xml:space="preserve">The source of data for the </w:t>
            </w:r>
            <w:r>
              <w:t xml:space="preserve">numerator of the </w:t>
            </w:r>
            <w:r w:rsidRPr="00F740B2">
              <w:t>measure will be the National Minimum Dataset (NMDS).</w:t>
            </w:r>
          </w:p>
          <w:p w14:paraId="4D016208" w14:textId="77777777" w:rsidR="005158CD" w:rsidRPr="008E49CF" w:rsidRDefault="005158CD" w:rsidP="00AE6461">
            <w:pPr>
              <w:pStyle w:val="TabletextML"/>
            </w:pPr>
            <w:r w:rsidRPr="00F740B2">
              <w:t xml:space="preserve">The </w:t>
            </w:r>
            <w:r>
              <w:t xml:space="preserve">estimated NZ resident population with Statistics NZ projections (consistent with the Population based funding formula) </w:t>
            </w:r>
            <w:r w:rsidRPr="00F740B2">
              <w:t>will be used to count the denominator of this measure.</w:t>
            </w:r>
          </w:p>
        </w:tc>
      </w:tr>
      <w:tr w:rsidR="005158CD" w:rsidRPr="00AD3169" w14:paraId="44A911C8" w14:textId="77777777" w:rsidTr="009560B2">
        <w:trPr>
          <w:trHeight w:val="794"/>
        </w:trPr>
        <w:tc>
          <w:tcPr>
            <w:tcW w:w="2988" w:type="dxa"/>
            <w:shd w:val="clear" w:color="auto" w:fill="7F7F7F" w:themeFill="text1" w:themeFillTint="80"/>
          </w:tcPr>
          <w:p w14:paraId="1F72F3F0" w14:textId="77777777" w:rsidR="005158CD" w:rsidRPr="009560B2" w:rsidRDefault="005158CD" w:rsidP="00AE6461">
            <w:pPr>
              <w:spacing w:before="60" w:after="60" w:line="276" w:lineRule="auto"/>
              <w:rPr>
                <w:rFonts w:ascii="Whitney Semibold" w:hAnsi="Whitney Semibold" w:cs="Arial"/>
                <w:b/>
                <w:bCs/>
                <w:color w:val="FFFFFF" w:themeColor="background1"/>
              </w:rPr>
            </w:pPr>
            <w:r w:rsidRPr="009560B2">
              <w:rPr>
                <w:rFonts w:ascii="Whitney Semibold" w:hAnsi="Whitney Semibold" w:cs="Arial"/>
                <w:b/>
                <w:bCs/>
                <w:color w:val="FFFFFF" w:themeColor="background1"/>
              </w:rPr>
              <w:t>Notes</w:t>
            </w:r>
          </w:p>
        </w:tc>
        <w:tc>
          <w:tcPr>
            <w:tcW w:w="6651" w:type="dxa"/>
          </w:tcPr>
          <w:p w14:paraId="18050E70" w14:textId="77777777" w:rsidR="005158CD" w:rsidRPr="00864D69" w:rsidRDefault="005158CD" w:rsidP="00AE6461">
            <w:pPr>
              <w:pStyle w:val="TabletextML"/>
              <w:rPr>
                <w:b/>
                <w:bCs/>
              </w:rPr>
            </w:pPr>
            <w:r w:rsidRPr="00864D69">
              <w:rPr>
                <w:b/>
                <w:bCs/>
              </w:rPr>
              <w:t>PHO Population</w:t>
            </w:r>
          </w:p>
          <w:p w14:paraId="1507A6C5" w14:textId="1C1A0348" w:rsidR="005158CD" w:rsidRDefault="00EB02C3" w:rsidP="00EB02C3">
            <w:pPr>
              <w:jc w:val="both"/>
            </w:pPr>
            <w:r>
              <w:t>The denominators in the PHO reports will be the average population enrolled in each PHO over the 12 months period. This leads to inaccurate population numbers displayed for PHOs that have been in existence for less than 12 months.</w:t>
            </w:r>
          </w:p>
          <w:p w14:paraId="6195A35D" w14:textId="4E1B4193" w:rsidR="005158CD" w:rsidRPr="00E46E7E" w:rsidRDefault="005158CD" w:rsidP="00AE6461">
            <w:pPr>
              <w:pStyle w:val="TabletextML"/>
            </w:pPr>
            <w:r w:rsidRPr="00117DDF">
              <w:t>NHIs will be used to link NMDS data with the PHO patient registers.  The PHO patient registers for the quarter in which the patient was discharged will be used. For example, if the patient’s last day of the whole stay was on 2 February 201</w:t>
            </w:r>
            <w:r>
              <w:t>7</w:t>
            </w:r>
            <w:r w:rsidRPr="00117DDF">
              <w:t xml:space="preserve">, then the PHO the patient is enrolled with in that quarter will be used.  </w:t>
            </w:r>
          </w:p>
        </w:tc>
      </w:tr>
    </w:tbl>
    <w:p w14:paraId="251C0E2F" w14:textId="77777777" w:rsidR="005158CD" w:rsidRDefault="005158CD" w:rsidP="005158CD">
      <w:pPr>
        <w:spacing w:line="276" w:lineRule="auto"/>
        <w:rPr>
          <w:rFonts w:ascii="Whitney" w:eastAsia="Segoe UI" w:hAnsi="Whitney" w:cs="Segoe UI"/>
          <w:b/>
          <w:bCs/>
          <w:color w:val="293868"/>
          <w:sz w:val="24"/>
          <w:szCs w:val="24"/>
        </w:rPr>
      </w:pPr>
    </w:p>
    <w:p w14:paraId="7974B5AC" w14:textId="77777777" w:rsidR="00594A3B" w:rsidRDefault="00594A3B"/>
    <w:sectPr w:rsidR="00594A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hitney Book">
    <w:altName w:val="Calibri"/>
    <w:panose1 w:val="00000000000000000000"/>
    <w:charset w:val="00"/>
    <w:family w:val="modern"/>
    <w:notTrueType/>
    <w:pitch w:val="variable"/>
    <w:sig w:usb0="A00002FF" w:usb1="4000004A" w:usb2="00000000" w:usb3="00000000" w:csb0="0000009F" w:csb1="00000000"/>
  </w:font>
  <w:font w:name="Arial">
    <w:panose1 w:val="020B0604020202020204"/>
    <w:charset w:val="00"/>
    <w:family w:val="swiss"/>
    <w:pitch w:val="variable"/>
    <w:sig w:usb0="E0002EFF" w:usb1="C000785B" w:usb2="00000009" w:usb3="00000000" w:csb0="000001FF" w:csb1="00000000"/>
  </w:font>
  <w:font w:name="Whitney">
    <w:altName w:val="Cambria"/>
    <w:panose1 w:val="00000000000000000000"/>
    <w:charset w:val="00"/>
    <w:family w:val="modern"/>
    <w:notTrueType/>
    <w:pitch w:val="variable"/>
    <w:sig w:usb0="A00000AF" w:usb1="50002048" w:usb2="00000000" w:usb3="00000000" w:csb0="00000111" w:csb1="00000000"/>
  </w:font>
  <w:font w:name="Whitney Semibold">
    <w:altName w:val="Calibri"/>
    <w:panose1 w:val="00000000000000000000"/>
    <w:charset w:val="00"/>
    <w:family w:val="modern"/>
    <w:notTrueType/>
    <w:pitch w:val="variable"/>
    <w:sig w:usb0="A00000AF" w:usb1="50002048" w:usb2="00000000" w:usb3="00000000" w:csb0="00000111" w:csb1="00000000"/>
  </w:font>
  <w:font w:name="Whitney Medium">
    <w:altName w:val="Calibri"/>
    <w:panose1 w:val="00000000000000000000"/>
    <w:charset w:val="00"/>
    <w:family w:val="modern"/>
    <w:notTrueType/>
    <w:pitch w:val="variable"/>
    <w:sig w:usb0="A00002FF" w:usb1="40000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E65C2"/>
    <w:multiLevelType w:val="hybridMultilevel"/>
    <w:tmpl w:val="2CAE5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B760501"/>
    <w:multiLevelType w:val="hybridMultilevel"/>
    <w:tmpl w:val="C162708C"/>
    <w:lvl w:ilvl="0" w:tplc="08E20D20">
      <w:start w:val="1"/>
      <w:numFmt w:val="bullet"/>
      <w:pStyle w:val="TablebulletsML"/>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3FD74D1"/>
    <w:multiLevelType w:val="hybridMultilevel"/>
    <w:tmpl w:val="5ED8179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BE14CF6"/>
    <w:multiLevelType w:val="hybridMultilevel"/>
    <w:tmpl w:val="7B7CBD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5B652E9"/>
    <w:multiLevelType w:val="hybridMultilevel"/>
    <w:tmpl w:val="F0489B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21341749">
    <w:abstractNumId w:val="1"/>
  </w:num>
  <w:num w:numId="2" w16cid:durableId="116991130">
    <w:abstractNumId w:val="4"/>
  </w:num>
  <w:num w:numId="3" w16cid:durableId="1038354792">
    <w:abstractNumId w:val="3"/>
  </w:num>
  <w:num w:numId="4" w16cid:durableId="526796739">
    <w:abstractNumId w:val="2"/>
  </w:num>
  <w:num w:numId="5" w16cid:durableId="1520967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8CD"/>
    <w:rsid w:val="0040556D"/>
    <w:rsid w:val="005158CD"/>
    <w:rsid w:val="00594A3B"/>
    <w:rsid w:val="005A2F5A"/>
    <w:rsid w:val="006B361E"/>
    <w:rsid w:val="009560B2"/>
    <w:rsid w:val="00CC5B95"/>
    <w:rsid w:val="00EB02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596CA"/>
  <w15:chartTrackingRefBased/>
  <w15:docId w15:val="{4390B8F4-6366-4303-9B80-80741CE6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8C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58C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158CD"/>
    <w:pPr>
      <w:ind w:left="720"/>
      <w:contextualSpacing/>
    </w:pPr>
  </w:style>
  <w:style w:type="paragraph" w:customStyle="1" w:styleId="TabletextML">
    <w:name w:val="Table text ML"/>
    <w:basedOn w:val="Normal"/>
    <w:link w:val="TabletextMLChar"/>
    <w:qFormat/>
    <w:rsid w:val="005158CD"/>
    <w:pPr>
      <w:spacing w:before="60" w:after="60" w:line="276" w:lineRule="auto"/>
    </w:pPr>
    <w:rPr>
      <w:rFonts w:ascii="Whitney Book" w:hAnsi="Whitney Book" w:cs="Arial"/>
    </w:rPr>
  </w:style>
  <w:style w:type="paragraph" w:customStyle="1" w:styleId="TablebulletsML">
    <w:name w:val="Table bullets ML"/>
    <w:basedOn w:val="ListParagraph"/>
    <w:link w:val="TablebulletsMLChar"/>
    <w:qFormat/>
    <w:rsid w:val="005158CD"/>
    <w:pPr>
      <w:numPr>
        <w:numId w:val="1"/>
      </w:numPr>
      <w:spacing w:before="60" w:after="60" w:line="276" w:lineRule="auto"/>
      <w:contextualSpacing w:val="0"/>
    </w:pPr>
    <w:rPr>
      <w:rFonts w:ascii="Whitney Book" w:eastAsia="Whitney" w:hAnsi="Whitney Book" w:cs="Whitney"/>
    </w:rPr>
  </w:style>
  <w:style w:type="character" w:customStyle="1" w:styleId="TabletextMLChar">
    <w:name w:val="Table text ML Char"/>
    <w:basedOn w:val="DefaultParagraphFont"/>
    <w:link w:val="TabletextML"/>
    <w:rsid w:val="005158CD"/>
    <w:rPr>
      <w:rFonts w:ascii="Whitney Book" w:hAnsi="Whitney Book" w:cs="Arial"/>
      <w:kern w:val="0"/>
      <w14:ligatures w14:val="none"/>
    </w:rPr>
  </w:style>
  <w:style w:type="character" w:customStyle="1" w:styleId="ListParagraphChar">
    <w:name w:val="List Paragraph Char"/>
    <w:basedOn w:val="DefaultParagraphFont"/>
    <w:link w:val="ListParagraph"/>
    <w:uiPriority w:val="34"/>
    <w:rsid w:val="005158CD"/>
    <w:rPr>
      <w:kern w:val="0"/>
      <w14:ligatures w14:val="none"/>
    </w:rPr>
  </w:style>
  <w:style w:type="character" w:customStyle="1" w:styleId="TablebulletsMLChar">
    <w:name w:val="Table bullets ML Char"/>
    <w:basedOn w:val="ListParagraphChar"/>
    <w:link w:val="TablebulletsML"/>
    <w:rsid w:val="005158CD"/>
    <w:rPr>
      <w:rFonts w:ascii="Whitney Book" w:eastAsia="Whitney" w:hAnsi="Whitney Book" w:cs="Whitney"/>
      <w:kern w:val="0"/>
      <w14:ligatures w14:val="none"/>
    </w:rPr>
  </w:style>
  <w:style w:type="paragraph" w:customStyle="1" w:styleId="MaintitleML">
    <w:name w:val="Main title ML"/>
    <w:basedOn w:val="Normal"/>
    <w:link w:val="MaintitleMLChar"/>
    <w:qFormat/>
    <w:rsid w:val="005158CD"/>
    <w:pPr>
      <w:spacing w:line="276" w:lineRule="auto"/>
    </w:pPr>
    <w:rPr>
      <w:rFonts w:ascii="Whitney Semibold" w:hAnsi="Whitney Semibold" w:cs="Arial"/>
      <w:sz w:val="32"/>
      <w:szCs w:val="32"/>
    </w:rPr>
  </w:style>
  <w:style w:type="character" w:customStyle="1" w:styleId="MaintitleMLChar">
    <w:name w:val="Main title ML Char"/>
    <w:basedOn w:val="DefaultParagraphFont"/>
    <w:link w:val="MaintitleML"/>
    <w:rsid w:val="005158CD"/>
    <w:rPr>
      <w:rFonts w:ascii="Whitney Semibold" w:hAnsi="Whitney Semibold" w:cs="Arial"/>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Stotzer</dc:creator>
  <cp:keywords/>
  <dc:description/>
  <cp:lastModifiedBy>Odile Stotzer</cp:lastModifiedBy>
  <cp:revision>4</cp:revision>
  <dcterms:created xsi:type="dcterms:W3CDTF">2024-09-26T04:17:00Z</dcterms:created>
  <dcterms:modified xsi:type="dcterms:W3CDTF">2024-09-26T23:00:00Z</dcterms:modified>
</cp:coreProperties>
</file>