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1875" w14:textId="7D4896A8" w:rsidR="00B94371" w:rsidRPr="00741DEB" w:rsidRDefault="00966DFD" w:rsidP="003A3EEE">
      <w:pPr>
        <w:pStyle w:val="Ttulo1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/>
          <w:b/>
          <w:sz w:val="36"/>
        </w:rPr>
        <w:t>Resumen de la consulta sobre el Plan de Acción para la Prevención del Suicidio</w:t>
      </w:r>
    </w:p>
    <w:p w14:paraId="1925C7AC" w14:textId="797EAC9B" w:rsidR="00B94371" w:rsidRPr="00741DEB" w:rsidRDefault="00B94371" w:rsidP="003A3EEE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Introducción</w:t>
      </w:r>
    </w:p>
    <w:p w14:paraId="5FFAAFC6" w14:textId="205933D2" w:rsidR="00823330" w:rsidRPr="00741DEB" w:rsidRDefault="00000000" w:rsidP="00823330">
      <w:pPr>
        <w:pStyle w:val="NumberedParagraphs-MOH"/>
        <w:numPr>
          <w:ilvl w:val="0"/>
          <w:numId w:val="0"/>
        </w:numPr>
        <w:ind w:left="851" w:hanging="851"/>
        <w:rPr>
          <w:rFonts w:asciiTheme="minorHAnsi" w:hAnsiTheme="minorHAnsi" w:cstheme="minorHAnsi"/>
        </w:rPr>
      </w:pPr>
      <w:hyperlink r:id="rId7" w:history="1">
        <w:r w:rsidR="00823330">
          <w:rPr>
            <w:rFonts w:asciiTheme="minorHAnsi" w:hAnsiTheme="minorHAnsi"/>
          </w:rPr>
          <w:t>Estos dos documentos</w:t>
        </w:r>
      </w:hyperlink>
      <w:r w:rsidR="00823330">
        <w:rPr>
          <w:rFonts w:asciiTheme="minorHAnsi" w:hAnsiTheme="minorHAnsi"/>
        </w:rPr>
        <w:t xml:space="preserve"> orientan los esfuerzos de prevención del suicidio en Nueva Zelanda:</w:t>
      </w:r>
    </w:p>
    <w:p w14:paraId="2F361F83" w14:textId="4A894418" w:rsidR="00823330" w:rsidRPr="00741DEB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Every Life Matters – He Tapu te Oranga o ia Tangata: Suicide Prevention Strategy 2019</w:t>
      </w:r>
      <w:r w:rsidR="00961F41">
        <w:rPr>
          <w:rFonts w:asciiTheme="minorHAnsi" w:hAnsiTheme="minorHAnsi"/>
          <w:lang w:val="es-ES"/>
        </w:rPr>
        <w:t>-</w:t>
      </w:r>
      <w:r>
        <w:rPr>
          <w:rFonts w:asciiTheme="minorHAnsi" w:hAnsiTheme="minorHAnsi"/>
        </w:rPr>
        <w:t>2029 (He Tapu te Oranga)</w:t>
      </w:r>
      <w:r w:rsidR="00961F41" w:rsidRPr="00961F41">
        <w:rPr>
          <w:rFonts w:asciiTheme="minorHAnsi" w:hAnsiTheme="minorHAnsi"/>
        </w:rPr>
        <w:t>, que es la est</w:t>
      </w:r>
      <w:r w:rsidR="00961F41">
        <w:rPr>
          <w:rFonts w:asciiTheme="minorHAnsi" w:hAnsiTheme="minorHAnsi"/>
          <w:lang w:val="es-ES"/>
        </w:rPr>
        <w:t>rategia del país para la prevención del suicidio correspondiente al período 2019-2029;</w:t>
      </w:r>
    </w:p>
    <w:p w14:paraId="4A63C399" w14:textId="57A09033" w:rsidR="00823330" w:rsidRPr="00741DEB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Plan de Acción para la Prevención del Suicidio 2019-2024 para Aotearoa Nueva Zelanda</w:t>
      </w:r>
      <w:r w:rsidR="00961F41">
        <w:rPr>
          <w:rFonts w:asciiTheme="minorHAnsi" w:hAnsiTheme="minorHAnsi"/>
          <w:lang w:val="es-ES"/>
        </w:rPr>
        <w:t>.</w:t>
      </w:r>
    </w:p>
    <w:p w14:paraId="630D423D" w14:textId="4AD45AAE" w:rsidR="00E01865" w:rsidRDefault="00847078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Dado que el Plan de Acción finaliza en 2024, el Ministerio de Salud ha elaborado un proyecto de plan para los próximos cinco años</w:t>
      </w:r>
      <w:r w:rsidR="00961F41">
        <w:rPr>
          <w:rFonts w:asciiTheme="minorHAnsi" w:hAnsiTheme="minorHAnsi"/>
          <w:lang w:val="es-ES"/>
        </w:rPr>
        <w:t xml:space="preserve"> y </w:t>
      </w:r>
      <w:r>
        <w:rPr>
          <w:rFonts w:asciiTheme="minorHAnsi" w:hAnsiTheme="minorHAnsi"/>
        </w:rPr>
        <w:t xml:space="preserve">está recabando opiniones </w:t>
      </w:r>
      <w:r w:rsidR="00961F41">
        <w:rPr>
          <w:rFonts w:asciiTheme="minorHAnsi" w:hAnsiTheme="minorHAnsi"/>
          <w:lang w:val="es-ES"/>
        </w:rPr>
        <w:t>al respecto</w:t>
      </w:r>
      <w:r>
        <w:rPr>
          <w:rFonts w:asciiTheme="minorHAnsi" w:hAnsiTheme="minorHAnsi"/>
        </w:rPr>
        <w:t xml:space="preserve">. </w:t>
      </w:r>
    </w:p>
    <w:p w14:paraId="0CFED8D3" w14:textId="6B80291D" w:rsidR="00823330" w:rsidRPr="00741DEB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Este plan se ajusta a las prioridades del Gobierno en materia de salud mental, a saber:</w:t>
      </w:r>
      <w:r w:rsidR="002871C8">
        <w:rPr>
          <w:rFonts w:asciiTheme="minorHAnsi" w:hAnsiTheme="minorHAnsi"/>
        </w:rPr>
        <w:t xml:space="preserve"> </w:t>
      </w:r>
    </w:p>
    <w:p w14:paraId="4F61ECB0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mejorar el acceso a la ayuda para la prevención y posvención del suicidio;</w:t>
      </w:r>
    </w:p>
    <w:p w14:paraId="7AC20356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formar una plantilla capaz de ayudar a las personas en riesgo de suicidio o afectadas por este;</w:t>
      </w:r>
    </w:p>
    <w:p w14:paraId="0006ED90" w14:textId="7DCD69C4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reforzar la atención </w:t>
      </w:r>
      <w:r w:rsidR="00961F41">
        <w:rPr>
          <w:rFonts w:asciiTheme="minorHAnsi" w:hAnsiTheme="minorHAnsi"/>
          <w:lang w:val="es-ES"/>
        </w:rPr>
        <w:t>que se presta</w:t>
      </w:r>
      <w:r>
        <w:rPr>
          <w:rFonts w:asciiTheme="minorHAnsi" w:hAnsiTheme="minorHAnsi"/>
        </w:rPr>
        <w:t xml:space="preserve"> a la prevención y la intervención precoz en toda la gama de factores que pueden influir en el suicidio;</w:t>
      </w:r>
    </w:p>
    <w:p w14:paraId="24D44F68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mejorar la eficacia de las ayudas destinadas a la prevención y posvención del suicidio perfeccionando la investigación y la recopilación de datos. </w:t>
      </w:r>
    </w:p>
    <w:p w14:paraId="5145BFF1" w14:textId="4D72E370" w:rsidR="004C36AA" w:rsidRPr="00741DEB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El plan contiene medidas que deberá emprender el sector de la salud y otras que deberán llevar a cabo distintos organismos públicos. </w:t>
      </w:r>
    </w:p>
    <w:p w14:paraId="3F457301" w14:textId="77777777" w:rsidR="00FF401B" w:rsidRPr="00741DEB" w:rsidRDefault="00FF401B" w:rsidP="00FF401B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Acciones propuestas para el sector de la salud </w:t>
      </w:r>
    </w:p>
    <w:p w14:paraId="7671EFED" w14:textId="1CFE94EE" w:rsidR="00FF401B" w:rsidRPr="00741DEB" w:rsidRDefault="00FF401B" w:rsidP="004776C5">
      <w:pPr>
        <w:pStyle w:val="Ttulo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1: Mejorar el acceso a la ayuda para la prevención y </w:t>
      </w:r>
      <w:r w:rsidR="00D27D6B">
        <w:rPr>
          <w:rFonts w:asciiTheme="minorHAnsi" w:hAnsiTheme="minorHAnsi"/>
        </w:rPr>
        <w:t xml:space="preserve">posvención </w:t>
      </w:r>
      <w:r>
        <w:rPr>
          <w:rFonts w:asciiTheme="minorHAnsi" w:hAnsiTheme="minorHAnsi"/>
        </w:rPr>
        <w:t>del suicidio</w:t>
      </w:r>
      <w:r w:rsidR="002871C8">
        <w:rPr>
          <w:rFonts w:asciiTheme="minorHAnsi" w:hAnsiTheme="minorHAnsi"/>
        </w:rPr>
        <w:t xml:space="preserve"> 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1E64E9" w14:paraId="6206F81C" w14:textId="77777777" w:rsidTr="001E64E9">
        <w:trPr>
          <w:tblHeader/>
        </w:trPr>
        <w:tc>
          <w:tcPr>
            <w:tcW w:w="4007" w:type="pct"/>
          </w:tcPr>
          <w:p w14:paraId="0C0E4625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Acción propuesta</w:t>
            </w:r>
          </w:p>
        </w:tc>
        <w:tc>
          <w:tcPr>
            <w:tcW w:w="993" w:type="pct"/>
          </w:tcPr>
          <w:p w14:paraId="1AA5B46A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Fecha de realización</w:t>
            </w:r>
          </w:p>
        </w:tc>
      </w:tr>
      <w:tr w:rsidR="00FF401B" w:rsidRPr="001E64E9" w14:paraId="3BDD2874" w14:textId="77777777" w:rsidTr="001E64E9">
        <w:tc>
          <w:tcPr>
            <w:tcW w:w="4007" w:type="pct"/>
          </w:tcPr>
          <w:p w14:paraId="40692D74" w14:textId="212A8D9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Establecer un fondo comunitario de prevención del suicidio centrado en las poblaciones más necesitadas (</w:t>
            </w:r>
            <w:r w:rsidR="00140456" w:rsidRPr="00140456">
              <w:rPr>
                <w:sz w:val="22"/>
              </w:rPr>
              <w:t>por ejemplo, las comunidades materna, juvenil y rural</w:t>
            </w:r>
            <w:r>
              <w:rPr>
                <w:sz w:val="22"/>
              </w:rPr>
              <w:t>) para complementar los fondos maoríes y del Pacífico que ya existen. </w:t>
            </w:r>
          </w:p>
        </w:tc>
        <w:tc>
          <w:tcPr>
            <w:tcW w:w="993" w:type="pct"/>
          </w:tcPr>
          <w:p w14:paraId="1E018878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31 de diciembre de 2025</w:t>
            </w:r>
          </w:p>
        </w:tc>
      </w:tr>
      <w:tr w:rsidR="00FF401B" w:rsidRPr="001E64E9" w14:paraId="14836DFF" w14:textId="77777777" w:rsidTr="001E64E9">
        <w:tc>
          <w:tcPr>
            <w:tcW w:w="4007" w:type="pct"/>
          </w:tcPr>
          <w:p w14:paraId="2E65C135" w14:textId="0781EF41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Poner en marcha ayudas reforzadas </w:t>
            </w:r>
            <w:r w:rsidR="00140456">
              <w:rPr>
                <w:sz w:val="22"/>
                <w:lang w:val="es-ES"/>
              </w:rPr>
              <w:t>para los casos</w:t>
            </w:r>
            <w:r>
              <w:rPr>
                <w:sz w:val="22"/>
              </w:rPr>
              <w:t xml:space="preserve"> de duelo por suicidio. </w:t>
            </w:r>
          </w:p>
        </w:tc>
        <w:tc>
          <w:tcPr>
            <w:tcW w:w="993" w:type="pct"/>
          </w:tcPr>
          <w:p w14:paraId="10B1EAA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2026</w:t>
            </w:r>
          </w:p>
        </w:tc>
      </w:tr>
      <w:tr w:rsidR="00FF401B" w:rsidRPr="001E64E9" w14:paraId="06510CD7" w14:textId="77777777" w:rsidTr="001E64E9">
        <w:tc>
          <w:tcPr>
            <w:tcW w:w="4007" w:type="pct"/>
          </w:tcPr>
          <w:p w14:paraId="111F9001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Establecer y evaluar seis cafés, centros o servicios de recuperación tras situaciones de crisis. </w:t>
            </w:r>
          </w:p>
        </w:tc>
        <w:tc>
          <w:tcPr>
            <w:tcW w:w="993" w:type="pct"/>
          </w:tcPr>
          <w:p w14:paraId="02E42AF8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2028</w:t>
            </w:r>
          </w:p>
        </w:tc>
      </w:tr>
      <w:tr w:rsidR="00FF401B" w:rsidRPr="001E64E9" w14:paraId="7EAEB331" w14:textId="77777777" w:rsidTr="001E64E9">
        <w:tc>
          <w:tcPr>
            <w:tcW w:w="4007" w:type="pct"/>
          </w:tcPr>
          <w:p w14:paraId="6E66560B" w14:textId="4D605E3B" w:rsidR="00FF401B" w:rsidRPr="001E64E9" w:rsidRDefault="00A56AD8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Mejorar la adecuación cultural de las primeras ayudas que se brindan tras</w:t>
            </w:r>
            <w:r w:rsidR="00FF401B">
              <w:rPr>
                <w:sz w:val="22"/>
              </w:rPr>
              <w:t xml:space="preserve"> una muerte por suicidio y </w:t>
            </w:r>
            <w:r>
              <w:rPr>
                <w:sz w:val="22"/>
                <w:lang w:val="es-ES"/>
              </w:rPr>
              <w:t xml:space="preserve">del </w:t>
            </w:r>
            <w:r w:rsidR="00FF401B">
              <w:rPr>
                <w:sz w:val="22"/>
              </w:rPr>
              <w:t>Aoake te Rā, servicio de duelo por suicidio.</w:t>
            </w:r>
            <w:r w:rsidR="002871C8">
              <w:rPr>
                <w:sz w:val="22"/>
              </w:rPr>
              <w:t xml:space="preserve"> </w:t>
            </w:r>
          </w:p>
        </w:tc>
        <w:tc>
          <w:tcPr>
            <w:tcW w:w="993" w:type="pct"/>
          </w:tcPr>
          <w:p w14:paraId="66FFCED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31 de diciembre de 2028</w:t>
            </w:r>
          </w:p>
        </w:tc>
      </w:tr>
    </w:tbl>
    <w:p w14:paraId="0AE79F2C" w14:textId="77777777" w:rsidR="004776C5" w:rsidRPr="00741DEB" w:rsidRDefault="004776C5" w:rsidP="004776C5">
      <w:pPr>
        <w:pStyle w:val="Ttulo3"/>
        <w:rPr>
          <w:rFonts w:asciiTheme="minorHAnsi" w:hAnsiTheme="minorHAnsi" w:cstheme="minorHAnsi"/>
        </w:rPr>
      </w:pPr>
    </w:p>
    <w:p w14:paraId="676C0452" w14:textId="77163116" w:rsidR="00FF401B" w:rsidRPr="00741DEB" w:rsidRDefault="00FF401B" w:rsidP="004776C5">
      <w:pPr>
        <w:pStyle w:val="Ttulo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2: </w:t>
      </w:r>
      <w:r w:rsidR="00554678">
        <w:rPr>
          <w:rFonts w:asciiTheme="minorHAnsi" w:hAnsiTheme="minorHAnsi"/>
        </w:rPr>
        <w:t>Formar una plantilla capaz y segura de sí misma que trabaje en la prevención y la posvención del suicidio</w:t>
      </w:r>
      <w:r w:rsidR="002871C8">
        <w:rPr>
          <w:rFonts w:asciiTheme="minorHAnsi" w:hAnsiTheme="minorHAnsi"/>
        </w:rPr>
        <w:t xml:space="preserve"> </w:t>
      </w:r>
    </w:p>
    <w:tbl>
      <w:tblPr>
        <w:tblStyle w:val="Tablaconcuadrcula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1E64E9" w14:paraId="70D464A8" w14:textId="77777777" w:rsidTr="001E64E9">
        <w:trPr>
          <w:tblHeader/>
        </w:trPr>
        <w:tc>
          <w:tcPr>
            <w:tcW w:w="4004" w:type="pct"/>
          </w:tcPr>
          <w:p w14:paraId="35EE996D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Acción propuesta</w:t>
            </w:r>
          </w:p>
        </w:tc>
        <w:tc>
          <w:tcPr>
            <w:tcW w:w="996" w:type="pct"/>
          </w:tcPr>
          <w:p w14:paraId="1D80CA0F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Fecha de realización</w:t>
            </w:r>
          </w:p>
        </w:tc>
      </w:tr>
      <w:tr w:rsidR="00FF401B" w:rsidRPr="001E64E9" w14:paraId="3C9CD6CF" w14:textId="77777777" w:rsidTr="001E64E9">
        <w:tc>
          <w:tcPr>
            <w:tcW w:w="4004" w:type="pct"/>
          </w:tcPr>
          <w:p w14:paraId="1F267E9D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Fomentar el acceso de las comunidades, las familias y los whānau a la formación sobre el suicidio.</w:t>
            </w:r>
          </w:p>
        </w:tc>
        <w:tc>
          <w:tcPr>
            <w:tcW w:w="996" w:type="pct"/>
          </w:tcPr>
          <w:p w14:paraId="22D410FF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31 de diciembre de 2025</w:t>
            </w:r>
          </w:p>
        </w:tc>
      </w:tr>
      <w:tr w:rsidR="00FF401B" w:rsidRPr="001E64E9" w14:paraId="27B683D4" w14:textId="77777777" w:rsidTr="001E64E9">
        <w:tc>
          <w:tcPr>
            <w:tcW w:w="4004" w:type="pct"/>
          </w:tcPr>
          <w:p w14:paraId="67E9AAAC" w14:textId="1B395BE1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Elaborar materiales de orientación y mejorar el apoyo continuo dirigido a los coordinadores de prevención y posvención del suicidio y al personal de Kia Piki te Ora para que apliquen las mejores prácticas.</w:t>
            </w:r>
            <w:r w:rsidR="002871C8">
              <w:rPr>
                <w:sz w:val="22"/>
              </w:rPr>
              <w:t xml:space="preserve"> </w:t>
            </w:r>
          </w:p>
        </w:tc>
        <w:tc>
          <w:tcPr>
            <w:tcW w:w="996" w:type="pct"/>
          </w:tcPr>
          <w:p w14:paraId="0A4582C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2026</w:t>
            </w:r>
          </w:p>
        </w:tc>
      </w:tr>
      <w:tr w:rsidR="00FF401B" w:rsidRPr="001E64E9" w14:paraId="5F75403C" w14:textId="77777777" w:rsidTr="001E64E9">
        <w:tc>
          <w:tcPr>
            <w:tcW w:w="4004" w:type="pct"/>
          </w:tcPr>
          <w:p w14:paraId="1FEC21B4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Publicar un marco nacional basado en competencias para los trabajadores, las comunidades y los miembros de las familias y los whānau. </w:t>
            </w:r>
          </w:p>
        </w:tc>
        <w:tc>
          <w:tcPr>
            <w:tcW w:w="996" w:type="pct"/>
          </w:tcPr>
          <w:p w14:paraId="40D5A70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2026</w:t>
            </w:r>
          </w:p>
        </w:tc>
      </w:tr>
      <w:tr w:rsidR="00FF401B" w:rsidRPr="001E64E9" w14:paraId="04FC56EC" w14:textId="77777777" w:rsidTr="001E64E9">
        <w:tc>
          <w:tcPr>
            <w:tcW w:w="4004" w:type="pct"/>
          </w:tcPr>
          <w:p w14:paraId="302E1A56" w14:textId="7BE32376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Elaborar y publicar orientaciones mejoradas dirigidas a los profesionales de la salud sobre la evaluación y el apoyo a las personas que podrían tener tendencias suicidas o sufrir angustia suicida.</w:t>
            </w:r>
            <w:r w:rsidR="002871C8">
              <w:rPr>
                <w:sz w:val="22"/>
              </w:rPr>
              <w:t xml:space="preserve"> </w:t>
            </w:r>
          </w:p>
        </w:tc>
        <w:tc>
          <w:tcPr>
            <w:tcW w:w="996" w:type="pct"/>
          </w:tcPr>
          <w:p w14:paraId="73B5153A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2028</w:t>
            </w:r>
          </w:p>
        </w:tc>
      </w:tr>
    </w:tbl>
    <w:p w14:paraId="37D0DB92" w14:textId="77777777" w:rsidR="000D18C4" w:rsidRPr="00741DEB" w:rsidRDefault="000D18C4" w:rsidP="00FF401B">
      <w:pPr>
        <w:pStyle w:val="Ttulo3"/>
        <w:rPr>
          <w:rFonts w:asciiTheme="minorHAnsi" w:hAnsiTheme="minorHAnsi" w:cstheme="minorHAnsi"/>
        </w:rPr>
      </w:pPr>
    </w:p>
    <w:p w14:paraId="61D55D6E" w14:textId="4A0745C2" w:rsidR="00FF401B" w:rsidRPr="00741DEB" w:rsidRDefault="00FF401B" w:rsidP="000D18C4">
      <w:pPr>
        <w:pStyle w:val="Ttulo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3: </w:t>
      </w:r>
      <w:r w:rsidR="00554678">
        <w:rPr>
          <w:rFonts w:asciiTheme="minorHAnsi" w:hAnsiTheme="minorHAnsi"/>
        </w:rPr>
        <w:t>Reforzar la atención que se presta a la prevención y la intervención precoz</w:t>
      </w:r>
      <w:r w:rsidR="002871C8">
        <w:rPr>
          <w:rFonts w:asciiTheme="minorHAnsi" w:hAnsiTheme="minorHAnsi"/>
        </w:rPr>
        <w:t xml:space="preserve"> </w:t>
      </w:r>
    </w:p>
    <w:tbl>
      <w:tblPr>
        <w:tblStyle w:val="Tablaconcuadrcula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1E64E9" w14:paraId="37612775" w14:textId="77777777" w:rsidTr="001E64E9">
        <w:trPr>
          <w:tblHeader/>
        </w:trPr>
        <w:tc>
          <w:tcPr>
            <w:tcW w:w="4004" w:type="pct"/>
          </w:tcPr>
          <w:p w14:paraId="516E1D00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Acción propuesta</w:t>
            </w:r>
          </w:p>
        </w:tc>
        <w:tc>
          <w:tcPr>
            <w:tcW w:w="996" w:type="pct"/>
          </w:tcPr>
          <w:p w14:paraId="085B7341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Fecha de realización</w:t>
            </w:r>
          </w:p>
        </w:tc>
      </w:tr>
      <w:tr w:rsidR="00FF401B" w:rsidRPr="001E64E9" w14:paraId="51ACBF09" w14:textId="77777777" w:rsidTr="001E64E9">
        <w:tc>
          <w:tcPr>
            <w:tcW w:w="4004" w:type="pct"/>
          </w:tcPr>
          <w:p w14:paraId="253378BD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Invertir en servicios mejorados de recuperación para casos urgentes, de respiro o de crisis dirigidos a los jóvenes en al menos dos regiones.</w:t>
            </w:r>
          </w:p>
        </w:tc>
        <w:tc>
          <w:tcPr>
            <w:tcW w:w="996" w:type="pct"/>
          </w:tcPr>
          <w:p w14:paraId="42ABBE3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2025</w:t>
            </w:r>
          </w:p>
        </w:tc>
      </w:tr>
      <w:tr w:rsidR="00FF401B" w:rsidRPr="001E64E9" w14:paraId="4DD89034" w14:textId="77777777" w:rsidTr="001E64E9">
        <w:tc>
          <w:tcPr>
            <w:tcW w:w="4004" w:type="pct"/>
          </w:tcPr>
          <w:p w14:paraId="6B29968E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Lanzar una nueva campaña de promoción del bienestar que ofrezca recursos específicos para los jóvenes. </w:t>
            </w:r>
          </w:p>
        </w:tc>
        <w:tc>
          <w:tcPr>
            <w:tcW w:w="996" w:type="pct"/>
          </w:tcPr>
          <w:p w14:paraId="3581C112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31 de julio de 2025</w:t>
            </w:r>
          </w:p>
        </w:tc>
      </w:tr>
      <w:tr w:rsidR="00FF401B" w:rsidRPr="001E64E9" w14:paraId="72860E5D" w14:textId="77777777" w:rsidTr="001E64E9">
        <w:tc>
          <w:tcPr>
            <w:tcW w:w="4004" w:type="pct"/>
          </w:tcPr>
          <w:p w14:paraId="0820EB5E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Elaborar y aplicar un programa nacional de detección del consumo de alcohol e intervención breve que incorpore aspectos de prevención del suicidio. </w:t>
            </w:r>
          </w:p>
        </w:tc>
        <w:tc>
          <w:tcPr>
            <w:tcW w:w="996" w:type="pct"/>
          </w:tcPr>
          <w:p w14:paraId="71F22BC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2027</w:t>
            </w:r>
          </w:p>
        </w:tc>
      </w:tr>
      <w:tr w:rsidR="00FF401B" w:rsidRPr="001E64E9" w14:paraId="0FC60EB2" w14:textId="77777777" w:rsidTr="001E64E9">
        <w:tc>
          <w:tcPr>
            <w:tcW w:w="4004" w:type="pct"/>
          </w:tcPr>
          <w:p w14:paraId="1BE1F1E9" w14:textId="46D6D1AA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Redactar y publicar directrices actualizadas sobre el suicidio para los medios de comunicación y recursos complementarios para los distintos tipos de medios.</w:t>
            </w:r>
            <w:r w:rsidR="002871C8">
              <w:rPr>
                <w:sz w:val="22"/>
              </w:rPr>
              <w:t xml:space="preserve"> </w:t>
            </w:r>
          </w:p>
        </w:tc>
        <w:tc>
          <w:tcPr>
            <w:tcW w:w="996" w:type="pct"/>
          </w:tcPr>
          <w:p w14:paraId="460A2F51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31 de diciembre de 2028</w:t>
            </w:r>
          </w:p>
        </w:tc>
      </w:tr>
      <w:tr w:rsidR="00FF401B" w:rsidRPr="001E64E9" w14:paraId="348A18AC" w14:textId="77777777" w:rsidTr="001E64E9">
        <w:tc>
          <w:tcPr>
            <w:tcW w:w="4004" w:type="pct"/>
          </w:tcPr>
          <w:p w14:paraId="3C2E7517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Crear entornos más seguros en los centros de salud mental y adicciones para pacientes ingresados avanzando en la labor de corregir y reducir al mínimo los sitios de ligadura. </w:t>
            </w:r>
          </w:p>
        </w:tc>
        <w:tc>
          <w:tcPr>
            <w:tcW w:w="996" w:type="pct"/>
          </w:tcPr>
          <w:p w14:paraId="5D4ED68F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2029</w:t>
            </w:r>
          </w:p>
        </w:tc>
      </w:tr>
    </w:tbl>
    <w:p w14:paraId="340409D4" w14:textId="77777777" w:rsidR="000D18C4" w:rsidRPr="00741DEB" w:rsidRDefault="000D18C4" w:rsidP="00FF401B">
      <w:pPr>
        <w:pStyle w:val="Ttulo3"/>
        <w:rPr>
          <w:rFonts w:asciiTheme="minorHAnsi" w:hAnsiTheme="minorHAnsi" w:cstheme="minorHAnsi"/>
        </w:rPr>
      </w:pPr>
    </w:p>
    <w:p w14:paraId="2E021BA5" w14:textId="2228F24F" w:rsidR="00FF401B" w:rsidRPr="00741DEB" w:rsidRDefault="00FF401B" w:rsidP="000D18C4">
      <w:pPr>
        <w:pStyle w:val="Ttulo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4: Mejorar la eficacia de la prevención del suicidio y nuestra comprensión de este </w:t>
      </w:r>
    </w:p>
    <w:tbl>
      <w:tblPr>
        <w:tblStyle w:val="Tablaconcuadrcula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1E64E9" w14:paraId="1460DFE6" w14:textId="77777777" w:rsidTr="001E64E9">
        <w:trPr>
          <w:tblHeader/>
        </w:trPr>
        <w:tc>
          <w:tcPr>
            <w:tcW w:w="4004" w:type="pct"/>
          </w:tcPr>
          <w:p w14:paraId="21EB4F9A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Acción propuesta</w:t>
            </w:r>
          </w:p>
        </w:tc>
        <w:tc>
          <w:tcPr>
            <w:tcW w:w="996" w:type="pct"/>
          </w:tcPr>
          <w:p w14:paraId="5B59856F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Fecha de realización</w:t>
            </w:r>
          </w:p>
        </w:tc>
      </w:tr>
      <w:tr w:rsidR="00FF401B" w:rsidRPr="001E64E9" w14:paraId="267E601D" w14:textId="77777777" w:rsidTr="001E64E9">
        <w:tc>
          <w:tcPr>
            <w:tcW w:w="4004" w:type="pct"/>
          </w:tcPr>
          <w:p w14:paraId="637A3599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Examinar la eficacia de la inversión de Vote Health en servicios de prevención del suicidio y aplicar los cambios necesarios. </w:t>
            </w:r>
          </w:p>
        </w:tc>
        <w:tc>
          <w:tcPr>
            <w:tcW w:w="996" w:type="pct"/>
          </w:tcPr>
          <w:p w14:paraId="62670D84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2026</w:t>
            </w:r>
          </w:p>
        </w:tc>
      </w:tr>
      <w:tr w:rsidR="00FF401B" w:rsidRPr="001E64E9" w14:paraId="110ED7F7" w14:textId="77777777" w:rsidTr="001E64E9">
        <w:tc>
          <w:tcPr>
            <w:tcW w:w="4004" w:type="pct"/>
          </w:tcPr>
          <w:p w14:paraId="593A063C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lastRenderedPageBreak/>
              <w:t>Explorar opciones para probar una herramienta de recopilación de datos sobre el suicidio en tiempo real que proporcione datos más oportunos y mejorados sobre el tema.</w:t>
            </w:r>
          </w:p>
        </w:tc>
        <w:tc>
          <w:tcPr>
            <w:tcW w:w="996" w:type="pct"/>
          </w:tcPr>
          <w:p w14:paraId="220E1380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31 de diciembre de 2026</w:t>
            </w:r>
          </w:p>
        </w:tc>
      </w:tr>
    </w:tbl>
    <w:p w14:paraId="017FD6A2" w14:textId="77777777" w:rsidR="00FF401B" w:rsidRPr="00741DEB" w:rsidRDefault="00FF401B" w:rsidP="00FF401B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Acciones propuestas para distintos organismos públicos </w:t>
      </w:r>
    </w:p>
    <w:p w14:paraId="3A2B461A" w14:textId="5138DE25" w:rsidR="00FF401B" w:rsidRPr="00741DEB" w:rsidRDefault="00FF401B" w:rsidP="007140B1">
      <w:pPr>
        <w:pStyle w:val="Ttulo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1: Mejorar el acceso a la ayuda para la prevención y </w:t>
      </w:r>
      <w:r w:rsidR="00CD0D57">
        <w:rPr>
          <w:rFonts w:asciiTheme="minorHAnsi" w:hAnsiTheme="minorHAnsi"/>
        </w:rPr>
        <w:t xml:space="preserve">posvención </w:t>
      </w:r>
      <w:r>
        <w:rPr>
          <w:rFonts w:asciiTheme="minorHAnsi" w:hAnsiTheme="minorHAnsi"/>
        </w:rPr>
        <w:t>del suicidio</w:t>
      </w:r>
      <w:r w:rsidR="002871C8">
        <w:rPr>
          <w:rFonts w:asciiTheme="minorHAnsi" w:hAnsiTheme="minorHAnsi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1E64E9" w14:paraId="35AB8FB9" w14:textId="77777777" w:rsidTr="001E64E9">
        <w:trPr>
          <w:tblHeader/>
        </w:trPr>
        <w:tc>
          <w:tcPr>
            <w:tcW w:w="4007" w:type="pct"/>
          </w:tcPr>
          <w:p w14:paraId="292D1DE3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Acción propuesta</w:t>
            </w:r>
          </w:p>
        </w:tc>
        <w:tc>
          <w:tcPr>
            <w:tcW w:w="993" w:type="pct"/>
          </w:tcPr>
          <w:p w14:paraId="42E065BB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Fecha de realización</w:t>
            </w:r>
          </w:p>
        </w:tc>
      </w:tr>
      <w:tr w:rsidR="00FF401B" w:rsidRPr="001E64E9" w14:paraId="58A75CA1" w14:textId="77777777" w:rsidTr="001E64E9">
        <w:tc>
          <w:tcPr>
            <w:tcW w:w="4007" w:type="pct"/>
          </w:tcPr>
          <w:p w14:paraId="11B58F6A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Culminar el diseño de procesos locales de respuesta posventiva en los centros penitenciarios (Ara Poutama Aotearoa | Departamento de Instituciones Penitenciarias).</w:t>
            </w:r>
          </w:p>
        </w:tc>
        <w:tc>
          <w:tcPr>
            <w:tcW w:w="993" w:type="pct"/>
          </w:tcPr>
          <w:p w14:paraId="7D4B9BDD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31 de diciembre de 2025</w:t>
            </w:r>
          </w:p>
        </w:tc>
      </w:tr>
    </w:tbl>
    <w:p w14:paraId="334E2F29" w14:textId="77777777" w:rsidR="004A154A" w:rsidRPr="00741DEB" w:rsidRDefault="004A154A" w:rsidP="007140B1">
      <w:pPr>
        <w:pStyle w:val="Ttulo3"/>
        <w:rPr>
          <w:rFonts w:asciiTheme="minorHAnsi" w:hAnsiTheme="minorHAnsi" w:cstheme="minorHAnsi"/>
        </w:rPr>
      </w:pPr>
    </w:p>
    <w:p w14:paraId="6F7D5D33" w14:textId="121F3A80" w:rsidR="00FF401B" w:rsidRPr="00741DEB" w:rsidRDefault="00FF401B" w:rsidP="007140B1">
      <w:pPr>
        <w:pStyle w:val="Ttulo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2: </w:t>
      </w:r>
      <w:r w:rsidR="004033D0">
        <w:rPr>
          <w:rFonts w:asciiTheme="minorHAnsi" w:hAnsiTheme="minorHAnsi"/>
        </w:rPr>
        <w:t>Formar una plantilla capaz y segura de sí misma que trabaje en la prevención y la posvención del suicidio</w:t>
      </w:r>
      <w:r w:rsidR="002871C8">
        <w:rPr>
          <w:rFonts w:asciiTheme="minorHAnsi" w:hAnsiTheme="minorHAnsi"/>
        </w:rPr>
        <w:t xml:space="preserve"> </w:t>
      </w:r>
    </w:p>
    <w:tbl>
      <w:tblPr>
        <w:tblStyle w:val="Tablaconcuadrcula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C128EF" w14:paraId="3EA2EC83" w14:textId="77777777" w:rsidTr="001E64E9">
        <w:trPr>
          <w:tblHeader/>
        </w:trPr>
        <w:tc>
          <w:tcPr>
            <w:tcW w:w="4004" w:type="pct"/>
          </w:tcPr>
          <w:p w14:paraId="376D5322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Acción propuesta</w:t>
            </w:r>
          </w:p>
        </w:tc>
        <w:tc>
          <w:tcPr>
            <w:tcW w:w="996" w:type="pct"/>
          </w:tcPr>
          <w:p w14:paraId="781AFE83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Fecha de realización</w:t>
            </w:r>
          </w:p>
        </w:tc>
      </w:tr>
      <w:tr w:rsidR="00FF401B" w:rsidRPr="00C128EF" w14:paraId="1117EB20" w14:textId="77777777" w:rsidTr="001E64E9">
        <w:tc>
          <w:tcPr>
            <w:tcW w:w="4004" w:type="pct"/>
          </w:tcPr>
          <w:p w14:paraId="0B58406C" w14:textId="760F0B80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Mejorar los conocimientos y las prácticas del personal de los Servicios de Respuesta al Maltrato de </w:t>
            </w:r>
            <w:r w:rsidR="004E7025">
              <w:rPr>
                <w:sz w:val="22"/>
                <w:lang w:val="es-ES"/>
              </w:rPr>
              <w:t>Personas Mayores</w:t>
            </w:r>
            <w:r>
              <w:rPr>
                <w:sz w:val="22"/>
              </w:rPr>
              <w:t xml:space="preserve"> en materia de prevención del suicidio (Ministerio de Desarrollo Social).</w:t>
            </w:r>
          </w:p>
        </w:tc>
        <w:tc>
          <w:tcPr>
            <w:tcW w:w="996" w:type="pct"/>
          </w:tcPr>
          <w:p w14:paraId="53AC391D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2028</w:t>
            </w:r>
          </w:p>
        </w:tc>
      </w:tr>
      <w:tr w:rsidR="00FF401B" w:rsidRPr="00C128EF" w14:paraId="316F6A9D" w14:textId="77777777" w:rsidTr="001E64E9">
        <w:tc>
          <w:tcPr>
            <w:tcW w:w="4004" w:type="pct"/>
          </w:tcPr>
          <w:p w14:paraId="5DA3D914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Actualizar las orientaciones prácticas y los apoyos destinados a los trabajadores sociales y cuidadores que trabajan con niños y jóvenes que podrían tener tendencias suicidas o experimentar angustia suicida (Oranga Tamariki).</w:t>
            </w:r>
          </w:p>
        </w:tc>
        <w:tc>
          <w:tcPr>
            <w:tcW w:w="996" w:type="pct"/>
          </w:tcPr>
          <w:p w14:paraId="71CBC5C7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2029</w:t>
            </w:r>
          </w:p>
        </w:tc>
      </w:tr>
    </w:tbl>
    <w:p w14:paraId="16F23BDD" w14:textId="77777777" w:rsidR="00741DEB" w:rsidRPr="00741DEB" w:rsidRDefault="00741DEB" w:rsidP="004A154A">
      <w:pPr>
        <w:pStyle w:val="Ttulo3"/>
        <w:rPr>
          <w:rFonts w:asciiTheme="minorHAnsi" w:hAnsiTheme="minorHAnsi" w:cstheme="minorHAnsi"/>
        </w:rPr>
      </w:pPr>
    </w:p>
    <w:p w14:paraId="5EA0FC20" w14:textId="2D9F9FF7" w:rsidR="00FF401B" w:rsidRPr="00741DEB" w:rsidRDefault="00FF401B" w:rsidP="004A154A">
      <w:pPr>
        <w:pStyle w:val="Ttulo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3: </w:t>
      </w:r>
      <w:r w:rsidR="00554678">
        <w:rPr>
          <w:rFonts w:asciiTheme="minorHAnsi" w:hAnsiTheme="minorHAnsi"/>
        </w:rPr>
        <w:t>Reforzar la atención que se presta a la prevención y la intervención precoz</w:t>
      </w:r>
      <w:r w:rsidR="002871C8">
        <w:rPr>
          <w:rFonts w:asciiTheme="minorHAnsi" w:hAnsiTheme="minorHAnsi"/>
        </w:rPr>
        <w:t xml:space="preserve"> </w:t>
      </w:r>
    </w:p>
    <w:tbl>
      <w:tblPr>
        <w:tblStyle w:val="Tablaconcuadrcula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C128EF" w14:paraId="2305C423" w14:textId="77777777" w:rsidTr="007E62A0">
        <w:trPr>
          <w:tblHeader/>
        </w:trPr>
        <w:tc>
          <w:tcPr>
            <w:tcW w:w="3852" w:type="pct"/>
          </w:tcPr>
          <w:p w14:paraId="60F52ED7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Acción propuesta</w:t>
            </w:r>
          </w:p>
        </w:tc>
        <w:tc>
          <w:tcPr>
            <w:tcW w:w="1148" w:type="pct"/>
          </w:tcPr>
          <w:p w14:paraId="3912D86E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Fecha de realización</w:t>
            </w:r>
          </w:p>
        </w:tc>
      </w:tr>
      <w:tr w:rsidR="00FF401B" w:rsidRPr="00C128EF" w14:paraId="2094FE73" w14:textId="77777777" w:rsidTr="007E62A0">
        <w:tc>
          <w:tcPr>
            <w:tcW w:w="3852" w:type="pct"/>
          </w:tcPr>
          <w:p w14:paraId="2F4233D4" w14:textId="0971E776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Fomentar el bienestar y reforzar el apoyo que los centros escolares presta</w:t>
            </w:r>
            <w:r w:rsidR="00D05DFF">
              <w:rPr>
                <w:sz w:val="22"/>
                <w:lang w:val="es-ES"/>
              </w:rPr>
              <w:t>n</w:t>
            </w:r>
            <w:r>
              <w:rPr>
                <w:sz w:val="22"/>
              </w:rPr>
              <w:t xml:space="preserve"> a los alumnos que sufren angustia o se autolesionan, y</w:t>
            </w:r>
            <w:r w:rsidR="00D05DFF">
              <w:rPr>
                <w:sz w:val="22"/>
                <w:lang w:val="es-ES"/>
              </w:rPr>
              <w:t xml:space="preserve"> el que brindan</w:t>
            </w:r>
            <w:r>
              <w:rPr>
                <w:sz w:val="22"/>
              </w:rPr>
              <w:t xml:space="preserve"> luego </w:t>
            </w:r>
            <w:r w:rsidR="00D05DFF">
              <w:rPr>
                <w:sz w:val="22"/>
                <w:lang w:val="es-ES"/>
              </w:rPr>
              <w:t>de que ocurre</w:t>
            </w:r>
            <w:r>
              <w:rPr>
                <w:sz w:val="22"/>
              </w:rPr>
              <w:t xml:space="preserve"> un suicidio (Ministerio de Educación).</w:t>
            </w:r>
          </w:p>
        </w:tc>
        <w:tc>
          <w:tcPr>
            <w:tcW w:w="1148" w:type="pct"/>
          </w:tcPr>
          <w:p w14:paraId="19CB1FF0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2026</w:t>
            </w:r>
          </w:p>
        </w:tc>
      </w:tr>
      <w:tr w:rsidR="00FF401B" w:rsidRPr="00C128EF" w14:paraId="10A6DD58" w14:textId="77777777" w:rsidTr="007E62A0">
        <w:tc>
          <w:tcPr>
            <w:tcW w:w="3852" w:type="pct"/>
          </w:tcPr>
          <w:p w14:paraId="0EF24777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Crear entornos más seguros en los centros penitenciarios trabajando para corregir y reducir al mínimo los sitios de ligadura (Ara Poutama Aotearoa | Departamento de Instituciones Penitenciarias).</w:t>
            </w:r>
          </w:p>
        </w:tc>
        <w:tc>
          <w:tcPr>
            <w:tcW w:w="1148" w:type="pct"/>
          </w:tcPr>
          <w:p w14:paraId="7FAC50DB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2028</w:t>
            </w:r>
          </w:p>
        </w:tc>
      </w:tr>
    </w:tbl>
    <w:p w14:paraId="4B0F7F5F" w14:textId="77777777" w:rsidR="004A154A" w:rsidRPr="00741DEB" w:rsidRDefault="004A154A" w:rsidP="004A154A">
      <w:pPr>
        <w:pStyle w:val="Ttulo3"/>
        <w:rPr>
          <w:rFonts w:asciiTheme="minorHAnsi" w:hAnsiTheme="minorHAnsi" w:cstheme="minorHAnsi"/>
        </w:rPr>
      </w:pPr>
    </w:p>
    <w:p w14:paraId="7EF28098" w14:textId="582920DC" w:rsidR="00FF401B" w:rsidRPr="00D05DFF" w:rsidRDefault="00FF401B" w:rsidP="004A154A">
      <w:pPr>
        <w:pStyle w:val="Ttulo3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/>
        </w:rPr>
        <w:t>4: Mejorar la eficacia de la prevención del suicidio y nuestra comprensión de este</w:t>
      </w:r>
    </w:p>
    <w:tbl>
      <w:tblPr>
        <w:tblStyle w:val="Tablaconcuadrcula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741DEB" w14:paraId="28F62558" w14:textId="77777777" w:rsidTr="007E62A0">
        <w:trPr>
          <w:tblHeader/>
        </w:trPr>
        <w:tc>
          <w:tcPr>
            <w:tcW w:w="3852" w:type="pct"/>
          </w:tcPr>
          <w:p w14:paraId="383C30F2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Acción propuesta</w:t>
            </w:r>
          </w:p>
        </w:tc>
        <w:tc>
          <w:tcPr>
            <w:tcW w:w="1148" w:type="pct"/>
          </w:tcPr>
          <w:p w14:paraId="782E72C7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Fecha de realización</w:t>
            </w:r>
          </w:p>
        </w:tc>
      </w:tr>
      <w:tr w:rsidR="00FF401B" w:rsidRPr="00741DEB" w14:paraId="345CA735" w14:textId="77777777" w:rsidTr="007E62A0">
        <w:tc>
          <w:tcPr>
            <w:tcW w:w="3852" w:type="pct"/>
          </w:tcPr>
          <w:p w14:paraId="06036DED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Apoyar la exploración de opciones para probar una herramienta de recopilación de datos sobre el suicidio en tiempo real que proporcione datos más oportunos y mejorados sobre el tema (Ministerio de Justicia). </w:t>
            </w:r>
          </w:p>
        </w:tc>
        <w:tc>
          <w:tcPr>
            <w:tcW w:w="1148" w:type="pct"/>
          </w:tcPr>
          <w:p w14:paraId="4C9CBF1D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31 de diciembre de 2026</w:t>
            </w:r>
          </w:p>
        </w:tc>
      </w:tr>
      <w:tr w:rsidR="00FF401B" w:rsidRPr="00741DEB" w14:paraId="5FC1B6BB" w14:textId="77777777" w:rsidTr="007E62A0">
        <w:tc>
          <w:tcPr>
            <w:tcW w:w="3852" w:type="pct"/>
          </w:tcPr>
          <w:p w14:paraId="618776C4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Mejorar la eficacia de los informes que se ofrecen en línea sobre las recomendaciones de los forenses (Ministerio de Justicia).</w:t>
            </w:r>
          </w:p>
        </w:tc>
        <w:tc>
          <w:tcPr>
            <w:tcW w:w="1148" w:type="pct"/>
          </w:tcPr>
          <w:p w14:paraId="24E4273B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A más tardar el 30 de junio de 2029</w:t>
            </w:r>
          </w:p>
        </w:tc>
      </w:tr>
    </w:tbl>
    <w:p w14:paraId="2DDDF067" w14:textId="21DE0C8E" w:rsidR="00570CBF" w:rsidRPr="00741DEB" w:rsidRDefault="007C3469" w:rsidP="00570CBF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lastRenderedPageBreak/>
        <w:t>Resultados y medidas</w:t>
      </w:r>
    </w:p>
    <w:p w14:paraId="39D5DE32" w14:textId="3CDE8A30" w:rsidR="00E44D4D" w:rsidRPr="00741DEB" w:rsidRDefault="00742A2B" w:rsidP="00E44D4D"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Se hará un seguimiento de los avances y se informará al Ministro de Salud Mental cada tres meses. Cada año se presentará una actualización al Gabinete que se publicará en el sitio web del Ministerio de Salud.</w:t>
      </w:r>
      <w:r w:rsidR="00D05DFF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</w:rPr>
        <w:t>La Comisión de Salud Mental y Bienestar | Te Hiringa Mahara también hará un seguimiento de la prevención del suicidio.</w:t>
      </w:r>
    </w:p>
    <w:p w14:paraId="24855147" w14:textId="2DAF375A" w:rsidR="00966DFD" w:rsidRPr="00741DEB" w:rsidRDefault="00966DFD" w:rsidP="007E327A">
      <w:pPr>
        <w:pStyle w:val="Ttulo2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>Cómo participar</w:t>
      </w:r>
    </w:p>
    <w:p w14:paraId="3D7F62D5" w14:textId="77777777" w:rsidR="00715582" w:rsidRDefault="006316FA" w:rsidP="00966DFD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Puede brindar su opinión sobre el proyecto de plan de acción de la siguiente manera:</w:t>
      </w:r>
    </w:p>
    <w:p w14:paraId="54CF8ECF" w14:textId="3B7F9D46" w:rsidR="00715582" w:rsidRDefault="00966DFD" w:rsidP="00715582">
      <w:pPr>
        <w:pStyle w:val="Prrafodelista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enviándonos un correo electrónico a </w:t>
      </w:r>
      <w:hyperlink r:id="rId8" w:history="1">
        <w:r>
          <w:rPr>
            <w:rStyle w:val="Hipervnculo"/>
            <w:rFonts w:asciiTheme="minorHAnsi" w:hAnsiTheme="minorHAnsi"/>
          </w:rPr>
          <w:t>mhaengagement@health.govt.nz</w:t>
        </w:r>
      </w:hyperlink>
      <w:r>
        <w:rPr>
          <w:rFonts w:asciiTheme="minorHAnsi" w:hAnsiTheme="minorHAnsi"/>
        </w:rPr>
        <w:t>;</w:t>
      </w:r>
      <w:r w:rsidR="002871C8">
        <w:rPr>
          <w:rFonts w:asciiTheme="minorHAnsi" w:hAnsiTheme="minorHAnsi"/>
        </w:rPr>
        <w:t xml:space="preserve"> </w:t>
      </w:r>
    </w:p>
    <w:p w14:paraId="298BD2E2" w14:textId="3EA0D6BA" w:rsidR="00966DFD" w:rsidRPr="002A1867" w:rsidRDefault="00966DFD" w:rsidP="002A1867">
      <w:pPr>
        <w:pStyle w:val="Prrafodelista"/>
        <w:numPr>
          <w:ilvl w:val="0"/>
          <w:numId w:val="23"/>
        </w:numPr>
      </w:pPr>
      <w:r>
        <w:rPr>
          <w:rFonts w:asciiTheme="minorHAnsi" w:hAnsiTheme="minorHAnsi"/>
        </w:rPr>
        <w:t xml:space="preserve">asistiendo a una reunión de consulta en persona o virtual, cuyos datos estarán disponibles en la </w:t>
      </w:r>
      <w:hyperlink r:id="rId9" w:history="1">
        <w:r>
          <w:rPr>
            <w:rStyle w:val="Hipervnculo"/>
            <w:rFonts w:asciiTheme="minorHAnsi" w:hAnsiTheme="minorHAnsi"/>
          </w:rPr>
          <w:t>página de consulta del sitio web del Ministerio de Salud</w:t>
        </w:r>
      </w:hyperlink>
      <w:r w:rsidR="002A1867" w:rsidRPr="002A1867">
        <w:t xml:space="preserve"> </w:t>
      </w:r>
      <w:r>
        <w:rPr>
          <w:rFonts w:asciiTheme="minorHAnsi" w:hAnsiTheme="minorHAnsi"/>
        </w:rPr>
        <w:t>;</w:t>
      </w:r>
    </w:p>
    <w:p w14:paraId="2E0B8D68" w14:textId="548D7FD0" w:rsidR="00294328" w:rsidRPr="00294328" w:rsidRDefault="00A611A4" w:rsidP="00294328">
      <w:pPr>
        <w:pStyle w:val="Prrafodelista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respondiendo las preguntas en línea en el </w:t>
      </w:r>
      <w:hyperlink r:id="rId10" w:history="1">
        <w:r>
          <w:rPr>
            <w:rStyle w:val="Hipervnculo"/>
            <w:rFonts w:asciiTheme="minorHAnsi" w:hAnsiTheme="minorHAnsi"/>
          </w:rPr>
          <w:t>centro de consulta del Ministerio de Salud</w:t>
        </w:r>
      </w:hyperlink>
      <w:r>
        <w:rPr>
          <w:rFonts w:asciiTheme="minorHAnsi" w:hAnsiTheme="minorHAnsi"/>
        </w:rPr>
        <w:t>.</w:t>
      </w:r>
    </w:p>
    <w:p w14:paraId="7425E384" w14:textId="77777777" w:rsidR="00966DFD" w:rsidRPr="00C128EF" w:rsidRDefault="00966DFD" w:rsidP="00966DFD">
      <w:pPr>
        <w:rPr>
          <w:rFonts w:asciiTheme="minorHAnsi" w:hAnsiTheme="minorHAnsi" w:cstheme="minorHAnsi"/>
        </w:rPr>
      </w:pPr>
    </w:p>
    <w:p w14:paraId="5B3E107C" w14:textId="584FADE0" w:rsidR="00966DFD" w:rsidRPr="00C128EF" w:rsidRDefault="00966DFD" w:rsidP="00966DFD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La consulta se cerrará el viernes 1 de noviembre a las 17 h.</w:t>
      </w:r>
    </w:p>
    <w:p w14:paraId="17B4006F" w14:textId="77777777" w:rsidR="007E327A" w:rsidRPr="00C128EF" w:rsidRDefault="007E327A" w:rsidP="00C5157C">
      <w:pPr>
        <w:spacing w:before="60" w:after="120"/>
        <w:jc w:val="both"/>
        <w:rPr>
          <w:rFonts w:asciiTheme="minorHAnsi" w:hAnsiTheme="minorHAnsi" w:cstheme="minorHAnsi"/>
        </w:rPr>
      </w:pPr>
    </w:p>
    <w:p w14:paraId="5299CA8E" w14:textId="4EE8F59D" w:rsidR="007E327A" w:rsidRPr="00294328" w:rsidRDefault="00EB7AC8" w:rsidP="00C5157C">
      <w:pPr>
        <w:spacing w:before="6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Preguntas de consulta:</w:t>
      </w:r>
    </w:p>
    <w:p w14:paraId="17EC1914" w14:textId="629FF07A" w:rsidR="00EB7AC8" w:rsidRPr="00C128EF" w:rsidRDefault="006C49A6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¿Está de acuerdo con las acciones </w:t>
      </w:r>
      <w:r w:rsidR="00D05DFF">
        <w:rPr>
          <w:rFonts w:asciiTheme="minorHAnsi" w:hAnsiTheme="minorHAnsi"/>
          <w:lang w:val="es-ES"/>
        </w:rPr>
        <w:t>propuestas para el</w:t>
      </w:r>
      <w:r>
        <w:rPr>
          <w:rFonts w:asciiTheme="minorHAnsi" w:hAnsiTheme="minorHAnsi"/>
        </w:rPr>
        <w:t xml:space="preserve"> sector de la salud y los distintos organismos públicos? ¿Cómo se podrían mejorar esas acciones? Sírvase indicar los motivos de su respuesta. </w:t>
      </w:r>
    </w:p>
    <w:p w14:paraId="6E027C35" w14:textId="12B3D481" w:rsidR="00C5157C" w:rsidRPr="00C128EF" w:rsidRDefault="00C5157C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¿Qué otras acciones cree que podrían incluirse para que los organismos públicos las examinaran? Indique los motivos de sus sugerencias. </w:t>
      </w:r>
    </w:p>
    <w:p w14:paraId="78915C5F" w14:textId="77777777" w:rsidR="00EB7AC8" w:rsidRPr="00C128EF" w:rsidRDefault="001D70F4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/>
        </w:rPr>
        <w:t>¿Qué deben tener en cuenta los organismos públicos a la hora de poner en práctica estas acciones para que los resultados satisfagan las necesidades de las comunidades? Indique los motivos de sus sugerencias.</w:t>
      </w:r>
    </w:p>
    <w:p w14:paraId="7D046A3D" w14:textId="79E155BE" w:rsidR="00C5157C" w:rsidRPr="00C128EF" w:rsidRDefault="00C5157C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/>
        </w:rPr>
        <w:t xml:space="preserve">¿Hay algo más que quiera que sepan los organismos </w:t>
      </w:r>
      <w:r w:rsidR="00392AAC">
        <w:rPr>
          <w:rFonts w:asciiTheme="minorHAnsi" w:hAnsiTheme="minorHAnsi"/>
          <w:lang w:val="es-ES"/>
        </w:rPr>
        <w:t>públicos</w:t>
      </w:r>
      <w:r>
        <w:rPr>
          <w:rFonts w:asciiTheme="minorHAnsi" w:hAnsiTheme="minorHAnsi"/>
        </w:rPr>
        <w:t xml:space="preserve"> sobre lo que se necesita para prevenir el suicidio? </w:t>
      </w:r>
    </w:p>
    <w:p w14:paraId="6F5BECC8" w14:textId="77777777" w:rsidR="002A1867" w:rsidRDefault="002A1867" w:rsidP="0038157E">
      <w:pPr>
        <w:rPr>
          <w:rFonts w:asciiTheme="minorHAnsi" w:hAnsiTheme="minorHAnsi" w:cstheme="minorHAnsi"/>
        </w:rPr>
      </w:pPr>
    </w:p>
    <w:p w14:paraId="49BDE58C" w14:textId="5797A32D" w:rsidR="00966DFD" w:rsidRPr="00741DEB" w:rsidRDefault="00966DFD" w:rsidP="0038157E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Gracias por sus comentarios. </w:t>
      </w:r>
    </w:p>
    <w:sectPr w:rsidR="00966DFD" w:rsidRPr="00741DEB" w:rsidSect="00966DF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3C025" w14:textId="77777777" w:rsidR="00DE5C71" w:rsidRDefault="00DE5C71" w:rsidP="002A1867">
      <w:r>
        <w:separator/>
      </w:r>
    </w:p>
  </w:endnote>
  <w:endnote w:type="continuationSeparator" w:id="0">
    <w:p w14:paraId="5208B6C9" w14:textId="77777777" w:rsidR="00DE5C71" w:rsidRDefault="00DE5C71" w:rsidP="002A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755106"/>
      <w:docPartObj>
        <w:docPartGallery w:val="Page Numbers (Bottom of Page)"/>
        <w:docPartUnique/>
      </w:docPartObj>
    </w:sdtPr>
    <w:sdtContent>
      <w:p w14:paraId="1CDB3F28" w14:textId="714CB112" w:rsidR="002A1867" w:rsidRDefault="002A186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28A51" w14:textId="77777777" w:rsidR="002A1867" w:rsidRDefault="002A18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7BF3" w14:textId="77777777" w:rsidR="00DE5C71" w:rsidRDefault="00DE5C71" w:rsidP="002A1867">
      <w:r>
        <w:separator/>
      </w:r>
    </w:p>
  </w:footnote>
  <w:footnote w:type="continuationSeparator" w:id="0">
    <w:p w14:paraId="2E59F1A4" w14:textId="77777777" w:rsidR="00DE5C71" w:rsidRDefault="00DE5C71" w:rsidP="002A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4B"/>
    <w:multiLevelType w:val="hybridMultilevel"/>
    <w:tmpl w:val="C7B86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CA"/>
    <w:multiLevelType w:val="multilevel"/>
    <w:tmpl w:val="1F263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D4734"/>
    <w:multiLevelType w:val="multilevel"/>
    <w:tmpl w:val="D668F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E319E"/>
    <w:multiLevelType w:val="multilevel"/>
    <w:tmpl w:val="6A60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B2095"/>
    <w:multiLevelType w:val="hybridMultilevel"/>
    <w:tmpl w:val="101ECEAE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A704E25"/>
    <w:multiLevelType w:val="multilevel"/>
    <w:tmpl w:val="691E3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4597C"/>
    <w:multiLevelType w:val="multilevel"/>
    <w:tmpl w:val="4BCA125E"/>
    <w:lvl w:ilvl="0">
      <w:start w:val="1"/>
      <w:numFmt w:val="decimal"/>
      <w:pStyle w:val="NumberedParagraphs-MOH"/>
      <w:lvlText w:val="%1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pStyle w:val="ReportBody2-MOH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pStyle w:val="SecondLevelBullets-MOH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7" w15:restartNumberingAfterBreak="0">
    <w:nsid w:val="35454480"/>
    <w:multiLevelType w:val="hybridMultilevel"/>
    <w:tmpl w:val="55EA62DA"/>
    <w:lvl w:ilvl="0" w:tplc="E0B29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6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6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21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C8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C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C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22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0A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F31535"/>
    <w:multiLevelType w:val="hybridMultilevel"/>
    <w:tmpl w:val="3DE6181C"/>
    <w:lvl w:ilvl="0" w:tplc="012A27B8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FB99"/>
    <w:multiLevelType w:val="hybridMultilevel"/>
    <w:tmpl w:val="FFFFFFFF"/>
    <w:lvl w:ilvl="0" w:tplc="78D8952C">
      <w:start w:val="1"/>
      <w:numFmt w:val="decimal"/>
      <w:lvlText w:val="%1."/>
      <w:lvlJc w:val="left"/>
      <w:pPr>
        <w:ind w:left="720" w:hanging="360"/>
      </w:pPr>
    </w:lvl>
    <w:lvl w:ilvl="1" w:tplc="3C36554A">
      <w:start w:val="1"/>
      <w:numFmt w:val="lowerLetter"/>
      <w:lvlText w:val="%2."/>
      <w:lvlJc w:val="left"/>
      <w:pPr>
        <w:ind w:left="1440" w:hanging="360"/>
      </w:pPr>
    </w:lvl>
    <w:lvl w:ilvl="2" w:tplc="840E8D02">
      <w:start w:val="1"/>
      <w:numFmt w:val="decimal"/>
      <w:lvlText w:val="%3."/>
      <w:lvlJc w:val="left"/>
      <w:pPr>
        <w:ind w:left="2160" w:hanging="180"/>
      </w:pPr>
    </w:lvl>
    <w:lvl w:ilvl="3" w:tplc="1E8C2740">
      <w:start w:val="1"/>
      <w:numFmt w:val="decimal"/>
      <w:lvlText w:val="%4."/>
      <w:lvlJc w:val="left"/>
      <w:pPr>
        <w:ind w:left="2880" w:hanging="360"/>
      </w:pPr>
    </w:lvl>
    <w:lvl w:ilvl="4" w:tplc="40D0DDB0">
      <w:start w:val="1"/>
      <w:numFmt w:val="lowerLetter"/>
      <w:lvlText w:val="%5."/>
      <w:lvlJc w:val="left"/>
      <w:pPr>
        <w:ind w:left="3600" w:hanging="360"/>
      </w:pPr>
    </w:lvl>
    <w:lvl w:ilvl="5" w:tplc="67AA6512">
      <w:start w:val="1"/>
      <w:numFmt w:val="lowerRoman"/>
      <w:lvlText w:val="%6."/>
      <w:lvlJc w:val="right"/>
      <w:pPr>
        <w:ind w:left="4320" w:hanging="180"/>
      </w:pPr>
    </w:lvl>
    <w:lvl w:ilvl="6" w:tplc="C89CA48C">
      <w:start w:val="1"/>
      <w:numFmt w:val="decimal"/>
      <w:lvlText w:val="%7."/>
      <w:lvlJc w:val="left"/>
      <w:pPr>
        <w:ind w:left="5040" w:hanging="360"/>
      </w:pPr>
    </w:lvl>
    <w:lvl w:ilvl="7" w:tplc="25F80244">
      <w:start w:val="1"/>
      <w:numFmt w:val="lowerLetter"/>
      <w:lvlText w:val="%8."/>
      <w:lvlJc w:val="left"/>
      <w:pPr>
        <w:ind w:left="5760" w:hanging="360"/>
      </w:pPr>
    </w:lvl>
    <w:lvl w:ilvl="8" w:tplc="3028E1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1" w:tplc="06901BF6">
      <w:start w:val="1"/>
      <w:numFmt w:val="bullet"/>
      <w:pStyle w:val="Second-levelbullets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9678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10398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11118" w:hanging="360"/>
      </w:pPr>
      <w:rPr>
        <w:rFonts w:ascii="Wingdings" w:hAnsi="Wingdings" w:hint="default"/>
      </w:rPr>
    </w:lvl>
  </w:abstractNum>
  <w:abstractNum w:abstractNumId="11" w15:restartNumberingAfterBreak="0">
    <w:nsid w:val="5C7C4B6A"/>
    <w:multiLevelType w:val="hybridMultilevel"/>
    <w:tmpl w:val="5C2EC9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6FA"/>
    <w:multiLevelType w:val="hybridMultilevel"/>
    <w:tmpl w:val="2B4C6CC0"/>
    <w:lvl w:ilvl="0" w:tplc="7DE2BB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A26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0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A5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C0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4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A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E4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C1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D1CED"/>
    <w:multiLevelType w:val="hybridMultilevel"/>
    <w:tmpl w:val="F3F24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B3987"/>
    <w:multiLevelType w:val="hybridMultilevel"/>
    <w:tmpl w:val="423EC3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B1C5D"/>
    <w:multiLevelType w:val="multilevel"/>
    <w:tmpl w:val="B918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A7789"/>
    <w:multiLevelType w:val="multilevel"/>
    <w:tmpl w:val="0710398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7" w15:restartNumberingAfterBreak="0">
    <w:nsid w:val="7B983A77"/>
    <w:multiLevelType w:val="multilevel"/>
    <w:tmpl w:val="6D9E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17337">
    <w:abstractNumId w:val="12"/>
  </w:num>
  <w:num w:numId="2" w16cid:durableId="428737868">
    <w:abstractNumId w:val="10"/>
  </w:num>
  <w:num w:numId="3" w16cid:durableId="2079209675">
    <w:abstractNumId w:val="13"/>
  </w:num>
  <w:num w:numId="4" w16cid:durableId="444737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810599">
    <w:abstractNumId w:val="3"/>
  </w:num>
  <w:num w:numId="6" w16cid:durableId="1408766902">
    <w:abstractNumId w:val="17"/>
  </w:num>
  <w:num w:numId="7" w16cid:durableId="1273130838">
    <w:abstractNumId w:val="5"/>
  </w:num>
  <w:num w:numId="8" w16cid:durableId="1269505466">
    <w:abstractNumId w:val="15"/>
  </w:num>
  <w:num w:numId="9" w16cid:durableId="32659029">
    <w:abstractNumId w:val="1"/>
  </w:num>
  <w:num w:numId="10" w16cid:durableId="1299728667">
    <w:abstractNumId w:val="2"/>
  </w:num>
  <w:num w:numId="11" w16cid:durableId="1154251423">
    <w:abstractNumId w:val="8"/>
  </w:num>
  <w:num w:numId="12" w16cid:durableId="439420362">
    <w:abstractNumId w:val="16"/>
  </w:num>
  <w:num w:numId="13" w16cid:durableId="1293292252">
    <w:abstractNumId w:val="11"/>
  </w:num>
  <w:num w:numId="14" w16cid:durableId="1617979187">
    <w:abstractNumId w:val="14"/>
  </w:num>
  <w:num w:numId="15" w16cid:durableId="632560392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6" w16cid:durableId="260797008">
    <w:abstractNumId w:val="6"/>
    <w:lvlOverride w:ilvl="0">
      <w:startOverride w:val="1"/>
      <w:lvl w:ilvl="0">
        <w:start w:val="1"/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7" w16cid:durableId="1322275070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8" w16cid:durableId="16703276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9" w16cid:durableId="125589167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0" w16cid:durableId="9714407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1" w16cid:durableId="508299237">
    <w:abstractNumId w:val="0"/>
  </w:num>
  <w:num w:numId="22" w16cid:durableId="565186024">
    <w:abstractNumId w:val="7"/>
  </w:num>
  <w:num w:numId="23" w16cid:durableId="466320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D"/>
    <w:rsid w:val="00000E65"/>
    <w:rsid w:val="00002FA5"/>
    <w:rsid w:val="00003703"/>
    <w:rsid w:val="0002448D"/>
    <w:rsid w:val="00032B87"/>
    <w:rsid w:val="00051B77"/>
    <w:rsid w:val="000545D7"/>
    <w:rsid w:val="000D18C4"/>
    <w:rsid w:val="00140456"/>
    <w:rsid w:val="00154245"/>
    <w:rsid w:val="00163FF7"/>
    <w:rsid w:val="00167416"/>
    <w:rsid w:val="001D70F4"/>
    <w:rsid w:val="001E64E9"/>
    <w:rsid w:val="0021204F"/>
    <w:rsid w:val="00243728"/>
    <w:rsid w:val="00262879"/>
    <w:rsid w:val="002871C8"/>
    <w:rsid w:val="00294328"/>
    <w:rsid w:val="00294B7C"/>
    <w:rsid w:val="002A1867"/>
    <w:rsid w:val="002A66A3"/>
    <w:rsid w:val="002C3A1D"/>
    <w:rsid w:val="002F1AA7"/>
    <w:rsid w:val="00303F62"/>
    <w:rsid w:val="00314CE5"/>
    <w:rsid w:val="00340B95"/>
    <w:rsid w:val="00366EF1"/>
    <w:rsid w:val="00373104"/>
    <w:rsid w:val="0038157E"/>
    <w:rsid w:val="00381908"/>
    <w:rsid w:val="00392AAC"/>
    <w:rsid w:val="003A3D86"/>
    <w:rsid w:val="003A3EEE"/>
    <w:rsid w:val="003C0E4B"/>
    <w:rsid w:val="003C0FDA"/>
    <w:rsid w:val="003E29C1"/>
    <w:rsid w:val="003F2797"/>
    <w:rsid w:val="004033D0"/>
    <w:rsid w:val="0046310B"/>
    <w:rsid w:val="004776C5"/>
    <w:rsid w:val="00494E78"/>
    <w:rsid w:val="004A154A"/>
    <w:rsid w:val="004C0AA7"/>
    <w:rsid w:val="004C36AA"/>
    <w:rsid w:val="004E7025"/>
    <w:rsid w:val="004F2FF8"/>
    <w:rsid w:val="004F5A10"/>
    <w:rsid w:val="0051053A"/>
    <w:rsid w:val="00554669"/>
    <w:rsid w:val="00554678"/>
    <w:rsid w:val="005609E6"/>
    <w:rsid w:val="00570CBF"/>
    <w:rsid w:val="005731DC"/>
    <w:rsid w:val="00597AFB"/>
    <w:rsid w:val="005A7DD1"/>
    <w:rsid w:val="005D0F3A"/>
    <w:rsid w:val="005F09EC"/>
    <w:rsid w:val="00630864"/>
    <w:rsid w:val="006316FA"/>
    <w:rsid w:val="00650038"/>
    <w:rsid w:val="00656099"/>
    <w:rsid w:val="00663436"/>
    <w:rsid w:val="00664FE6"/>
    <w:rsid w:val="00671427"/>
    <w:rsid w:val="006734F8"/>
    <w:rsid w:val="006A0B44"/>
    <w:rsid w:val="006C49A6"/>
    <w:rsid w:val="007140B1"/>
    <w:rsid w:val="00715582"/>
    <w:rsid w:val="0071644F"/>
    <w:rsid w:val="00741DEB"/>
    <w:rsid w:val="00742A2B"/>
    <w:rsid w:val="00766197"/>
    <w:rsid w:val="00766930"/>
    <w:rsid w:val="00782CFB"/>
    <w:rsid w:val="00794529"/>
    <w:rsid w:val="007A35F0"/>
    <w:rsid w:val="007B224E"/>
    <w:rsid w:val="007C3469"/>
    <w:rsid w:val="007E327A"/>
    <w:rsid w:val="00813BC2"/>
    <w:rsid w:val="00823330"/>
    <w:rsid w:val="00847078"/>
    <w:rsid w:val="0085382B"/>
    <w:rsid w:val="00871332"/>
    <w:rsid w:val="008A42FE"/>
    <w:rsid w:val="008A6605"/>
    <w:rsid w:val="008D4253"/>
    <w:rsid w:val="008F32A6"/>
    <w:rsid w:val="00903B58"/>
    <w:rsid w:val="00925CFB"/>
    <w:rsid w:val="0095663E"/>
    <w:rsid w:val="00961F41"/>
    <w:rsid w:val="00966DFD"/>
    <w:rsid w:val="009738FC"/>
    <w:rsid w:val="009A2D38"/>
    <w:rsid w:val="009E19E6"/>
    <w:rsid w:val="009E7826"/>
    <w:rsid w:val="00A076C1"/>
    <w:rsid w:val="00A13B82"/>
    <w:rsid w:val="00A13CD1"/>
    <w:rsid w:val="00A16A29"/>
    <w:rsid w:val="00A20095"/>
    <w:rsid w:val="00A40689"/>
    <w:rsid w:val="00A56AD8"/>
    <w:rsid w:val="00A611A4"/>
    <w:rsid w:val="00A92E44"/>
    <w:rsid w:val="00AD4DE9"/>
    <w:rsid w:val="00B074B3"/>
    <w:rsid w:val="00B232E1"/>
    <w:rsid w:val="00B77535"/>
    <w:rsid w:val="00B85C06"/>
    <w:rsid w:val="00B94371"/>
    <w:rsid w:val="00B96F50"/>
    <w:rsid w:val="00BE51B0"/>
    <w:rsid w:val="00C0690B"/>
    <w:rsid w:val="00C128EF"/>
    <w:rsid w:val="00C13275"/>
    <w:rsid w:val="00C2274F"/>
    <w:rsid w:val="00C43730"/>
    <w:rsid w:val="00C46D12"/>
    <w:rsid w:val="00C5157C"/>
    <w:rsid w:val="00C87CEC"/>
    <w:rsid w:val="00CA5972"/>
    <w:rsid w:val="00CB04A7"/>
    <w:rsid w:val="00CD0D57"/>
    <w:rsid w:val="00CF0E51"/>
    <w:rsid w:val="00D05DFF"/>
    <w:rsid w:val="00D27D6B"/>
    <w:rsid w:val="00D54FD8"/>
    <w:rsid w:val="00D63FB7"/>
    <w:rsid w:val="00D864C5"/>
    <w:rsid w:val="00DD71FA"/>
    <w:rsid w:val="00DE5C71"/>
    <w:rsid w:val="00DF6EA1"/>
    <w:rsid w:val="00E01865"/>
    <w:rsid w:val="00E03225"/>
    <w:rsid w:val="00E04DA5"/>
    <w:rsid w:val="00E44D4D"/>
    <w:rsid w:val="00EB7AC8"/>
    <w:rsid w:val="00F45C7C"/>
    <w:rsid w:val="00F56A05"/>
    <w:rsid w:val="00F60118"/>
    <w:rsid w:val="00F864C9"/>
    <w:rsid w:val="00F90027"/>
    <w:rsid w:val="00FD56CD"/>
    <w:rsid w:val="00FE0776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E59B"/>
  <w15:chartTrackingRefBased/>
  <w15:docId w15:val="{6B672106-BBF7-4320-962E-B26F0127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F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66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unhideWhenUsed/>
    <w:qFormat/>
    <w:rsid w:val="00966DFD"/>
    <w:pPr>
      <w:keepNext/>
      <w:spacing w:before="360" w:after="120"/>
      <w:outlineLvl w:val="1"/>
    </w:pPr>
    <w:rPr>
      <w:rFonts w:ascii="Calibri Light" w:hAnsi="Calibri Light" w:cs="Calibri Light"/>
      <w:color w:val="0A6AB4"/>
      <w:spacing w:val="-5"/>
      <w:sz w:val="32"/>
      <w:szCs w:val="32"/>
      <w:lang w:eastAsia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40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D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ar">
    <w:name w:val="Título 2 Car"/>
    <w:basedOn w:val="Fuentedeprrafopredeter"/>
    <w:link w:val="Ttulo2"/>
    <w:uiPriority w:val="1"/>
    <w:rsid w:val="00966DFD"/>
    <w:rPr>
      <w:rFonts w:ascii="Calibri Light" w:hAnsi="Calibri Light" w:cs="Calibri Light"/>
      <w:color w:val="0A6AB4"/>
      <w:spacing w:val="-5"/>
      <w:kern w:val="0"/>
      <w:sz w:val="32"/>
      <w:szCs w:val="32"/>
      <w:lang w:eastAsia="en-GB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6DFD"/>
    <w:rPr>
      <w:color w:val="0563C1"/>
      <w:u w:val="single"/>
    </w:rPr>
  </w:style>
  <w:style w:type="character" w:customStyle="1" w:styleId="BulletChar">
    <w:name w:val="Bullet Char"/>
    <w:basedOn w:val="Fuentedeprrafopredeter"/>
    <w:link w:val="Bullet"/>
    <w:locked/>
    <w:rsid w:val="00966DFD"/>
    <w:rPr>
      <w:lang w:eastAsia="ja-JP"/>
    </w:rPr>
  </w:style>
  <w:style w:type="paragraph" w:customStyle="1" w:styleId="Bullet">
    <w:name w:val="Bullet"/>
    <w:basedOn w:val="Normal"/>
    <w:link w:val="BulletChar"/>
    <w:qFormat/>
    <w:rsid w:val="00966DFD"/>
    <w:pPr>
      <w:numPr>
        <w:numId w:val="2"/>
      </w:numPr>
      <w:spacing w:after="160"/>
      <w:ind w:left="357" w:hanging="357"/>
    </w:pPr>
    <w:rPr>
      <w:rFonts w:asciiTheme="minorHAnsi" w:hAnsiTheme="minorHAnsi" w:cstheme="minorBidi"/>
      <w:kern w:val="2"/>
      <w:lang w:eastAsia="ja-JP"/>
      <w14:ligatures w14:val="standardContextual"/>
    </w:rPr>
  </w:style>
  <w:style w:type="paragraph" w:customStyle="1" w:styleId="Second-levelbullets">
    <w:name w:val="Second-level bullets"/>
    <w:basedOn w:val="Normal"/>
    <w:uiPriority w:val="3"/>
    <w:rsid w:val="00966DFD"/>
    <w:pPr>
      <w:numPr>
        <w:ilvl w:val="1"/>
        <w:numId w:val="2"/>
      </w:numPr>
      <w:spacing w:after="160"/>
      <w:ind w:left="851"/>
    </w:pPr>
    <w:rPr>
      <w:rFonts w:ascii="Times New Roman" w:hAnsi="Times New Roman" w:cs="Times New Roman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966D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6D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6DFD"/>
    <w:rPr>
      <w:rFonts w:ascii="Calibri" w:hAnsi="Calibri" w:cs="Calibri"/>
      <w:kern w:val="0"/>
      <w:sz w:val="20"/>
      <w:szCs w:val="20"/>
      <w14:ligatures w14:val="none"/>
    </w:rPr>
  </w:style>
  <w:style w:type="paragraph" w:styleId="Prrafodelista">
    <w:name w:val="List Paragraph"/>
    <w:basedOn w:val="Normal"/>
    <w:uiPriority w:val="34"/>
    <w:qFormat/>
    <w:rsid w:val="00966DF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66DF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02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Fuentedeprrafopredeter"/>
    <w:rsid w:val="00002FA5"/>
  </w:style>
  <w:style w:type="character" w:customStyle="1" w:styleId="eop">
    <w:name w:val="eop"/>
    <w:basedOn w:val="Fuentedeprrafopredeter"/>
    <w:rsid w:val="00002FA5"/>
  </w:style>
  <w:style w:type="paragraph" w:styleId="Revisin">
    <w:name w:val="Revision"/>
    <w:hidden/>
    <w:uiPriority w:val="99"/>
    <w:semiHidden/>
    <w:rsid w:val="00002FA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70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70F4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customStyle="1" w:styleId="NumberedParagraphs-MOH">
    <w:name w:val="Numbered Paragraphs - MOH"/>
    <w:basedOn w:val="Normal"/>
    <w:link w:val="NumberedParagraphs-MOHChar"/>
    <w:qFormat/>
    <w:rsid w:val="00823330"/>
    <w:pPr>
      <w:numPr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paragraph" w:customStyle="1" w:styleId="ReportBody2-MOH">
    <w:name w:val="Report Body 2 - MOH"/>
    <w:basedOn w:val="NumberedParagraphs-MOH"/>
    <w:qFormat/>
    <w:rsid w:val="00823330"/>
    <w:pPr>
      <w:numPr>
        <w:ilvl w:val="1"/>
      </w:numPr>
      <w:tabs>
        <w:tab w:val="num" w:pos="360"/>
      </w:tabs>
      <w:ind w:left="1440" w:hanging="360"/>
    </w:pPr>
  </w:style>
  <w:style w:type="character" w:customStyle="1" w:styleId="NumberedParagraphs-MOHChar">
    <w:name w:val="Numbered Paragraphs - MOH Char"/>
    <w:basedOn w:val="Fuentedeprrafopredeter"/>
    <w:link w:val="NumberedParagraphs-MOH"/>
    <w:rsid w:val="00823330"/>
    <w:rPr>
      <w:rFonts w:ascii="Segoe UI" w:eastAsia="Times New Roman" w:hAnsi="Segoe UI" w:cs="Segoe UI"/>
      <w:kern w:val="22"/>
      <w:lang w:eastAsia="en-NZ"/>
      <w14:ligatures w14:val="none"/>
    </w:rPr>
  </w:style>
  <w:style w:type="paragraph" w:customStyle="1" w:styleId="SecondLevelBullets-MOH">
    <w:name w:val="Second Level Bullets - MOH"/>
    <w:basedOn w:val="Normal"/>
    <w:qFormat/>
    <w:rsid w:val="00823330"/>
    <w:pPr>
      <w:numPr>
        <w:ilvl w:val="2"/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character" w:customStyle="1" w:styleId="cf01">
    <w:name w:val="cf01"/>
    <w:basedOn w:val="Fuentedeprrafopredeter"/>
    <w:rsid w:val="008D425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8D4253"/>
    <w:rPr>
      <w:rFonts w:ascii="Segoe UI" w:hAnsi="Segoe UI" w:cs="Segoe UI" w:hint="default"/>
      <w:b/>
      <w:bCs/>
      <w:sz w:val="18"/>
      <w:szCs w:val="18"/>
    </w:rPr>
  </w:style>
  <w:style w:type="character" w:styleId="Mencionar">
    <w:name w:val="Mention"/>
    <w:basedOn w:val="Fuentedeprrafopredeter"/>
    <w:uiPriority w:val="99"/>
    <w:unhideWhenUsed/>
    <w:rsid w:val="008D4253"/>
    <w:rPr>
      <w:color w:val="2B579A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FF401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401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401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Table">
    <w:name w:val="Table"/>
    <w:basedOn w:val="Normal"/>
    <w:qFormat/>
    <w:rsid w:val="00FF401B"/>
    <w:pPr>
      <w:keepNext/>
      <w:spacing w:before="120" w:after="120"/>
    </w:pPr>
    <w:rPr>
      <w:rFonts w:ascii="Segoe UI" w:eastAsia="Times New Roman" w:hAnsi="Segoe UI" w:cs="Times New Roman"/>
      <w:b/>
      <w:sz w:val="20"/>
      <w:szCs w:val="20"/>
      <w:lang w:eastAsia="en-GB"/>
    </w:rPr>
  </w:style>
  <w:style w:type="table" w:styleId="Tablaconcuadrcula">
    <w:name w:val="Table Grid"/>
    <w:basedOn w:val="Tablanormal"/>
    <w:uiPriority w:val="39"/>
    <w:rsid w:val="00FF401B"/>
    <w:pPr>
      <w:spacing w:after="0" w:line="264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867"/>
    <w:rPr>
      <w:rFonts w:ascii="Calibri" w:hAnsi="Calibri" w:cs="Calibr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867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7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6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engagement@health.govt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hgovtnz.sharepoint.com/sites/moh-ecm-TemplateCentral/TemplateCentral/Suicide%20Prevention%20Action%20Plan%202019&#8211;2024%20for%20Aotearoa%20New%20Zealand%20(He%20Tapu%20te%20Oranga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nsult.health.govt.nz/mental-health/suicide-prevention-action-plan-2025-2029-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willis\AppData\Local\Microsoft\Windows\INetCache\Content.Outlook\PMQAFG45\Draft%20Suicide%20Prevention%20Action%20plan%20for%202025%20&#8211;%202029%20Public%20consultation%20document%20|%20Ministry%20of%20Health%20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Health</Company>
  <LinksUpToDate>false</LinksUpToDate>
  <CharactersWithSpaces>8953</CharactersWithSpaces>
  <SharedDoc>false</SharedDoc>
  <HLinks>
    <vt:vector size="18" baseType="variant"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mailto:mhaengagement@health.govt.nz</vt:lpwstr>
      </vt:variant>
      <vt:variant>
        <vt:lpwstr/>
      </vt:variant>
      <vt:variant>
        <vt:i4>1253432</vt:i4>
      </vt:variant>
      <vt:variant>
        <vt:i4>0</vt:i4>
      </vt:variant>
      <vt:variant>
        <vt:i4>0</vt:i4>
      </vt:variant>
      <vt:variant>
        <vt:i4>5</vt:i4>
      </vt:variant>
      <vt:variant>
        <vt:lpwstr>https://mohgovtnz.sharepoint.com/sites/moh-ecm-TemplateCentral/TemplateCentral/Suicide Prevention Action Plan 2019–2024 for Aotearoa New Zealand (He Tapu te Oranga)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mailto:Eve.Kloppenburg@health.govt.nz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McNaughton</dc:creator>
  <cp:keywords/>
  <dc:description/>
  <cp:lastModifiedBy>Claudia Franco</cp:lastModifiedBy>
  <cp:revision>14</cp:revision>
  <dcterms:created xsi:type="dcterms:W3CDTF">2024-09-09T22:55:00Z</dcterms:created>
  <dcterms:modified xsi:type="dcterms:W3CDTF">2024-09-29T11:26:00Z</dcterms:modified>
</cp:coreProperties>
</file>