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7D4896A8" w:rsidR="00B94371" w:rsidRPr="00497F81" w:rsidRDefault="00966DFD" w:rsidP="003A3EEE">
      <w:pPr>
        <w:pStyle w:val="Heading1"/>
        <w:rPr>
          <w:rFonts w:asciiTheme="minorHAnsi" w:hAnsiTheme="minorHAnsi" w:cstheme="minorHAnsi"/>
          <w:sz w:val="21"/>
          <w:szCs w:val="21"/>
          <w:lang w:val="co-FR"/>
        </w:rPr>
      </w:pPr>
      <w:r w:rsidRPr="00497F81">
        <w:rPr>
          <w:rFonts w:asciiTheme="minorHAnsi" w:hAnsiTheme="minorHAnsi"/>
          <w:b/>
          <w:sz w:val="36"/>
          <w:lang w:val="co-FR"/>
        </w:rPr>
        <w:t>Te ‘Akako‘uko‘u‘anga o te Parāni Kimikimi‘anga Arataki, te ka Rave‘ia no te Pāruru‘anga i te Tāmate‘anga Iākoe ‘Uā‘orāi (Suicide Prevention Action Plan Consultation Summary)</w:t>
      </w:r>
    </w:p>
    <w:p w14:paraId="1925C7AC" w14:textId="797EAC9B" w:rsidR="00B94371" w:rsidRPr="00497F81" w:rsidRDefault="00B94371" w:rsidP="003A3EEE">
      <w:pPr>
        <w:pStyle w:val="Heading2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‘Akatomo‘anga</w:t>
      </w:r>
    </w:p>
    <w:p w14:paraId="5FFAAFC6" w14:textId="205933D2" w:rsidR="00823330" w:rsidRPr="00497F81" w:rsidRDefault="00823330" w:rsidP="00823330">
      <w:pPr>
        <w:pStyle w:val="NumberedParagraphs-MOH"/>
        <w:numPr>
          <w:ilvl w:val="0"/>
          <w:numId w:val="0"/>
        </w:numPr>
        <w:ind w:left="851" w:hanging="851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E arataki‘ia ana te au rāvenga pāruru i te tāmate‘anga iākoe ‘uā‘orāi, i roto i Aotearoa e </w:t>
      </w:r>
      <w:hyperlink r:id="rId7" w:history="1">
        <w:r w:rsidRPr="00497F81">
          <w:rPr>
            <w:rFonts w:asciiTheme="minorHAnsi" w:hAnsiTheme="minorHAnsi"/>
            <w:lang w:val="co-FR"/>
          </w:rPr>
          <w:t>teia nga tātā‘anga e rua</w:t>
        </w:r>
      </w:hyperlink>
      <w:r w:rsidRPr="00497F81">
        <w:rPr>
          <w:rFonts w:asciiTheme="minorHAnsi" w:hAnsiTheme="minorHAnsi"/>
          <w:lang w:val="co-FR"/>
        </w:rPr>
        <w:t>:</w:t>
      </w:r>
    </w:p>
    <w:p w14:paraId="2F361F83" w14:textId="77777777" w:rsidR="00823330" w:rsidRPr="00497F81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E Pu‘apinga te Ora‘anga Tātakita‘i – He Tapu te Oranga o ia Tangata: Te Kaveinga Pāruru‘anga i te Tāmate‘anga Iākoe ‘uā‘orāi no te mata‘iti 2019-2029 [Suicide Prevention Strategy 2019–2029 (He Tapu te Oranga)]</w:t>
      </w:r>
    </w:p>
    <w:p w14:paraId="4A63C399" w14:textId="77777777" w:rsidR="00823330" w:rsidRPr="00497F81" w:rsidRDefault="00823330" w:rsidP="00823330">
      <w:pPr>
        <w:pStyle w:val="ReportBody2-MOH"/>
        <w:tabs>
          <w:tab w:val="clear" w:pos="360"/>
        </w:tabs>
        <w:ind w:left="1276" w:hanging="425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Te Parāni te ka Rave‘ia no te Pāruru‘anga i te Tāmate‘anga Iākoe ‘uā‘orāi, no te mata‘iti 2019-2024 no Aotearoa. (Suicide Prevention Action Plan 2019–2024 for Aotearoa New Zealand). </w:t>
      </w:r>
    </w:p>
    <w:p w14:paraId="630D423D" w14:textId="6F6E5886" w:rsidR="00E01865" w:rsidRPr="00497F81" w:rsidRDefault="00847078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I te mea e, te ‘akaoti nei te Parāni te ka Rave‘ia i roto i te mata‘iti 2024, kua ‘akatupu i reira te Marae Ora i teta‘i parāni ‘akaivi‘anga te ka rave‘ia, no teta‘i rima mata‘iti e tu mai nei. Te ‘inangaro nei te Marae Ora i to‘ou manako no runga i te parāni tei ‘akaivi‘ia. </w:t>
      </w:r>
    </w:p>
    <w:p w14:paraId="0CFED8D3" w14:textId="433C99A1" w:rsidR="00823330" w:rsidRPr="00497F81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Kua tau teia parāni ki te au mea pu‘apinga a te Kavamani no runga i te Ora‘anga Maki-manako (Mental Health priorities):  </w:t>
      </w:r>
    </w:p>
    <w:p w14:paraId="4F61ECB0" w14:textId="125C1BDA" w:rsidR="00DD71FA" w:rsidRPr="00497F8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te ‘akapu‘apinga atu i te kimi‘anga tauturu no runga i te pāruru‘anga, e te turu a muri ake</w:t>
      </w:r>
    </w:p>
    <w:p w14:paraId="7AC20356" w14:textId="77777777" w:rsidR="00DD71FA" w:rsidRPr="00497F8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te ‘akatupu i teta‘i pupu-‘anga‘anga te ka turu i te aronga te ‘irinaki‘ia ra e ka kino, me kore ra ka tukia no teta‘i tāmate‘anga `ia rātou ‘uā‘orāi</w:t>
      </w:r>
    </w:p>
    <w:p w14:paraId="0006ED90" w14:textId="77777777" w:rsidR="00DD71FA" w:rsidRPr="00497F8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te ‘akamātūtū atu i ta mātou tāto‘u‘anga ki runga i te pāruru‘anga, e te tauturu vave, kia kore e tupu te au mea te ka ‘akatupu i te tāmate‘anga iākoe ‘uā‘orāi</w:t>
      </w:r>
    </w:p>
    <w:p w14:paraId="24D44F68" w14:textId="77777777" w:rsidR="00DD71FA" w:rsidRPr="00497F81" w:rsidRDefault="00DD71FA" w:rsidP="00DD71FA">
      <w:pPr>
        <w:pStyle w:val="NumberedParagraphs-MOH"/>
        <w:numPr>
          <w:ilvl w:val="0"/>
          <w:numId w:val="21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te ‘akapu‘apinga atu i te pu‘apinga i te pāruru‘anga i te tāmate‘anga iākoe ‘uā‘orāi, e te turu a muri ake, na roto i te ‘akapu‘apinga‘anga atu i te kimikimi‘anga kite, e te ‘akaputuputu‘anga kite. </w:t>
      </w:r>
    </w:p>
    <w:p w14:paraId="5145BFF1" w14:textId="4D72E370" w:rsidR="004C36AA" w:rsidRPr="00497F81" w:rsidRDefault="004C36AA" w:rsidP="00823330">
      <w:pPr>
        <w:pStyle w:val="NumberedParagraphs-MOH"/>
        <w:numPr>
          <w:ilvl w:val="0"/>
          <w:numId w:val="0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E au rāvenga ta te parāni no nga tu‘anga e rua, koia ‘oki, te Marae Ora, e na roto i te au tipātimani tūkētūkē o te kavamani. </w:t>
      </w:r>
    </w:p>
    <w:p w14:paraId="3F457301" w14:textId="77777777" w:rsidR="00FF401B" w:rsidRPr="00497F81" w:rsidRDefault="00FF401B" w:rsidP="00FF401B">
      <w:pPr>
        <w:pStyle w:val="Heading2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Te au rāvenga te ka arataki‘ia e te Marae Ora, e tāmanako‘ia nei </w:t>
      </w:r>
    </w:p>
    <w:p w14:paraId="7671EFED" w14:textId="40F440C6" w:rsidR="00FF401B" w:rsidRPr="00497F81" w:rsidRDefault="00FF401B" w:rsidP="004776C5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1: Te ‘akapu‘apinga‘anga atu i te kimi tauturu no runga i te pāruru‘anga, e te turu a muri ake 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497F81" w14:paraId="6206F81C" w14:textId="77777777" w:rsidTr="001E64E9">
        <w:trPr>
          <w:tblHeader/>
        </w:trPr>
        <w:tc>
          <w:tcPr>
            <w:tcW w:w="4007" w:type="pct"/>
          </w:tcPr>
          <w:p w14:paraId="0C0E4625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993" w:type="pct"/>
          </w:tcPr>
          <w:p w14:paraId="1AA5B46A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‘akaoti‘ia ai</w:t>
            </w:r>
          </w:p>
        </w:tc>
      </w:tr>
      <w:tr w:rsidR="00FF401B" w:rsidRPr="00497F81" w14:paraId="3BDD2874" w14:textId="77777777" w:rsidTr="001E64E9">
        <w:tc>
          <w:tcPr>
            <w:tcW w:w="4007" w:type="pct"/>
          </w:tcPr>
          <w:p w14:paraId="40692D74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‘akatupu i teta‘i putē-moni no te ‘oire tangata, no runga i te pāruru‘anga i te tāmate‘anga `ia rātou ‘uā‘orāi, te tāto‘u ra ki runga i te au iti-tangata e anoano ma‘ata atu to rātou (teia te ‘ākara‘anga, te au metua-vaine ‘ānau tamariki, te māpu, e te au iti-tangata i va‘o ake i te au taone mama‘ata) i te turu atu i te au putē-moni takere a te Māori e te Moana-nui-o-Kiva. </w:t>
            </w:r>
          </w:p>
        </w:tc>
        <w:tc>
          <w:tcPr>
            <w:tcW w:w="993" w:type="pct"/>
          </w:tcPr>
          <w:p w14:paraId="1E018878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31 o Titema, i te mata‘iti 2025</w:t>
            </w:r>
          </w:p>
        </w:tc>
      </w:tr>
      <w:tr w:rsidR="00FF401B" w:rsidRPr="00497F81" w14:paraId="14836DFF" w14:textId="77777777" w:rsidTr="001E64E9">
        <w:tc>
          <w:tcPr>
            <w:tcW w:w="4007" w:type="pct"/>
          </w:tcPr>
          <w:p w14:paraId="2E65C135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lastRenderedPageBreak/>
              <w:t>Te ‘o‘ora‘anga ki va‘o, i te au turu tei ‘akapu‘apinga‘ia, no te tumatetenga tāmate‘anga iākoe ‘uā‘orāi. </w:t>
            </w:r>
          </w:p>
        </w:tc>
        <w:tc>
          <w:tcPr>
            <w:tcW w:w="993" w:type="pct"/>
          </w:tcPr>
          <w:p w14:paraId="10B1EAA5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2026</w:t>
            </w:r>
          </w:p>
        </w:tc>
      </w:tr>
      <w:tr w:rsidR="00FF401B" w:rsidRPr="00497F81" w14:paraId="06510CD7" w14:textId="77777777" w:rsidTr="001E64E9">
        <w:tc>
          <w:tcPr>
            <w:tcW w:w="4007" w:type="pct"/>
          </w:tcPr>
          <w:p w14:paraId="111F9001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‘akatupu e te vāito i teta‘i au cafés/hubs/services, e ono no te ‘akamāro‘iro‘i‘anga. </w:t>
            </w:r>
          </w:p>
        </w:tc>
        <w:tc>
          <w:tcPr>
            <w:tcW w:w="993" w:type="pct"/>
          </w:tcPr>
          <w:p w14:paraId="02E42AF8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2028</w:t>
            </w:r>
          </w:p>
        </w:tc>
      </w:tr>
      <w:tr w:rsidR="00FF401B" w:rsidRPr="00497F81" w14:paraId="7EAEB331" w14:textId="77777777" w:rsidTr="001E64E9">
        <w:tc>
          <w:tcPr>
            <w:tcW w:w="4007" w:type="pct"/>
          </w:tcPr>
          <w:p w14:paraId="6E66560B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‘akapu‘apinga‘anga atu i te au ‘ākono‘anga tau no te turu‘anga mua, i muri ake i teta‘i mate tāmate‘anga iākoe ‘uā‘orāi, e te Aoake te Rā, a te turanga tumatetenga na roto i te tāmate‘anga iākoe ‘uā‘orāi.  </w:t>
            </w:r>
          </w:p>
        </w:tc>
        <w:tc>
          <w:tcPr>
            <w:tcW w:w="993" w:type="pct"/>
          </w:tcPr>
          <w:p w14:paraId="66FFCED5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31 o Titema, i te mata‘iti 2028</w:t>
            </w:r>
          </w:p>
        </w:tc>
      </w:tr>
    </w:tbl>
    <w:p w14:paraId="0AE79F2C" w14:textId="77777777" w:rsidR="004776C5" w:rsidRPr="00497F81" w:rsidRDefault="004776C5" w:rsidP="004776C5">
      <w:pPr>
        <w:pStyle w:val="Heading3"/>
        <w:rPr>
          <w:rFonts w:asciiTheme="minorHAnsi" w:hAnsiTheme="minorHAnsi" w:cstheme="minorHAnsi"/>
          <w:lang w:val="co-FR"/>
        </w:rPr>
      </w:pPr>
    </w:p>
    <w:p w14:paraId="676C0452" w14:textId="6C0B5C7A" w:rsidR="00FF401B" w:rsidRPr="00497F81" w:rsidRDefault="00FF401B" w:rsidP="004776C5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2: Te ‘akatupu i teta‘i pupu-‘anga‘anga mātūtū e te ‘irinaki‘ia, no te pāruru‘anga i te tāmate‘anga iākoe ‘uā‘orāi, e a muri ake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497F81" w14:paraId="70D464A8" w14:textId="77777777" w:rsidTr="001E64E9">
        <w:trPr>
          <w:tblHeader/>
        </w:trPr>
        <w:tc>
          <w:tcPr>
            <w:tcW w:w="4004" w:type="pct"/>
          </w:tcPr>
          <w:p w14:paraId="35EE996D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996" w:type="pct"/>
          </w:tcPr>
          <w:p w14:paraId="1D80CA0F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 ei</w:t>
            </w:r>
          </w:p>
        </w:tc>
      </w:tr>
      <w:tr w:rsidR="00FF401B" w:rsidRPr="00497F81" w14:paraId="3C9CD6CF" w14:textId="77777777" w:rsidTr="001E64E9">
        <w:tc>
          <w:tcPr>
            <w:tcW w:w="4004" w:type="pct"/>
          </w:tcPr>
          <w:p w14:paraId="1F267E9D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‘akakake i te au rāvenga no te tomo‘anga ki roto i te au terēni‘anga ‘oire-tangata, e te au kōpu-tangata, kia mārama i te turanga o te tāmate‘anga `ia rātou ‘uā‘orāi.</w:t>
            </w:r>
          </w:p>
        </w:tc>
        <w:tc>
          <w:tcPr>
            <w:tcW w:w="996" w:type="pct"/>
          </w:tcPr>
          <w:p w14:paraId="22D410FF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31 o Titema, i te mata‘iti 2025</w:t>
            </w:r>
          </w:p>
        </w:tc>
      </w:tr>
      <w:tr w:rsidR="00FF401B" w:rsidRPr="00497F81" w14:paraId="27B683D4" w14:textId="77777777" w:rsidTr="001E64E9">
        <w:tc>
          <w:tcPr>
            <w:tcW w:w="4004" w:type="pct"/>
          </w:tcPr>
          <w:p w14:paraId="67E9AAAC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‘akatupu i te au mea ‘akatomo‘anga, e te ‘akapu‘apinga‘anga atu i te au turu-pu‘apinga (best-practice supports) o te aronga ‘akatanotano i te pāruru i te tāmate‘anga iākoe ‘uā‘orāi, e a muri ake, e te aronga ‘anga‘anga a te Kia Piki te Ora.  </w:t>
            </w:r>
          </w:p>
        </w:tc>
        <w:tc>
          <w:tcPr>
            <w:tcW w:w="996" w:type="pct"/>
          </w:tcPr>
          <w:p w14:paraId="0A4582C5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2026</w:t>
            </w:r>
          </w:p>
        </w:tc>
      </w:tr>
      <w:tr w:rsidR="00FF401B" w:rsidRPr="00497F81" w14:paraId="5F75403C" w14:textId="77777777" w:rsidTr="001E64E9">
        <w:tc>
          <w:tcPr>
            <w:tcW w:w="4004" w:type="pct"/>
          </w:tcPr>
          <w:p w14:paraId="1FEC21B4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tātā i teta‘i national competency-based framework no te au pupu-‘anga‘anga, au ‘oire-tangata, e te au kōpu-tangata. </w:t>
            </w:r>
          </w:p>
        </w:tc>
        <w:tc>
          <w:tcPr>
            <w:tcW w:w="996" w:type="pct"/>
          </w:tcPr>
          <w:p w14:paraId="40D5A705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2026</w:t>
            </w:r>
          </w:p>
        </w:tc>
      </w:tr>
      <w:tr w:rsidR="00FF401B" w:rsidRPr="00497F81" w14:paraId="04FC56EC" w14:textId="77777777" w:rsidTr="001E64E9">
        <w:tc>
          <w:tcPr>
            <w:tcW w:w="4004" w:type="pct"/>
          </w:tcPr>
          <w:p w14:paraId="302E1A56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‘akatupu e te tātā, i te arataki‘anga tei ‘akapu‘apinga‘ia no te au ta‘unga rapakau, no runga i te vāito‘anga e te turu‘anga i te aronga e manako nei i te tāmate ‘ia rātou ‘uā‘orāi, me kore ra, no te aronga e taitaiā nei no runga i te tāmate‘anga `ia rātou ‘uā‘orāi.  </w:t>
            </w:r>
          </w:p>
        </w:tc>
        <w:tc>
          <w:tcPr>
            <w:tcW w:w="996" w:type="pct"/>
          </w:tcPr>
          <w:p w14:paraId="73B5153A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2028</w:t>
            </w:r>
          </w:p>
        </w:tc>
      </w:tr>
    </w:tbl>
    <w:p w14:paraId="37D0DB92" w14:textId="77777777" w:rsidR="000D18C4" w:rsidRPr="00497F81" w:rsidRDefault="000D18C4" w:rsidP="00FF401B">
      <w:pPr>
        <w:pStyle w:val="Heading3"/>
        <w:rPr>
          <w:rFonts w:asciiTheme="minorHAnsi" w:hAnsiTheme="minorHAnsi" w:cstheme="minorHAnsi"/>
          <w:lang w:val="co-FR"/>
        </w:rPr>
      </w:pPr>
    </w:p>
    <w:p w14:paraId="61D55D6E" w14:textId="33B4E54E" w:rsidR="00FF401B" w:rsidRPr="00497F81" w:rsidRDefault="00FF401B" w:rsidP="000D18C4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3: Te ‘akamātūtū atu i te tāto‘u‘anga ki runga i te pāruru‘anga, e te tauturu‘anga vave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497F81" w14:paraId="37612775" w14:textId="77777777" w:rsidTr="001E64E9">
        <w:trPr>
          <w:tblHeader/>
        </w:trPr>
        <w:tc>
          <w:tcPr>
            <w:tcW w:w="4004" w:type="pct"/>
          </w:tcPr>
          <w:p w14:paraId="516E1D00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996" w:type="pct"/>
          </w:tcPr>
          <w:p w14:paraId="085B7341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 ei</w:t>
            </w:r>
          </w:p>
        </w:tc>
      </w:tr>
      <w:tr w:rsidR="00FF401B" w:rsidRPr="00497F81" w14:paraId="51ACBF09" w14:textId="77777777" w:rsidTr="001E64E9">
        <w:tc>
          <w:tcPr>
            <w:tcW w:w="4004" w:type="pct"/>
          </w:tcPr>
          <w:p w14:paraId="253378BD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Mōmoko‘ia te enhanced acute, respite, me kore ra, crisis recovery services, no te māpu tamariki i roto i teta‘i nga vaka e rua.</w:t>
            </w:r>
          </w:p>
        </w:tc>
        <w:tc>
          <w:tcPr>
            <w:tcW w:w="996" w:type="pct"/>
          </w:tcPr>
          <w:p w14:paraId="42ABBE35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2025</w:t>
            </w:r>
          </w:p>
        </w:tc>
      </w:tr>
      <w:tr w:rsidR="00FF401B" w:rsidRPr="00497F81" w14:paraId="4DD89034" w14:textId="77777777" w:rsidTr="001E64E9">
        <w:tc>
          <w:tcPr>
            <w:tcW w:w="4004" w:type="pct"/>
          </w:tcPr>
          <w:p w14:paraId="6B29968E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‘O‘ora‘ia ki va‘o, teta‘i rāvenga ‘akakitekite‘anga ma‘ata, no runga i te ora‘anga meitaki, tei roto te au rāvenga tauturu no te māpu. </w:t>
            </w:r>
          </w:p>
        </w:tc>
        <w:tc>
          <w:tcPr>
            <w:tcW w:w="996" w:type="pct"/>
          </w:tcPr>
          <w:p w14:paraId="3581C112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 xml:space="preserve">Kia rave‘ia i mua ake i te rā 31 o </w:t>
            </w:r>
            <w:r w:rsidRPr="00497F81">
              <w:rPr>
                <w:sz w:val="22"/>
                <w:lang w:val="co-FR"/>
              </w:rPr>
              <w:lastRenderedPageBreak/>
              <w:t>Tiurāi, i te mata‘iti 2025</w:t>
            </w:r>
          </w:p>
        </w:tc>
      </w:tr>
      <w:tr w:rsidR="00FF401B" w:rsidRPr="00497F81" w14:paraId="72860E5D" w14:textId="77777777" w:rsidTr="001E64E9">
        <w:tc>
          <w:tcPr>
            <w:tcW w:w="4004" w:type="pct"/>
          </w:tcPr>
          <w:p w14:paraId="0820EB5E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lastRenderedPageBreak/>
              <w:t>Te ‘akatupu, ma te tā‘anga‘anga i teta‘i alcohol screening na roto i te basileia, e teta‘i porokarāmu brief intervention. </w:t>
            </w:r>
          </w:p>
        </w:tc>
        <w:tc>
          <w:tcPr>
            <w:tcW w:w="996" w:type="pct"/>
          </w:tcPr>
          <w:p w14:paraId="71F22BC5" w14:textId="4960BB9B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</w:t>
            </w:r>
            <w:r w:rsidR="00162E81" w:rsidRPr="00497F81">
              <w:rPr>
                <w:sz w:val="22"/>
                <w:lang w:val="co-FR"/>
              </w:rPr>
              <w:t xml:space="preserve"> </w:t>
            </w:r>
            <w:r w:rsidRPr="00497F81">
              <w:rPr>
                <w:sz w:val="22"/>
                <w:lang w:val="co-FR"/>
              </w:rPr>
              <w:t>i te rā 30 o Tiunu, i te mata‘iti 2027</w:t>
            </w:r>
          </w:p>
        </w:tc>
      </w:tr>
      <w:tr w:rsidR="00FF401B" w:rsidRPr="00497F81" w14:paraId="0FC60EB2" w14:textId="77777777" w:rsidTr="001E64E9">
        <w:tc>
          <w:tcPr>
            <w:tcW w:w="4004" w:type="pct"/>
          </w:tcPr>
          <w:p w14:paraId="1BE1F1E9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‘akatupu, ma te tātā i te au arataki‘anga tei ‘aka‘ōu‘ia no runga i te tāmate‘anga iākoe ‘uā‘orāi, no te turanga nūti, e te au rāvenga turu, no te au tu turanga nūti.  </w:t>
            </w:r>
          </w:p>
        </w:tc>
        <w:tc>
          <w:tcPr>
            <w:tcW w:w="996" w:type="pct"/>
          </w:tcPr>
          <w:p w14:paraId="460A2F51" w14:textId="40599AD8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</w:t>
            </w:r>
            <w:r w:rsidR="00162E81" w:rsidRPr="00497F81">
              <w:rPr>
                <w:sz w:val="22"/>
                <w:lang w:val="co-FR"/>
              </w:rPr>
              <w:t xml:space="preserve"> </w:t>
            </w:r>
            <w:r w:rsidRPr="00497F81">
              <w:rPr>
                <w:sz w:val="22"/>
                <w:lang w:val="co-FR"/>
              </w:rPr>
              <w:t>i te rā 31 o Titema, i te mata‘iti 2028</w:t>
            </w:r>
          </w:p>
        </w:tc>
      </w:tr>
      <w:tr w:rsidR="00FF401B" w:rsidRPr="00497F81" w14:paraId="348A18AC" w14:textId="77777777" w:rsidTr="001E64E9">
        <w:tc>
          <w:tcPr>
            <w:tcW w:w="4004" w:type="pct"/>
          </w:tcPr>
          <w:p w14:paraId="3C2E7517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‘anga i te au ngā‘i ponuiā‘au i roto i te au turanga inpatient mental health, e te addiction, na roto i te ‘akatanotano‘anga, e te ‘akatopa‘anga mai i te au mea taukore. </w:t>
            </w:r>
          </w:p>
        </w:tc>
        <w:tc>
          <w:tcPr>
            <w:tcW w:w="996" w:type="pct"/>
          </w:tcPr>
          <w:p w14:paraId="5D4ED68F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2029</w:t>
            </w:r>
          </w:p>
        </w:tc>
      </w:tr>
    </w:tbl>
    <w:p w14:paraId="340409D4" w14:textId="77777777" w:rsidR="000D18C4" w:rsidRPr="00497F81" w:rsidRDefault="000D18C4" w:rsidP="00FF401B">
      <w:pPr>
        <w:pStyle w:val="Heading3"/>
        <w:rPr>
          <w:rFonts w:asciiTheme="minorHAnsi" w:hAnsiTheme="minorHAnsi" w:cstheme="minorHAnsi"/>
          <w:lang w:val="co-FR"/>
        </w:rPr>
      </w:pPr>
    </w:p>
    <w:p w14:paraId="2E021BA5" w14:textId="62E451AF" w:rsidR="00FF401B" w:rsidRPr="00497F81" w:rsidRDefault="00FF401B" w:rsidP="000D18C4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4: Te ‘akapu‘apinga i te pu‘apinga o te pāruru‘anga i te tāmate‘anga iākoe ‘uā‘orāi, e to tatou mārama‘anga i te turanga tāmate‘anga iākoe ‘uā‘orāi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497F81" w14:paraId="1460DFE6" w14:textId="77777777" w:rsidTr="001E64E9">
        <w:trPr>
          <w:tblHeader/>
        </w:trPr>
        <w:tc>
          <w:tcPr>
            <w:tcW w:w="4004" w:type="pct"/>
          </w:tcPr>
          <w:p w14:paraId="21EB4F9A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996" w:type="pct"/>
          </w:tcPr>
          <w:p w14:paraId="5B59856F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 ei</w:t>
            </w:r>
          </w:p>
        </w:tc>
      </w:tr>
      <w:tr w:rsidR="00FF401B" w:rsidRPr="00497F81" w14:paraId="267E601D" w14:textId="77777777" w:rsidTr="001E64E9">
        <w:tc>
          <w:tcPr>
            <w:tcW w:w="4004" w:type="pct"/>
          </w:tcPr>
          <w:p w14:paraId="637A3599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‘akara‘anga matatio i te Vote Health suicide prevention services investment, e te tā‘anga‘anga‘anga i teta‘i au tauī‘anga. </w:t>
            </w:r>
          </w:p>
        </w:tc>
        <w:tc>
          <w:tcPr>
            <w:tcW w:w="996" w:type="pct"/>
          </w:tcPr>
          <w:p w14:paraId="62670D84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2026</w:t>
            </w:r>
          </w:p>
        </w:tc>
      </w:tr>
      <w:tr w:rsidR="00FF401B" w:rsidRPr="00497F81" w14:paraId="110ED7F7" w14:textId="77777777" w:rsidTr="001E64E9">
        <w:tc>
          <w:tcPr>
            <w:tcW w:w="4004" w:type="pct"/>
          </w:tcPr>
          <w:p w14:paraId="593A063C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Kimikimi‘ia te au ‘iki‘anga no runga i teta‘i real-time suicide data tool, no te ‘ōronga‘anga mai i te tuātau viviki ake, e te tātā‘anga tei ‘akapu‘apinga‘ia.</w:t>
            </w:r>
          </w:p>
        </w:tc>
        <w:tc>
          <w:tcPr>
            <w:tcW w:w="996" w:type="pct"/>
          </w:tcPr>
          <w:p w14:paraId="220E1380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31 o Titema, i te mata‘iti 2026</w:t>
            </w:r>
          </w:p>
        </w:tc>
      </w:tr>
    </w:tbl>
    <w:p w14:paraId="017FD6A2" w14:textId="77777777" w:rsidR="00FF401B" w:rsidRPr="00497F81" w:rsidRDefault="00FF401B" w:rsidP="00FF401B">
      <w:pPr>
        <w:pStyle w:val="Heading2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Te au mea e tau kia rave‘ia, e tāmanako‘ia nei, na roto i te au tipātimani o te kavamani </w:t>
      </w:r>
    </w:p>
    <w:p w14:paraId="3A2B461A" w14:textId="7C32E779" w:rsidR="00FF401B" w:rsidRPr="00497F81" w:rsidRDefault="00FF401B" w:rsidP="007140B1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1: Te ‘akapu‘apinga atu i te kimi‘anga tauturu no runga i te pāruru‘anga, e te turu a muri ake 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497F81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993" w:type="pct"/>
          </w:tcPr>
          <w:p w14:paraId="42E065BB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 ei</w:t>
            </w:r>
          </w:p>
        </w:tc>
      </w:tr>
      <w:tr w:rsidR="00FF401B" w:rsidRPr="00497F81" w14:paraId="58A75CA1" w14:textId="77777777" w:rsidTr="001E64E9">
        <w:tc>
          <w:tcPr>
            <w:tcW w:w="4007" w:type="pct"/>
          </w:tcPr>
          <w:p w14:paraId="11B58F6A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‘akaoti i te ‘akatupu‘anga i te au ngā‘i tātakita‘i, local postvention response i roto i te au ‘are-tāpeka‘anga (Ara Poutama Aotearoa | Department of Corrections).</w:t>
            </w:r>
          </w:p>
        </w:tc>
        <w:tc>
          <w:tcPr>
            <w:tcW w:w="993" w:type="pct"/>
          </w:tcPr>
          <w:p w14:paraId="7D4B9BDD" w14:textId="54FEA703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 xml:space="preserve">Kia rave‘ia </w:t>
            </w:r>
            <w:r w:rsidR="00F4423A" w:rsidRPr="00497F81">
              <w:rPr>
                <w:sz w:val="22"/>
                <w:lang w:val="co-FR"/>
              </w:rPr>
              <w:t xml:space="preserve">i mua ake </w:t>
            </w:r>
            <w:r w:rsidRPr="00497F81">
              <w:rPr>
                <w:sz w:val="22"/>
                <w:lang w:val="co-FR"/>
              </w:rPr>
              <w:t>i te rā 31 o Titema, i te mata‘iti 2025</w:t>
            </w:r>
          </w:p>
        </w:tc>
      </w:tr>
    </w:tbl>
    <w:p w14:paraId="334E2F29" w14:textId="77777777" w:rsidR="004A154A" w:rsidRPr="00497F81" w:rsidRDefault="004A154A" w:rsidP="007140B1">
      <w:pPr>
        <w:pStyle w:val="Heading3"/>
        <w:rPr>
          <w:rFonts w:asciiTheme="minorHAnsi" w:hAnsiTheme="minorHAnsi" w:cstheme="minorHAnsi"/>
          <w:lang w:val="co-FR"/>
        </w:rPr>
      </w:pPr>
    </w:p>
    <w:p w14:paraId="6F7D5D33" w14:textId="6B8DA05E" w:rsidR="00FF401B" w:rsidRPr="00497F81" w:rsidRDefault="00FF401B" w:rsidP="007140B1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2: Te ‘akatupu i teta‘i pupu-‘anga‘anga mātūtū e te ‘irinaki‘ia, no te pāruru‘anga i te tāmate‘anga iākoe ‘uā‘orāi, e a muri ake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497F81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996" w:type="pct"/>
          </w:tcPr>
          <w:p w14:paraId="781AFE83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 ei</w:t>
            </w:r>
          </w:p>
        </w:tc>
      </w:tr>
      <w:tr w:rsidR="00FF401B" w:rsidRPr="00497F81" w14:paraId="1117EB20" w14:textId="77777777" w:rsidTr="001E64E9">
        <w:tc>
          <w:tcPr>
            <w:tcW w:w="4004" w:type="pct"/>
          </w:tcPr>
          <w:p w14:paraId="0B58406C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‘akapu‘apinga‘anga atu i te kite o te aronga-‘anga‘anga no runga i te pāruru‘anga i te tāmate‘anga iākoe ‘uā‘orāi, e te au ‘oro‘oro‘anga i roto i te Elder Abuse Response Services (Te Manatū Whakahiato Ora).</w:t>
            </w:r>
          </w:p>
        </w:tc>
        <w:tc>
          <w:tcPr>
            <w:tcW w:w="996" w:type="pct"/>
          </w:tcPr>
          <w:p w14:paraId="53AC391D" w14:textId="580C286F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</w:t>
            </w:r>
            <w:r w:rsidR="00F4423A" w:rsidRPr="00497F81">
              <w:rPr>
                <w:sz w:val="22"/>
                <w:lang w:val="co-FR"/>
              </w:rPr>
              <w:t xml:space="preserve"> i mua ake</w:t>
            </w:r>
            <w:r w:rsidRPr="00497F81">
              <w:rPr>
                <w:sz w:val="22"/>
                <w:lang w:val="co-FR"/>
              </w:rPr>
              <w:t xml:space="preserve"> i te rā 30 o Tiunu, i te mata‘iti 2028</w:t>
            </w:r>
          </w:p>
        </w:tc>
      </w:tr>
      <w:tr w:rsidR="00FF401B" w:rsidRPr="00497F81" w14:paraId="316F6A9D" w14:textId="77777777" w:rsidTr="001E64E9">
        <w:tc>
          <w:tcPr>
            <w:tcW w:w="4004" w:type="pct"/>
          </w:tcPr>
          <w:p w14:paraId="5DA3D914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‘aka‘ōu‘anga i te practice guidance, e te au turu‘anga no te au social workers, e te aronga ‘ākono tamariki, te ‘anga‘anga nei ki roto i te tamariki, e te māpu tamariki, te tāmanako nei pa‘a i te tāmate ‘ia rātou ‘uā‘orāi, me kore ra, te kite nei i te tumatetenga o te tāmate‘anga iākoe ‘uā‘orāi (Oranga Tamariki).</w:t>
            </w:r>
          </w:p>
        </w:tc>
        <w:tc>
          <w:tcPr>
            <w:tcW w:w="996" w:type="pct"/>
          </w:tcPr>
          <w:p w14:paraId="71CBC5C7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2029</w:t>
            </w:r>
          </w:p>
        </w:tc>
      </w:tr>
    </w:tbl>
    <w:p w14:paraId="16F23BDD" w14:textId="77777777" w:rsidR="00741DEB" w:rsidRPr="00497F81" w:rsidRDefault="00741DEB" w:rsidP="004A154A">
      <w:pPr>
        <w:pStyle w:val="Heading3"/>
        <w:rPr>
          <w:rFonts w:asciiTheme="minorHAnsi" w:hAnsiTheme="minorHAnsi" w:cstheme="minorHAnsi"/>
          <w:lang w:val="co-FR"/>
        </w:rPr>
      </w:pPr>
    </w:p>
    <w:p w14:paraId="5EA0FC20" w14:textId="3010FE22" w:rsidR="00FF401B" w:rsidRPr="00497F81" w:rsidRDefault="00FF401B" w:rsidP="004A154A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3: Te ‘akamātūtū atu i te tāto‘u‘anga ki runga i te pāruru‘anga, e te tauturu‘anga vave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497F81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1148" w:type="pct"/>
          </w:tcPr>
          <w:p w14:paraId="3912D86E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 ei</w:t>
            </w:r>
          </w:p>
        </w:tc>
      </w:tr>
      <w:tr w:rsidR="00FF401B" w:rsidRPr="00497F81" w14:paraId="2094FE73" w14:textId="77777777" w:rsidTr="007E62A0">
        <w:tc>
          <w:tcPr>
            <w:tcW w:w="3852" w:type="pct"/>
          </w:tcPr>
          <w:p w14:paraId="2F4233D4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‘o‘ora‘anga ki va‘o, i te turanga ora‘anga meitaki, e te ‘akamātūtū‘anga i te au rāvenga turu, e ‘ōronga nei te au ‘āpi‘i, ki te au tauira e kite nei i te taitaiā, me kore ra, te tāmamae nei ‘ia rātou ‘uā‘orāi, e i muri ake i teta‘i tāmate‘anga `ia rātou ‘uā‘orāi (Te Māraurau o te Pae ‘Āpi‘i).</w:t>
            </w:r>
          </w:p>
        </w:tc>
        <w:tc>
          <w:tcPr>
            <w:tcW w:w="1148" w:type="pct"/>
          </w:tcPr>
          <w:p w14:paraId="19CB1FF0" w14:textId="1B29C7D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 xml:space="preserve">Kia rave‘ia </w:t>
            </w:r>
            <w:r w:rsidR="00F4423A" w:rsidRPr="00497F81">
              <w:rPr>
                <w:sz w:val="22"/>
                <w:lang w:val="co-FR"/>
              </w:rPr>
              <w:t xml:space="preserve">i mua ake </w:t>
            </w:r>
            <w:r w:rsidRPr="00497F81">
              <w:rPr>
                <w:sz w:val="22"/>
                <w:lang w:val="co-FR"/>
              </w:rPr>
              <w:t>i te rā 30 o Tiunu, i te mata‘iti 2026</w:t>
            </w:r>
          </w:p>
        </w:tc>
      </w:tr>
      <w:tr w:rsidR="00FF401B" w:rsidRPr="00497F81" w14:paraId="10A6DD58" w14:textId="77777777" w:rsidTr="007E62A0">
        <w:tc>
          <w:tcPr>
            <w:tcW w:w="3852" w:type="pct"/>
          </w:tcPr>
          <w:p w14:paraId="0EF24777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‘Anga i te au ngā‘i ponuiā‘au i roto i te au turanga tāpeka‘anga, na roto i te ‘akatanotano‘anga, e te ‘akatopa‘anga mai i te au mea taukore (Ara Poutama Aotearoa | Department of Corrections).</w:t>
            </w:r>
          </w:p>
        </w:tc>
        <w:tc>
          <w:tcPr>
            <w:tcW w:w="1148" w:type="pct"/>
          </w:tcPr>
          <w:p w14:paraId="7FAC50DB" w14:textId="4CBFE0A4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 xml:space="preserve">Kia rave‘ia </w:t>
            </w:r>
            <w:r w:rsidR="00F4423A" w:rsidRPr="00497F81">
              <w:rPr>
                <w:sz w:val="22"/>
                <w:lang w:val="co-FR"/>
              </w:rPr>
              <w:t xml:space="preserve">i mua ake </w:t>
            </w:r>
            <w:r w:rsidRPr="00497F81">
              <w:rPr>
                <w:sz w:val="22"/>
                <w:lang w:val="co-FR"/>
              </w:rPr>
              <w:t>i te rā 30 o Tiunu, i te mata‘iti 2028</w:t>
            </w:r>
          </w:p>
        </w:tc>
      </w:tr>
    </w:tbl>
    <w:p w14:paraId="4B0F7F5F" w14:textId="77777777" w:rsidR="004A154A" w:rsidRPr="00497F81" w:rsidRDefault="004A154A" w:rsidP="004A154A">
      <w:pPr>
        <w:pStyle w:val="Heading3"/>
        <w:rPr>
          <w:rFonts w:asciiTheme="minorHAnsi" w:hAnsiTheme="minorHAnsi" w:cstheme="minorHAnsi"/>
          <w:lang w:val="co-FR"/>
        </w:rPr>
      </w:pPr>
    </w:p>
    <w:p w14:paraId="7EF28098" w14:textId="3649DF7D" w:rsidR="00FF401B" w:rsidRPr="00497F81" w:rsidRDefault="00FF401B" w:rsidP="004A154A">
      <w:pPr>
        <w:pStyle w:val="Heading3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4: Te ‘akapu‘apinga i te pu‘apinga o te pāruru‘anga i te tāmate‘anga iākoe ‘uā‘orāi, e to tatou mārama‘anga i te turanga tāmate‘anga iākoe ‘uā‘orāi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497F81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rāvenga e tāmanako‘ia nei</w:t>
            </w:r>
          </w:p>
        </w:tc>
        <w:tc>
          <w:tcPr>
            <w:tcW w:w="1148" w:type="pct"/>
          </w:tcPr>
          <w:p w14:paraId="782E72C7" w14:textId="77777777" w:rsidR="00FF401B" w:rsidRPr="00497F81" w:rsidRDefault="00FF401B" w:rsidP="007E62A0">
            <w:pPr>
              <w:ind w:left="170" w:hanging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o-FR"/>
              </w:rPr>
            </w:pPr>
            <w:r w:rsidRPr="00497F81">
              <w:rPr>
                <w:rFonts w:asciiTheme="minorHAnsi" w:hAnsiTheme="minorHAnsi"/>
                <w:b/>
                <w:sz w:val="22"/>
                <w:lang w:val="co-FR"/>
              </w:rPr>
              <w:t>Te rā e ‘akaoti ei</w:t>
            </w:r>
          </w:p>
        </w:tc>
      </w:tr>
      <w:tr w:rsidR="00FF401B" w:rsidRPr="00497F81" w14:paraId="345CA735" w14:textId="77777777" w:rsidTr="007E62A0">
        <w:tc>
          <w:tcPr>
            <w:tcW w:w="3852" w:type="pct"/>
          </w:tcPr>
          <w:p w14:paraId="06036DED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 xml:space="preserve">Turu i te au kimikimi‘anga no runga i teta‘i real-time suicide data tool, no te ‘ōronga‘anga mai i te tuātau viviki ake, e te tātā‘anga tei ‘akapu‘apinga‘ia (Tango Tutara o te Ture). </w:t>
            </w:r>
          </w:p>
        </w:tc>
        <w:tc>
          <w:tcPr>
            <w:tcW w:w="1148" w:type="pct"/>
          </w:tcPr>
          <w:p w14:paraId="4C9CBF1D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31 o Titema, i te mata‘iti 2026</w:t>
            </w:r>
          </w:p>
        </w:tc>
      </w:tr>
      <w:tr w:rsidR="00FF401B" w:rsidRPr="00497F81" w14:paraId="5FC1B6BB" w14:textId="77777777" w:rsidTr="007E62A0">
        <w:tc>
          <w:tcPr>
            <w:tcW w:w="3852" w:type="pct"/>
          </w:tcPr>
          <w:p w14:paraId="618776C4" w14:textId="77777777" w:rsidR="00FF401B" w:rsidRPr="00497F81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Te ‘akapu‘apinga i te mātūtū o te online coronial recommendations recaps (Tango Tutara o te Ture).</w:t>
            </w:r>
          </w:p>
        </w:tc>
        <w:tc>
          <w:tcPr>
            <w:tcW w:w="1148" w:type="pct"/>
          </w:tcPr>
          <w:p w14:paraId="24E4273B" w14:textId="77777777" w:rsidR="00FF401B" w:rsidRPr="00497F81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cstheme="minorHAnsi"/>
                <w:sz w:val="22"/>
                <w:szCs w:val="22"/>
                <w:lang w:val="co-FR"/>
              </w:rPr>
            </w:pPr>
            <w:r w:rsidRPr="00497F81">
              <w:rPr>
                <w:sz w:val="22"/>
                <w:lang w:val="co-FR"/>
              </w:rPr>
              <w:t>Kia rave‘ia i mua ake i te rā 30 o Tiunu, i te mata‘iti 2029</w:t>
            </w:r>
          </w:p>
        </w:tc>
      </w:tr>
    </w:tbl>
    <w:p w14:paraId="2DDDF067" w14:textId="21DE0C8E" w:rsidR="00570CBF" w:rsidRPr="00497F81" w:rsidRDefault="007C3469" w:rsidP="00570CBF">
      <w:pPr>
        <w:pStyle w:val="Heading2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Te au mea tei tupu, e te au vāito‘anga</w:t>
      </w:r>
    </w:p>
    <w:p w14:paraId="39D5DE32" w14:textId="4959A8AD" w:rsidR="00E44D4D" w:rsidRPr="00497F81" w:rsidRDefault="00742A2B" w:rsidP="00E44D4D">
      <w:pPr>
        <w:textAlignment w:val="baseline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Ka ‘ākara matatio‘ia te meitaki, e ka tukuna‘ia atu te au mea ‘ōu ki ko i te Minita o te Maki Manako, na roto i te au 3 marama tātakita‘i. I roto i te au mata‘iti tātakita‘i, ka tukuna‘ia te au mea ‘ōu ki ko i te Cabinet, e ka tukuna‘ia ki runga i te kupenga uira a te Marae Ora. Ka ‘ākara matatio katoa te Mental Health and Wellbeing Commission | Te Hiringa Mahara, i te turanga pāruru i te tāmate‘anga iākoe ‘uā‘orāi.</w:t>
      </w:r>
    </w:p>
    <w:p w14:paraId="24855147" w14:textId="2DAF375A" w:rsidR="00966DFD" w:rsidRPr="00497F81" w:rsidRDefault="00966DFD" w:rsidP="007E327A">
      <w:pPr>
        <w:pStyle w:val="Heading2"/>
        <w:rPr>
          <w:rFonts w:asciiTheme="minorHAnsi" w:eastAsia="Times New Roman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lastRenderedPageBreak/>
        <w:t>Ka ‘akape‘ea te tomo‘anga mai ki roto</w:t>
      </w:r>
    </w:p>
    <w:p w14:paraId="3D7F62D5" w14:textId="77777777" w:rsidR="00715582" w:rsidRPr="00497F81" w:rsidRDefault="006316FA" w:rsidP="00966DFD">
      <w:p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Ka rauka iākoe i te tuku mai i to‘ou manako no runga i te parāni ‘akaivi te ka rave‘ia, na roto i te:</w:t>
      </w:r>
    </w:p>
    <w:p w14:paraId="54CF8ECF" w14:textId="77777777" w:rsidR="00715582" w:rsidRPr="00497F81" w:rsidRDefault="00966DFD" w:rsidP="007155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tuku‘anga mai i teta‘i mēre uira ki ko i te </w:t>
      </w:r>
      <w:hyperlink r:id="rId8" w:history="1">
        <w:r w:rsidRPr="00497F81">
          <w:rPr>
            <w:rStyle w:val="Hyperlink"/>
            <w:rFonts w:asciiTheme="minorHAnsi" w:hAnsiTheme="minorHAnsi"/>
            <w:lang w:val="co-FR"/>
          </w:rPr>
          <w:t>mhaengagement@health.govt.nz</w:t>
        </w:r>
      </w:hyperlink>
      <w:r w:rsidRPr="00497F81">
        <w:rPr>
          <w:rFonts w:asciiTheme="minorHAnsi" w:hAnsiTheme="minorHAnsi"/>
          <w:lang w:val="co-FR"/>
        </w:rPr>
        <w:t xml:space="preserve">  </w:t>
      </w:r>
    </w:p>
    <w:p w14:paraId="298BD2E2" w14:textId="4D5CB951" w:rsidR="00966DFD" w:rsidRPr="00497F81" w:rsidRDefault="00966DFD" w:rsidP="002A1867">
      <w:pPr>
        <w:pStyle w:val="ListParagraph"/>
        <w:numPr>
          <w:ilvl w:val="0"/>
          <w:numId w:val="23"/>
        </w:numPr>
        <w:rPr>
          <w:lang w:val="co-FR"/>
        </w:rPr>
      </w:pPr>
      <w:r w:rsidRPr="00497F81">
        <w:rPr>
          <w:rFonts w:asciiTheme="minorHAnsi" w:hAnsiTheme="minorHAnsi"/>
          <w:lang w:val="co-FR"/>
        </w:rPr>
        <w:t xml:space="preserve">‘ārāvei‘anga mai mata-ki-te-mata, me kore ra, na roto i teta‘i </w:t>
      </w:r>
      <w:r w:rsidR="00162E81" w:rsidRPr="00497F81">
        <w:rPr>
          <w:rFonts w:asciiTheme="minorHAnsi" w:hAnsiTheme="minorHAnsi"/>
          <w:lang w:val="co-FR"/>
        </w:rPr>
        <w:t>`</w:t>
      </w:r>
      <w:r w:rsidRPr="00497F81">
        <w:rPr>
          <w:rFonts w:asciiTheme="minorHAnsi" w:hAnsiTheme="minorHAnsi"/>
          <w:lang w:val="co-FR"/>
        </w:rPr>
        <w:t xml:space="preserve">uipa‘anga kimikimi arataki, na runga i te ‘ātuitui roro uira – tei runga te au ‘akakitekite‘anga i te </w:t>
      </w:r>
      <w:hyperlink r:id="rId9" w:history="1">
        <w:r w:rsidRPr="00497F81">
          <w:rPr>
            <w:rStyle w:val="Hyperlink"/>
            <w:rFonts w:asciiTheme="minorHAnsi" w:hAnsiTheme="minorHAnsi"/>
            <w:lang w:val="co-FR"/>
          </w:rPr>
          <w:t>kapi kimikimi‘anga arataki o te kupenga uira, a te Marae Ora</w:t>
        </w:r>
      </w:hyperlink>
      <w:r w:rsidR="002A1867" w:rsidRPr="00497F81">
        <w:rPr>
          <w:lang w:val="co-FR"/>
        </w:rPr>
        <w:t xml:space="preserve"> </w:t>
      </w:r>
    </w:p>
    <w:p w14:paraId="2E0B8D68" w14:textId="548D7FD0" w:rsidR="00294328" w:rsidRPr="00497F81" w:rsidRDefault="00A611A4" w:rsidP="0029432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pa‘u‘anga i te au ui‘anga na runga i te ‘ātuitui roro uira, tei runga i te </w:t>
      </w:r>
      <w:hyperlink r:id="rId10" w:history="1">
        <w:r w:rsidRPr="00497F81">
          <w:rPr>
            <w:rStyle w:val="Hyperlink"/>
            <w:rFonts w:asciiTheme="minorHAnsi" w:hAnsiTheme="minorHAnsi"/>
            <w:lang w:val="co-FR"/>
          </w:rPr>
          <w:t>hub kimikimi‘anga arataki, a te Marae Ora</w:t>
        </w:r>
      </w:hyperlink>
      <w:r w:rsidRPr="00497F81">
        <w:rPr>
          <w:rFonts w:asciiTheme="minorHAnsi" w:hAnsiTheme="minorHAnsi"/>
          <w:lang w:val="co-FR"/>
        </w:rPr>
        <w:t>.</w:t>
      </w:r>
    </w:p>
    <w:p w14:paraId="7425E384" w14:textId="77777777" w:rsidR="00966DFD" w:rsidRPr="00497F81" w:rsidRDefault="00966DFD" w:rsidP="00966DFD">
      <w:pPr>
        <w:rPr>
          <w:rFonts w:asciiTheme="minorHAnsi" w:hAnsiTheme="minorHAnsi" w:cstheme="minorHAnsi"/>
          <w:lang w:val="co-FR"/>
        </w:rPr>
      </w:pPr>
    </w:p>
    <w:p w14:paraId="5B3E107C" w14:textId="584FADE0" w:rsidR="00966DFD" w:rsidRPr="00497F81" w:rsidRDefault="00966DFD" w:rsidP="00966DFD">
      <w:p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>Ka piri te kimikimi‘anga arataki a te rā 1 o Noema, i te ora 5 i te a‘ia‘i.</w:t>
      </w:r>
    </w:p>
    <w:p w14:paraId="17B4006F" w14:textId="77777777" w:rsidR="007E327A" w:rsidRPr="00497F81" w:rsidRDefault="007E327A" w:rsidP="00C5157C">
      <w:pPr>
        <w:spacing w:before="60" w:after="120"/>
        <w:jc w:val="both"/>
        <w:rPr>
          <w:rFonts w:asciiTheme="minorHAnsi" w:hAnsiTheme="minorHAnsi" w:cstheme="minorHAnsi"/>
          <w:lang w:val="co-FR"/>
        </w:rPr>
      </w:pPr>
    </w:p>
    <w:p w14:paraId="5299CA8E" w14:textId="4EE8F59D" w:rsidR="007E327A" w:rsidRPr="00497F81" w:rsidRDefault="00EB7AC8" w:rsidP="00C5157C">
      <w:pPr>
        <w:spacing w:before="60" w:after="120"/>
        <w:jc w:val="both"/>
        <w:rPr>
          <w:rFonts w:asciiTheme="minorHAnsi" w:hAnsiTheme="minorHAnsi" w:cstheme="minorHAnsi"/>
          <w:b/>
          <w:bCs/>
          <w:lang w:val="co-FR"/>
        </w:rPr>
      </w:pPr>
      <w:r w:rsidRPr="00497F81">
        <w:rPr>
          <w:rFonts w:asciiTheme="minorHAnsi" w:hAnsiTheme="minorHAnsi"/>
          <w:b/>
          <w:lang w:val="co-FR"/>
        </w:rPr>
        <w:t>Te au ui‘anga no te kimikimi‘anga arataki:</w:t>
      </w:r>
    </w:p>
    <w:p w14:paraId="17EC1914" w14:textId="77777777" w:rsidR="00EB7AC8" w:rsidRPr="00497F81" w:rsidRDefault="006C49A6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Te ‘akatika āinei koe ki te au rāvenga e tāmanako‘ia nei, no runga i te ora‘anga meitaki, e na roto i te au tipātimani o te kavamani? Ka ‘akape‘ea te ‘akapu‘apinga‘anga atu i teia au ‘oro‘oro‘anga? Me ka tika,‘akakite mai i te tumu no ta‘au au pa‘u‘anga. </w:t>
      </w:r>
    </w:p>
    <w:p w14:paraId="6E027C35" w14:textId="12B3D481" w:rsidR="00C5157C" w:rsidRPr="00497F81" w:rsidRDefault="00C5157C" w:rsidP="00C5157C">
      <w:pPr>
        <w:pStyle w:val="NumberedParagraphs-MOH"/>
        <w:spacing w:before="60" w:after="120"/>
        <w:jc w:val="both"/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E au ‘oro‘oro‘anga ke atu āinei ta‘au e manako ra, kia tāru‘ia atu, kia tāmanako‘ia e te au tipātimani o te kavamani/ Me ka tika, ‘akakite mai i te tumu no ta‘au au tāmanako‘anga. </w:t>
      </w:r>
    </w:p>
    <w:p w14:paraId="78915C5F" w14:textId="77777777" w:rsidR="00EB7AC8" w:rsidRPr="00497F81" w:rsidRDefault="001D70F4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  <w:lang w:val="co-FR"/>
        </w:rPr>
      </w:pPr>
      <w:r w:rsidRPr="00497F81">
        <w:rPr>
          <w:rFonts w:asciiTheme="minorHAnsi" w:hAnsiTheme="minorHAnsi"/>
          <w:lang w:val="co-FR"/>
        </w:rPr>
        <w:t>Ea‘a te au mea ka anoano‘ia te au tipātimani o te kavamani kia tāmanako, ia rātou e tā‘anga‘anga nei i teia au ‘oro‘oro‘anga, i te ‘akapāpu kia tau te au mea e ‘ōronga‘ia nei, ki te anoano o te au ‘oire tangata? Me ka tika, ‘akakite mai i te tumu no ta‘au au tāmanako‘anga</w:t>
      </w:r>
    </w:p>
    <w:p w14:paraId="7D046A3D" w14:textId="695EE558" w:rsidR="00C5157C" w:rsidRPr="00497F81" w:rsidRDefault="00C5157C" w:rsidP="00EB7AC8">
      <w:pPr>
        <w:pStyle w:val="NumberedParagraphs-MOH"/>
        <w:spacing w:before="90"/>
        <w:jc w:val="both"/>
        <w:rPr>
          <w:rFonts w:asciiTheme="minorHAnsi" w:hAnsiTheme="minorHAnsi" w:cstheme="minorHAnsi"/>
          <w:kern w:val="0"/>
          <w:lang w:val="co-FR"/>
        </w:rPr>
      </w:pPr>
      <w:r w:rsidRPr="00497F81">
        <w:rPr>
          <w:rFonts w:asciiTheme="minorHAnsi" w:hAnsiTheme="minorHAnsi"/>
          <w:lang w:val="co-FR"/>
        </w:rPr>
        <w:t xml:space="preserve">E mea ke atu āinei ta‘au e ‘inangaro nei, kia kite te au tipātimani o te kavamani, no runga i te mea e anoano‘ia nei i te pāruru i te tāmate‘anga iākoe ‘uā‘orāi? </w:t>
      </w:r>
    </w:p>
    <w:p w14:paraId="6F5BECC8" w14:textId="77777777" w:rsidR="002A1867" w:rsidRPr="00497F81" w:rsidRDefault="002A1867" w:rsidP="0038157E">
      <w:pPr>
        <w:rPr>
          <w:rFonts w:asciiTheme="minorHAnsi" w:hAnsiTheme="minorHAnsi" w:cstheme="minorHAnsi"/>
          <w:lang w:val="co-FR"/>
        </w:rPr>
      </w:pPr>
    </w:p>
    <w:p w14:paraId="49BDE58C" w14:textId="5797A32D" w:rsidR="00966DFD" w:rsidRPr="00497F81" w:rsidRDefault="00966DFD" w:rsidP="0038157E">
      <w:pPr>
        <w:rPr>
          <w:rFonts w:asciiTheme="minorHAnsi" w:hAnsiTheme="minorHAnsi" w:cstheme="minorHAnsi"/>
          <w:lang w:val="co-FR"/>
        </w:rPr>
      </w:pPr>
      <w:r w:rsidRPr="00497F81">
        <w:rPr>
          <w:rFonts w:asciiTheme="minorHAnsi" w:hAnsiTheme="minorHAnsi"/>
          <w:lang w:val="co-FR"/>
        </w:rPr>
        <w:t xml:space="preserve">Meitaki ma‘ata no to‘ou manako. </w:t>
      </w:r>
    </w:p>
    <w:sectPr w:rsidR="00966DFD" w:rsidRPr="00497F81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4F38F" w14:textId="77777777" w:rsidR="0083637F" w:rsidRDefault="0083637F" w:rsidP="002A1867">
      <w:r>
        <w:separator/>
      </w:r>
    </w:p>
  </w:endnote>
  <w:endnote w:type="continuationSeparator" w:id="0">
    <w:p w14:paraId="281920FD" w14:textId="77777777" w:rsidR="0083637F" w:rsidRDefault="0083637F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EndPr/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2887" w14:textId="77777777" w:rsidR="0083637F" w:rsidRDefault="0083637F" w:rsidP="002A1867">
      <w:r>
        <w:separator/>
      </w:r>
    </w:p>
  </w:footnote>
  <w:footnote w:type="continuationSeparator" w:id="0">
    <w:p w14:paraId="6D24E28D" w14:textId="77777777" w:rsidR="0083637F" w:rsidRDefault="0083637F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448D"/>
    <w:rsid w:val="00032B87"/>
    <w:rsid w:val="0003512B"/>
    <w:rsid w:val="00051B77"/>
    <w:rsid w:val="000545D7"/>
    <w:rsid w:val="000D18C4"/>
    <w:rsid w:val="00154245"/>
    <w:rsid w:val="00162E81"/>
    <w:rsid w:val="00163FF7"/>
    <w:rsid w:val="00167416"/>
    <w:rsid w:val="001D70F4"/>
    <w:rsid w:val="001E64E9"/>
    <w:rsid w:val="0021204F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40B95"/>
    <w:rsid w:val="00366EF1"/>
    <w:rsid w:val="00373104"/>
    <w:rsid w:val="0038157E"/>
    <w:rsid w:val="00381908"/>
    <w:rsid w:val="003A3D86"/>
    <w:rsid w:val="003A3EEE"/>
    <w:rsid w:val="003C0E4B"/>
    <w:rsid w:val="003C0FDA"/>
    <w:rsid w:val="003E29C1"/>
    <w:rsid w:val="003F2797"/>
    <w:rsid w:val="0046310B"/>
    <w:rsid w:val="004776C5"/>
    <w:rsid w:val="00494E78"/>
    <w:rsid w:val="00497F81"/>
    <w:rsid w:val="004A154A"/>
    <w:rsid w:val="004C0AA7"/>
    <w:rsid w:val="004C36AA"/>
    <w:rsid w:val="004F2FF8"/>
    <w:rsid w:val="004F5A10"/>
    <w:rsid w:val="0051053A"/>
    <w:rsid w:val="00554669"/>
    <w:rsid w:val="00570CBF"/>
    <w:rsid w:val="005731DC"/>
    <w:rsid w:val="00597AFB"/>
    <w:rsid w:val="005A7DD1"/>
    <w:rsid w:val="005F09EC"/>
    <w:rsid w:val="00630864"/>
    <w:rsid w:val="006316FA"/>
    <w:rsid w:val="00650038"/>
    <w:rsid w:val="00656099"/>
    <w:rsid w:val="00663436"/>
    <w:rsid w:val="00664FE6"/>
    <w:rsid w:val="006704F8"/>
    <w:rsid w:val="00671427"/>
    <w:rsid w:val="006734F8"/>
    <w:rsid w:val="006A0B44"/>
    <w:rsid w:val="006C49A6"/>
    <w:rsid w:val="006E7795"/>
    <w:rsid w:val="007140B1"/>
    <w:rsid w:val="00715582"/>
    <w:rsid w:val="0071644F"/>
    <w:rsid w:val="00741DEB"/>
    <w:rsid w:val="00742A2B"/>
    <w:rsid w:val="00766197"/>
    <w:rsid w:val="00766930"/>
    <w:rsid w:val="00776934"/>
    <w:rsid w:val="00782CFB"/>
    <w:rsid w:val="00794529"/>
    <w:rsid w:val="007A35F0"/>
    <w:rsid w:val="007B224E"/>
    <w:rsid w:val="007C3469"/>
    <w:rsid w:val="007E327A"/>
    <w:rsid w:val="00813BC2"/>
    <w:rsid w:val="00823330"/>
    <w:rsid w:val="0083637F"/>
    <w:rsid w:val="00847078"/>
    <w:rsid w:val="0085382B"/>
    <w:rsid w:val="008A42FE"/>
    <w:rsid w:val="008A6605"/>
    <w:rsid w:val="008B37C6"/>
    <w:rsid w:val="008D4253"/>
    <w:rsid w:val="008F32A6"/>
    <w:rsid w:val="00903B58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611A4"/>
    <w:rsid w:val="00A91BFA"/>
    <w:rsid w:val="00A92E44"/>
    <w:rsid w:val="00AB5FEE"/>
    <w:rsid w:val="00AC0610"/>
    <w:rsid w:val="00AD4DE9"/>
    <w:rsid w:val="00B074B3"/>
    <w:rsid w:val="00B232E1"/>
    <w:rsid w:val="00B41B8F"/>
    <w:rsid w:val="00B77535"/>
    <w:rsid w:val="00B85C06"/>
    <w:rsid w:val="00B94371"/>
    <w:rsid w:val="00B96F50"/>
    <w:rsid w:val="00BB3EF6"/>
    <w:rsid w:val="00BE51B0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F0E51"/>
    <w:rsid w:val="00D54FD8"/>
    <w:rsid w:val="00D63FB7"/>
    <w:rsid w:val="00D864C5"/>
    <w:rsid w:val="00DD71FA"/>
    <w:rsid w:val="00DF6EA1"/>
    <w:rsid w:val="00E01865"/>
    <w:rsid w:val="00E03225"/>
    <w:rsid w:val="00E04DA5"/>
    <w:rsid w:val="00E44D4D"/>
    <w:rsid w:val="00E7484F"/>
    <w:rsid w:val="00EB7AC8"/>
    <w:rsid w:val="00F4423A"/>
    <w:rsid w:val="00F45C7C"/>
    <w:rsid w:val="00F56A05"/>
    <w:rsid w:val="00F60118"/>
    <w:rsid w:val="00F864C9"/>
    <w:rsid w:val="00F90027"/>
    <w:rsid w:val="00F90AFB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Times New Roman" w:hAnsi="Segoe UI" w:cs="Segoe UI"/>
      <w:kern w:val="22"/>
      <w:lang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DefaultParagraphFont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11412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Nicholas Edwards</cp:lastModifiedBy>
  <cp:revision>3</cp:revision>
  <dcterms:created xsi:type="dcterms:W3CDTF">2024-09-30T22:56:00Z</dcterms:created>
  <dcterms:modified xsi:type="dcterms:W3CDTF">2024-10-01T07:44:00Z</dcterms:modified>
</cp:coreProperties>
</file>