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1875" w14:textId="7D4896A8" w:rsidR="00B94371" w:rsidRPr="00741DEB" w:rsidRDefault="00966DFD" w:rsidP="003A3EEE">
      <w:pPr>
        <w:pStyle w:val="Heading1"/>
        <w:rPr>
          <w:rFonts w:asciiTheme="minorHAnsi" w:hAnsiTheme="minorHAnsi" w:cstheme="minorHAnsi"/>
          <w:sz w:val="21"/>
          <w:szCs w:val="21"/>
        </w:rPr>
      </w:pPr>
      <w:r>
        <w:rPr>
          <w:rFonts w:asciiTheme="minorHAnsi" w:hAnsiTheme="minorHAnsi"/>
          <w:b/>
          <w:sz w:val="36"/>
        </w:rPr>
        <w:t>Muhtasari wa Mashauriano ya Mpango wa Kuzuia Kujiua</w:t>
      </w:r>
    </w:p>
    <w:p w14:paraId="1925C7AC" w14:textId="797EAC9B" w:rsidR="00B94371" w:rsidRPr="00741DEB" w:rsidRDefault="00B94371" w:rsidP="003A3EEE">
      <w:pPr>
        <w:pStyle w:val="Heading2"/>
        <w:rPr>
          <w:rFonts w:asciiTheme="minorHAnsi" w:hAnsiTheme="minorHAnsi" w:cstheme="minorHAnsi"/>
        </w:rPr>
      </w:pPr>
      <w:r>
        <w:rPr>
          <w:rFonts w:asciiTheme="minorHAnsi" w:hAnsiTheme="minorHAnsi"/>
        </w:rPr>
        <w:t>Utangulizi</w:t>
      </w:r>
    </w:p>
    <w:p w14:paraId="5FFAAFC6" w14:textId="205933D2" w:rsidR="00823330" w:rsidRPr="00741DEB" w:rsidRDefault="00823330" w:rsidP="00823330">
      <w:pPr>
        <w:pStyle w:val="NumberedParagraphs-MOH"/>
        <w:numPr>
          <w:ilvl w:val="0"/>
          <w:numId w:val="0"/>
        </w:numPr>
        <w:ind w:left="851" w:hanging="851"/>
        <w:rPr>
          <w:rFonts w:asciiTheme="minorHAnsi" w:hAnsiTheme="minorHAnsi" w:cstheme="minorHAnsi"/>
        </w:rPr>
      </w:pPr>
      <w:r>
        <w:rPr>
          <w:rFonts w:asciiTheme="minorHAnsi" w:hAnsiTheme="minorHAnsi"/>
        </w:rPr>
        <w:t>Juhudi za kuzuia kujiua nchini New Zealand zinaongozwa na</w:t>
      </w:r>
      <w:hyperlink r:id="rId7" w:history="1">
        <w:r>
          <w:rPr>
            <w:rFonts w:asciiTheme="minorHAnsi" w:hAnsiTheme="minorHAnsi"/>
          </w:rPr>
          <w:t xml:space="preserve"> hati hizi mbili</w:t>
        </w:r>
      </w:hyperlink>
      <w:r>
        <w:rPr>
          <w:rFonts w:asciiTheme="minorHAnsi" w:hAnsiTheme="minorHAnsi"/>
        </w:rPr>
        <w:t>:</w:t>
      </w:r>
    </w:p>
    <w:p w14:paraId="2F361F83" w14:textId="77777777" w:rsidR="00823330" w:rsidRPr="00741DEB" w:rsidRDefault="00823330" w:rsidP="00823330">
      <w:pPr>
        <w:pStyle w:val="ReportBody2-MOH"/>
        <w:tabs>
          <w:tab w:val="clear" w:pos="360"/>
        </w:tabs>
        <w:ind w:left="1276" w:hanging="425"/>
        <w:rPr>
          <w:rFonts w:asciiTheme="minorHAnsi" w:hAnsiTheme="minorHAnsi" w:cstheme="minorHAnsi"/>
        </w:rPr>
      </w:pPr>
      <w:r>
        <w:rPr>
          <w:rFonts w:asciiTheme="minorHAnsi" w:hAnsiTheme="minorHAnsi"/>
        </w:rPr>
        <w:t xml:space="preserve">Kila Uhai Ni Muhimu - Kila maisha ni takatifu: Mkakati wa Kuzuia Kujiua 2019-2029 (Maisha ni takatifu) </w:t>
      </w:r>
    </w:p>
    <w:p w14:paraId="4A63C399" w14:textId="77777777" w:rsidR="00823330" w:rsidRPr="00741DEB" w:rsidRDefault="00823330" w:rsidP="00823330">
      <w:pPr>
        <w:pStyle w:val="ReportBody2-MOH"/>
        <w:tabs>
          <w:tab w:val="clear" w:pos="360"/>
        </w:tabs>
        <w:ind w:left="1276" w:hanging="425"/>
        <w:rPr>
          <w:rFonts w:asciiTheme="minorHAnsi" w:hAnsiTheme="minorHAnsi" w:cstheme="minorHAnsi"/>
        </w:rPr>
      </w:pPr>
      <w:r>
        <w:rPr>
          <w:rFonts w:asciiTheme="minorHAnsi" w:hAnsiTheme="minorHAnsi"/>
        </w:rPr>
        <w:t xml:space="preserve">Mpango wa Utekelezaji wa Kuzuia Kujiua 2019-2024 kwa nchi ya New Zealand. </w:t>
      </w:r>
    </w:p>
    <w:p w14:paraId="630D423D" w14:textId="40B9885F" w:rsidR="00E01865" w:rsidRDefault="00847078" w:rsidP="00823330">
      <w:pPr>
        <w:pStyle w:val="NumberedParagraphs-MOH"/>
        <w:numPr>
          <w:ilvl w:val="0"/>
          <w:numId w:val="0"/>
        </w:numPr>
        <w:rPr>
          <w:rFonts w:asciiTheme="minorHAnsi" w:hAnsiTheme="minorHAnsi" w:cstheme="minorHAnsi"/>
        </w:rPr>
      </w:pPr>
      <w:r>
        <w:rPr>
          <w:rFonts w:asciiTheme="minorHAnsi" w:hAnsiTheme="minorHAnsi"/>
        </w:rPr>
        <w:t xml:space="preserve">Kwa sababu Mpango wa Utekelezaji unamalizika mwaka 2024, Wizara ya Afya imeandaa rasimu ya mpango wa utekelezaji kwa miaka mitano ijayo. </w:t>
      </w:r>
      <w:r w:rsidR="00E50787" w:rsidRPr="00E50787">
        <w:rPr>
          <w:rFonts w:asciiTheme="minorHAnsi" w:hAnsiTheme="minorHAnsi"/>
        </w:rPr>
        <w:t>Wizara inatafuta maoni kuhusu rasimu ya mpango huo.</w:t>
      </w:r>
    </w:p>
    <w:p w14:paraId="0CFED8D3" w14:textId="28B16F5E" w:rsidR="00823330" w:rsidRPr="00741DEB" w:rsidRDefault="00E50787" w:rsidP="00823330">
      <w:pPr>
        <w:pStyle w:val="NumberedParagraphs-MOH"/>
        <w:numPr>
          <w:ilvl w:val="0"/>
          <w:numId w:val="0"/>
        </w:numPr>
        <w:rPr>
          <w:rFonts w:asciiTheme="minorHAnsi" w:hAnsiTheme="minorHAnsi" w:cstheme="minorHAnsi"/>
        </w:rPr>
      </w:pPr>
      <w:r w:rsidRPr="00E50787">
        <w:rPr>
          <w:rFonts w:asciiTheme="minorHAnsi" w:hAnsiTheme="minorHAnsi"/>
        </w:rPr>
        <w:t>Mpango huu unaendana na vipaumbele vya Serikali vya Afya ya Akili</w:t>
      </w:r>
      <w:r w:rsidR="004C36AA">
        <w:rPr>
          <w:rFonts w:asciiTheme="minorHAnsi" w:hAnsiTheme="minorHAnsi"/>
        </w:rPr>
        <w:t xml:space="preserve">:  </w:t>
      </w:r>
    </w:p>
    <w:p w14:paraId="4F61ECB0" w14:textId="29588D18" w:rsidR="00DD71FA" w:rsidRPr="00741DEB" w:rsidRDefault="00DD71FA" w:rsidP="00DD71FA">
      <w:pPr>
        <w:pStyle w:val="NumberedParagraphs-MOH"/>
        <w:numPr>
          <w:ilvl w:val="0"/>
          <w:numId w:val="21"/>
        </w:numPr>
        <w:rPr>
          <w:rFonts w:asciiTheme="minorHAnsi" w:hAnsiTheme="minorHAnsi" w:cstheme="minorHAnsi"/>
        </w:rPr>
      </w:pPr>
      <w:r>
        <w:rPr>
          <w:rFonts w:asciiTheme="minorHAnsi" w:hAnsiTheme="minorHAnsi"/>
        </w:rPr>
        <w:t>kuboresha upatikanaji wa kuzuia</w:t>
      </w:r>
      <w:r w:rsidR="00E50787">
        <w:rPr>
          <w:rFonts w:asciiTheme="minorHAnsi" w:hAnsiTheme="minorHAnsi"/>
        </w:rPr>
        <w:t xml:space="preserve"> kujiua</w:t>
      </w:r>
      <w:r>
        <w:rPr>
          <w:rFonts w:asciiTheme="minorHAnsi" w:hAnsiTheme="minorHAnsi"/>
        </w:rPr>
        <w:t xml:space="preserve"> na baada ya kujiua  msaada</w:t>
      </w:r>
    </w:p>
    <w:p w14:paraId="7AC20356" w14:textId="77777777" w:rsidR="00DD71FA" w:rsidRPr="00741DEB" w:rsidRDefault="00DD71FA" w:rsidP="00DD71FA">
      <w:pPr>
        <w:pStyle w:val="NumberedParagraphs-MOH"/>
        <w:numPr>
          <w:ilvl w:val="0"/>
          <w:numId w:val="21"/>
        </w:numPr>
        <w:rPr>
          <w:rFonts w:asciiTheme="minorHAnsi" w:hAnsiTheme="minorHAnsi" w:cstheme="minorHAnsi"/>
        </w:rPr>
      </w:pPr>
      <w:r>
        <w:rPr>
          <w:rFonts w:asciiTheme="minorHAnsi" w:hAnsiTheme="minorHAnsi"/>
        </w:rPr>
        <w:t>kukuza wafanyakazi ambao wanaweza kusaidia wale walio katika hatari au walioathiriwa na kujiua</w:t>
      </w:r>
    </w:p>
    <w:p w14:paraId="0006ED90" w14:textId="77777777" w:rsidR="00DD71FA" w:rsidRPr="00741DEB" w:rsidRDefault="00DD71FA" w:rsidP="00DD71FA">
      <w:pPr>
        <w:pStyle w:val="NumberedParagraphs-MOH"/>
        <w:numPr>
          <w:ilvl w:val="0"/>
          <w:numId w:val="21"/>
        </w:numPr>
        <w:rPr>
          <w:rFonts w:asciiTheme="minorHAnsi" w:hAnsiTheme="minorHAnsi" w:cstheme="minorHAnsi"/>
        </w:rPr>
      </w:pPr>
      <w:r>
        <w:rPr>
          <w:rFonts w:asciiTheme="minorHAnsi" w:hAnsiTheme="minorHAnsi"/>
        </w:rPr>
        <w:t>kuimarisha mtazamo wetu juu ya kuzuia na kuingilia kati mapema katika anuwai ya mambo ambayo yanaweza kushawihi kujiua</w:t>
      </w:r>
    </w:p>
    <w:p w14:paraId="24D44F68" w14:textId="77777777" w:rsidR="00DD71FA" w:rsidRPr="00741DEB" w:rsidRDefault="00DD71FA" w:rsidP="00DD71FA">
      <w:pPr>
        <w:pStyle w:val="NumberedParagraphs-MOH"/>
        <w:numPr>
          <w:ilvl w:val="0"/>
          <w:numId w:val="21"/>
        </w:numPr>
        <w:rPr>
          <w:rFonts w:asciiTheme="minorHAnsi" w:hAnsiTheme="minorHAnsi" w:cstheme="minorHAnsi"/>
        </w:rPr>
      </w:pPr>
      <w:r>
        <w:rPr>
          <w:rFonts w:asciiTheme="minorHAnsi" w:hAnsiTheme="minorHAnsi"/>
        </w:rPr>
        <w:t xml:space="preserve">kuboresha ufanisi wa kuzuia kujiua na misaada baada ya kujiua kwa kuboresha utafiti na ukusanyaji wa data. </w:t>
      </w:r>
    </w:p>
    <w:p w14:paraId="5145BFF1" w14:textId="2B57B26C" w:rsidR="004C36AA" w:rsidRPr="00741DEB" w:rsidRDefault="004C36AA" w:rsidP="00823330">
      <w:pPr>
        <w:pStyle w:val="NumberedParagraphs-MOH"/>
        <w:numPr>
          <w:ilvl w:val="0"/>
          <w:numId w:val="0"/>
        </w:numPr>
        <w:rPr>
          <w:rFonts w:asciiTheme="minorHAnsi" w:hAnsiTheme="minorHAnsi" w:cstheme="minorHAnsi"/>
        </w:rPr>
      </w:pPr>
      <w:r>
        <w:rPr>
          <w:rFonts w:asciiTheme="minorHAnsi" w:hAnsiTheme="minorHAnsi"/>
        </w:rPr>
        <w:t>Mpango huo una hatua kwa</w:t>
      </w:r>
      <w:r w:rsidR="0051573E">
        <w:rPr>
          <w:rFonts w:asciiTheme="minorHAnsi" w:hAnsiTheme="minorHAnsi"/>
        </w:rPr>
        <w:t xml:space="preserve"> </w:t>
      </w:r>
      <w:r w:rsidR="0051573E" w:rsidRPr="0051573E">
        <w:rPr>
          <w:rFonts w:asciiTheme="minorHAnsi" w:hAnsiTheme="minorHAnsi"/>
        </w:rPr>
        <w:t>wote wawil</w:t>
      </w:r>
      <w:r w:rsidR="0051573E">
        <w:rPr>
          <w:rFonts w:asciiTheme="minorHAnsi" w:hAnsiTheme="minorHAnsi"/>
        </w:rPr>
        <w:t>,</w:t>
      </w:r>
      <w:r>
        <w:rPr>
          <w:rFonts w:asciiTheme="minorHAnsi" w:hAnsiTheme="minorHAnsi"/>
        </w:rPr>
        <w:t xml:space="preserve"> sekta ya Afya na katika mashirika mbalimbali ya serikali. </w:t>
      </w:r>
    </w:p>
    <w:p w14:paraId="3F457301" w14:textId="77777777" w:rsidR="00FF401B" w:rsidRPr="00741DEB" w:rsidRDefault="00FF401B" w:rsidP="00FF401B">
      <w:pPr>
        <w:pStyle w:val="Heading2"/>
        <w:rPr>
          <w:rFonts w:asciiTheme="minorHAnsi" w:hAnsiTheme="minorHAnsi" w:cstheme="minorHAnsi"/>
        </w:rPr>
      </w:pPr>
      <w:r>
        <w:rPr>
          <w:rFonts w:asciiTheme="minorHAnsi" w:hAnsiTheme="minorHAnsi"/>
        </w:rPr>
        <w:t xml:space="preserve">Vitendo vinavyopendekezwa vinavyoongozwa na Afya </w:t>
      </w:r>
    </w:p>
    <w:p w14:paraId="7671EFED" w14:textId="3A0A2E3C" w:rsidR="00FF401B" w:rsidRPr="005F0F06" w:rsidRDefault="00FF401B" w:rsidP="004776C5">
      <w:pPr>
        <w:pStyle w:val="Heading3"/>
        <w:rPr>
          <w:rFonts w:asciiTheme="minorHAnsi" w:hAnsiTheme="minorHAnsi"/>
        </w:rPr>
      </w:pPr>
      <w:r>
        <w:rPr>
          <w:rFonts w:asciiTheme="minorHAnsi" w:hAnsiTheme="minorHAnsi"/>
        </w:rPr>
        <w:t xml:space="preserve">1: </w:t>
      </w:r>
      <w:r w:rsidR="0051573E" w:rsidRPr="0051573E">
        <w:rPr>
          <w:rFonts w:asciiTheme="minorHAnsi" w:hAnsiTheme="minorHAnsi"/>
        </w:rPr>
        <w:t>Boresha ufikiaji wa misaada ya kuzuia kujiua na baada ya kujiua</w:t>
      </w:r>
    </w:p>
    <w:tbl>
      <w:tblPr>
        <w:tblStyle w:val="TableGrid"/>
        <w:tblW w:w="5265" w:type="pct"/>
        <w:tblLayout w:type="fixed"/>
        <w:tblLook w:val="04A0" w:firstRow="1" w:lastRow="0" w:firstColumn="1" w:lastColumn="0" w:noHBand="0" w:noVBand="1"/>
      </w:tblPr>
      <w:tblGrid>
        <w:gridCol w:w="7225"/>
        <w:gridCol w:w="2269"/>
      </w:tblGrid>
      <w:tr w:rsidR="00FF401B" w:rsidRPr="001E64E9" w14:paraId="6206F81C" w14:textId="77777777" w:rsidTr="005F0F06">
        <w:trPr>
          <w:tblHeader/>
        </w:trPr>
        <w:tc>
          <w:tcPr>
            <w:tcW w:w="3805" w:type="pct"/>
          </w:tcPr>
          <w:p w14:paraId="0C0E4625"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Hatua iliyopendekezwa</w:t>
            </w:r>
          </w:p>
        </w:tc>
        <w:tc>
          <w:tcPr>
            <w:tcW w:w="1195" w:type="pct"/>
          </w:tcPr>
          <w:p w14:paraId="1AA5B46A"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Tarehe iliyokamilika</w:t>
            </w:r>
          </w:p>
        </w:tc>
      </w:tr>
      <w:tr w:rsidR="00FF401B" w:rsidRPr="001E64E9" w14:paraId="3BDD2874" w14:textId="77777777" w:rsidTr="005F0F06">
        <w:tc>
          <w:tcPr>
            <w:tcW w:w="3805" w:type="pct"/>
          </w:tcPr>
          <w:p w14:paraId="40692D74" w14:textId="339C7968" w:rsidR="00FF401B" w:rsidRPr="001E64E9" w:rsidRDefault="0051573E" w:rsidP="00FF401B">
            <w:pPr>
              <w:pStyle w:val="Bullet"/>
              <w:spacing w:before="90" w:after="0" w:line="264" w:lineRule="auto"/>
              <w:ind w:left="284" w:hanging="284"/>
              <w:rPr>
                <w:rFonts w:cstheme="minorHAnsi"/>
                <w:sz w:val="22"/>
                <w:szCs w:val="22"/>
              </w:rPr>
            </w:pPr>
            <w:r w:rsidRPr="0051573E">
              <w:rPr>
                <w:sz w:val="22"/>
              </w:rPr>
              <w:t>Kuanzisha hazina ya jumuiya ya kuzuia kujiua unaozingatia</w:t>
            </w:r>
            <w:r w:rsidR="00FF401B">
              <w:rPr>
                <w:sz w:val="22"/>
              </w:rPr>
              <w:t xml:space="preserve"> idadi ya watu walio na mahitaji ya juu (kwa mfano, jamii za mama, vijana na vijijini) ili kukamilisha fedha zilizopo za Māori na Pasifiki. </w:t>
            </w:r>
          </w:p>
        </w:tc>
        <w:tc>
          <w:tcPr>
            <w:tcW w:w="1195" w:type="pct"/>
          </w:tcPr>
          <w:p w14:paraId="1E018878" w14:textId="77777777" w:rsidR="00FF401B" w:rsidRPr="001E64E9" w:rsidRDefault="00FF401B" w:rsidP="007E62A0">
            <w:pPr>
              <w:pStyle w:val="Bullet"/>
              <w:numPr>
                <w:ilvl w:val="0"/>
                <w:numId w:val="0"/>
              </w:numPr>
              <w:jc w:val="right"/>
              <w:rPr>
                <w:rFonts w:cstheme="minorHAnsi"/>
                <w:sz w:val="22"/>
                <w:szCs w:val="22"/>
              </w:rPr>
            </w:pPr>
            <w:r>
              <w:rPr>
                <w:sz w:val="22"/>
              </w:rPr>
              <w:t>Kufikia 31 Desemba 2025</w:t>
            </w:r>
          </w:p>
        </w:tc>
      </w:tr>
      <w:tr w:rsidR="00FF401B" w:rsidRPr="001E64E9" w14:paraId="14836DFF" w14:textId="77777777" w:rsidTr="005F0F06">
        <w:tc>
          <w:tcPr>
            <w:tcW w:w="3805" w:type="pct"/>
          </w:tcPr>
          <w:p w14:paraId="2E65C135"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Msaada uliopanuliwa kwa ajili ya watu waliofiwa na kujiua. </w:t>
            </w:r>
          </w:p>
        </w:tc>
        <w:tc>
          <w:tcPr>
            <w:tcW w:w="1195" w:type="pct"/>
          </w:tcPr>
          <w:p w14:paraId="10B1EAA5" w14:textId="77777777" w:rsidR="00FF401B" w:rsidRPr="001E64E9" w:rsidRDefault="00FF401B" w:rsidP="007E62A0">
            <w:pPr>
              <w:pStyle w:val="Bullet"/>
              <w:numPr>
                <w:ilvl w:val="0"/>
                <w:numId w:val="0"/>
              </w:numPr>
              <w:jc w:val="right"/>
              <w:rPr>
                <w:rFonts w:cstheme="minorHAnsi"/>
                <w:sz w:val="22"/>
                <w:szCs w:val="22"/>
              </w:rPr>
            </w:pPr>
            <w:r>
              <w:rPr>
                <w:sz w:val="22"/>
              </w:rPr>
              <w:t>Kufikia 30 Juni 2026</w:t>
            </w:r>
          </w:p>
        </w:tc>
      </w:tr>
      <w:tr w:rsidR="00FF401B" w:rsidRPr="001E64E9" w14:paraId="06510CD7" w14:textId="77777777" w:rsidTr="005F0F06">
        <w:tc>
          <w:tcPr>
            <w:tcW w:w="3805" w:type="pct"/>
          </w:tcPr>
          <w:p w14:paraId="111F9001" w14:textId="14EA5ACF" w:rsidR="00FF401B" w:rsidRPr="001E64E9" w:rsidRDefault="009B4CC4" w:rsidP="00FF401B">
            <w:pPr>
              <w:pStyle w:val="Bullet"/>
              <w:spacing w:before="90" w:after="0" w:line="264" w:lineRule="auto"/>
              <w:ind w:left="284" w:hanging="284"/>
              <w:rPr>
                <w:rFonts w:cstheme="minorHAnsi"/>
                <w:sz w:val="22"/>
                <w:szCs w:val="22"/>
              </w:rPr>
            </w:pPr>
            <w:r w:rsidRPr="009B4CC4">
              <w:rPr>
                <w:sz w:val="22"/>
              </w:rPr>
              <w:t>Kuanzisha na kutathmini</w:t>
            </w:r>
            <w:r w:rsidR="00FF401B">
              <w:rPr>
                <w:sz w:val="22"/>
              </w:rPr>
              <w:t xml:space="preserve"> mikahawa/vibanda/huduma sita za uokoaji wa shida. </w:t>
            </w:r>
          </w:p>
        </w:tc>
        <w:tc>
          <w:tcPr>
            <w:tcW w:w="1195" w:type="pct"/>
          </w:tcPr>
          <w:p w14:paraId="02E42AF8" w14:textId="77777777" w:rsidR="00FF401B" w:rsidRPr="001E64E9" w:rsidRDefault="00FF401B" w:rsidP="007E62A0">
            <w:pPr>
              <w:pStyle w:val="Bullet"/>
              <w:numPr>
                <w:ilvl w:val="0"/>
                <w:numId w:val="0"/>
              </w:numPr>
              <w:jc w:val="right"/>
              <w:rPr>
                <w:rFonts w:cstheme="minorHAnsi"/>
                <w:sz w:val="22"/>
                <w:szCs w:val="22"/>
              </w:rPr>
            </w:pPr>
            <w:r>
              <w:rPr>
                <w:sz w:val="22"/>
              </w:rPr>
              <w:t>Kufikia 30 Juni 2028</w:t>
            </w:r>
          </w:p>
        </w:tc>
      </w:tr>
      <w:tr w:rsidR="00FF401B" w:rsidRPr="001E64E9" w14:paraId="7EAEB331" w14:textId="77777777" w:rsidTr="005F0F06">
        <w:tc>
          <w:tcPr>
            <w:tcW w:w="3805" w:type="pct"/>
          </w:tcPr>
          <w:p w14:paraId="6E66560B" w14:textId="7DAA6A5F" w:rsidR="00FF401B" w:rsidRPr="001E64E9" w:rsidRDefault="00003FC9" w:rsidP="00003FC9">
            <w:pPr>
              <w:pStyle w:val="Bullet"/>
              <w:rPr>
                <w:rFonts w:cstheme="minorHAnsi"/>
                <w:sz w:val="22"/>
                <w:szCs w:val="22"/>
              </w:rPr>
            </w:pPr>
            <w:r w:rsidRPr="00003FC9">
              <w:rPr>
                <w:sz w:val="22"/>
              </w:rPr>
              <w:t>Kuboresha umuhimu wa kitamaduni wa msaada wa awali baada ya kifo cha kujiua na Aoake te Rā, aliyefiwa na huduma ya kujiua.</w:t>
            </w:r>
          </w:p>
        </w:tc>
        <w:tc>
          <w:tcPr>
            <w:tcW w:w="1195" w:type="pct"/>
          </w:tcPr>
          <w:p w14:paraId="66FFCED5" w14:textId="77777777" w:rsidR="00FF401B" w:rsidRPr="001E64E9" w:rsidRDefault="00FF401B" w:rsidP="007E62A0">
            <w:pPr>
              <w:pStyle w:val="Bullet"/>
              <w:numPr>
                <w:ilvl w:val="0"/>
                <w:numId w:val="0"/>
              </w:numPr>
              <w:jc w:val="right"/>
              <w:rPr>
                <w:rFonts w:cstheme="minorHAnsi"/>
                <w:sz w:val="22"/>
                <w:szCs w:val="22"/>
              </w:rPr>
            </w:pPr>
            <w:r>
              <w:rPr>
                <w:sz w:val="22"/>
              </w:rPr>
              <w:t>Kufikia 31 Desemba 2028</w:t>
            </w:r>
          </w:p>
        </w:tc>
      </w:tr>
    </w:tbl>
    <w:p w14:paraId="0AE79F2C" w14:textId="77777777" w:rsidR="004776C5" w:rsidRPr="00741DEB" w:rsidRDefault="004776C5" w:rsidP="004776C5">
      <w:pPr>
        <w:pStyle w:val="Heading3"/>
        <w:rPr>
          <w:rFonts w:asciiTheme="minorHAnsi" w:hAnsiTheme="minorHAnsi" w:cstheme="minorHAnsi"/>
        </w:rPr>
      </w:pPr>
    </w:p>
    <w:p w14:paraId="676C0452" w14:textId="0DBFC10A" w:rsidR="00FF401B" w:rsidRPr="00741DEB" w:rsidRDefault="00FF401B" w:rsidP="004776C5">
      <w:pPr>
        <w:pStyle w:val="Heading3"/>
        <w:rPr>
          <w:rFonts w:asciiTheme="minorHAnsi" w:hAnsiTheme="minorHAnsi" w:cstheme="minorHAnsi"/>
        </w:rPr>
      </w:pPr>
      <w:r>
        <w:rPr>
          <w:rFonts w:asciiTheme="minorHAnsi" w:hAnsiTheme="minorHAnsi"/>
        </w:rPr>
        <w:t xml:space="preserve">Kukuza wafanyakazi waliyo na uwezo na kujiamini </w:t>
      </w:r>
      <w:r w:rsidR="00003FC9">
        <w:rPr>
          <w:rFonts w:asciiTheme="minorHAnsi" w:hAnsiTheme="minorHAnsi"/>
        </w:rPr>
        <w:t xml:space="preserve">wa </w:t>
      </w:r>
      <w:r>
        <w:rPr>
          <w:rFonts w:asciiTheme="minorHAnsi" w:hAnsiTheme="minorHAnsi"/>
        </w:rPr>
        <w:t xml:space="preserve">kuzuia kujiua na baada ya kujiua  </w:t>
      </w:r>
    </w:p>
    <w:tbl>
      <w:tblPr>
        <w:tblStyle w:val="TableGrid"/>
        <w:tblW w:w="5007" w:type="pct"/>
        <w:tblInd w:w="-5" w:type="dxa"/>
        <w:tblLook w:val="04A0" w:firstRow="1" w:lastRow="0" w:firstColumn="1" w:lastColumn="0" w:noHBand="0" w:noVBand="1"/>
      </w:tblPr>
      <w:tblGrid>
        <w:gridCol w:w="7230"/>
        <w:gridCol w:w="1799"/>
      </w:tblGrid>
      <w:tr w:rsidR="00FF401B" w:rsidRPr="001E64E9" w14:paraId="70D464A8" w14:textId="77777777" w:rsidTr="001E64E9">
        <w:trPr>
          <w:tblHeader/>
        </w:trPr>
        <w:tc>
          <w:tcPr>
            <w:tcW w:w="4004" w:type="pct"/>
          </w:tcPr>
          <w:p w14:paraId="35EE996D"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Hatua iliyopendekezwa</w:t>
            </w:r>
          </w:p>
        </w:tc>
        <w:tc>
          <w:tcPr>
            <w:tcW w:w="996" w:type="pct"/>
          </w:tcPr>
          <w:p w14:paraId="1D80CA0F"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Tarehe iliyokamilika</w:t>
            </w:r>
          </w:p>
        </w:tc>
      </w:tr>
      <w:tr w:rsidR="00FF401B" w:rsidRPr="001E64E9" w14:paraId="3C9CD6CF" w14:textId="77777777" w:rsidTr="001E64E9">
        <w:tc>
          <w:tcPr>
            <w:tcW w:w="4004" w:type="pct"/>
          </w:tcPr>
          <w:p w14:paraId="1F267E9D"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Kuongeza upatikanaji wa mafunzo ya ufahamu wa kujiua kwa jamii na familia</w:t>
            </w:r>
          </w:p>
        </w:tc>
        <w:tc>
          <w:tcPr>
            <w:tcW w:w="996" w:type="pct"/>
          </w:tcPr>
          <w:p w14:paraId="22D410FF" w14:textId="77777777" w:rsidR="00FF401B" w:rsidRPr="001E64E9" w:rsidRDefault="00FF401B" w:rsidP="007E62A0">
            <w:pPr>
              <w:pStyle w:val="Bullet"/>
              <w:numPr>
                <w:ilvl w:val="0"/>
                <w:numId w:val="0"/>
              </w:numPr>
              <w:jc w:val="right"/>
              <w:rPr>
                <w:rFonts w:cstheme="minorHAnsi"/>
                <w:sz w:val="22"/>
                <w:szCs w:val="22"/>
              </w:rPr>
            </w:pPr>
            <w:r>
              <w:rPr>
                <w:sz w:val="22"/>
              </w:rPr>
              <w:t>Kufikia 31 Desemba 2025</w:t>
            </w:r>
          </w:p>
        </w:tc>
      </w:tr>
      <w:tr w:rsidR="00FF401B" w:rsidRPr="001E64E9" w14:paraId="27B683D4" w14:textId="77777777" w:rsidTr="001E64E9">
        <w:tc>
          <w:tcPr>
            <w:tcW w:w="4004" w:type="pct"/>
          </w:tcPr>
          <w:p w14:paraId="67E9AAAC" w14:textId="105D604C" w:rsidR="00FF401B" w:rsidRPr="001E64E9" w:rsidRDefault="00FF401B">
            <w:pPr>
              <w:pStyle w:val="Bullet"/>
              <w:spacing w:before="90" w:after="0" w:line="264" w:lineRule="auto"/>
              <w:ind w:left="284" w:hanging="284"/>
              <w:rPr>
                <w:rFonts w:cstheme="minorHAnsi"/>
                <w:sz w:val="22"/>
                <w:szCs w:val="22"/>
              </w:rPr>
            </w:pPr>
            <w:r>
              <w:rPr>
                <w:sz w:val="22"/>
              </w:rPr>
              <w:lastRenderedPageBreak/>
              <w:t xml:space="preserve">Kuendeleza vifaa vya kuanzishwa na kuboresha msaada unaoendelea wa mazoea bora kwa </w:t>
            </w:r>
            <w:r w:rsidR="008F5361">
              <w:rPr>
                <w:sz w:val="22"/>
              </w:rPr>
              <w:t xml:space="preserve">wasimamizi </w:t>
            </w:r>
            <w:r>
              <w:rPr>
                <w:sz w:val="22"/>
              </w:rPr>
              <w:t>na wafanyikazi wa kuzuia kujiua na baada ya kujiua.  </w:t>
            </w:r>
          </w:p>
        </w:tc>
        <w:tc>
          <w:tcPr>
            <w:tcW w:w="996" w:type="pct"/>
          </w:tcPr>
          <w:p w14:paraId="0A4582C5" w14:textId="77777777" w:rsidR="00FF401B" w:rsidRPr="001E64E9" w:rsidRDefault="00FF401B" w:rsidP="007E62A0">
            <w:pPr>
              <w:pStyle w:val="Bullet"/>
              <w:numPr>
                <w:ilvl w:val="0"/>
                <w:numId w:val="0"/>
              </w:numPr>
              <w:jc w:val="right"/>
              <w:rPr>
                <w:rFonts w:cstheme="minorHAnsi"/>
                <w:sz w:val="22"/>
                <w:szCs w:val="22"/>
              </w:rPr>
            </w:pPr>
            <w:r>
              <w:rPr>
                <w:sz w:val="22"/>
              </w:rPr>
              <w:t>Kufikia 30 Juni 2026</w:t>
            </w:r>
          </w:p>
        </w:tc>
      </w:tr>
      <w:tr w:rsidR="00FF401B" w:rsidRPr="001E64E9" w14:paraId="5F75403C" w14:textId="77777777" w:rsidTr="001E64E9">
        <w:tc>
          <w:tcPr>
            <w:tcW w:w="4004" w:type="pct"/>
          </w:tcPr>
          <w:p w14:paraId="1FEC21B4"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Kuchapisha mfumo wa kitaifa wa msingi wa uwezo kwa wafanyakazi, jamii, na familia na wanafamilia. </w:t>
            </w:r>
          </w:p>
        </w:tc>
        <w:tc>
          <w:tcPr>
            <w:tcW w:w="996" w:type="pct"/>
          </w:tcPr>
          <w:p w14:paraId="40D5A705" w14:textId="77777777" w:rsidR="00FF401B" w:rsidRPr="001E64E9" w:rsidRDefault="00FF401B" w:rsidP="007E62A0">
            <w:pPr>
              <w:pStyle w:val="Bullet"/>
              <w:numPr>
                <w:ilvl w:val="0"/>
                <w:numId w:val="0"/>
              </w:numPr>
              <w:jc w:val="right"/>
              <w:rPr>
                <w:rFonts w:cstheme="minorHAnsi"/>
                <w:sz w:val="22"/>
                <w:szCs w:val="22"/>
              </w:rPr>
            </w:pPr>
            <w:r>
              <w:rPr>
                <w:sz w:val="22"/>
              </w:rPr>
              <w:t>Kufikia 30 Juni 2026</w:t>
            </w:r>
          </w:p>
        </w:tc>
      </w:tr>
      <w:tr w:rsidR="00FF401B" w:rsidRPr="001E64E9" w14:paraId="04FC56EC" w14:textId="77777777" w:rsidTr="001E64E9">
        <w:tc>
          <w:tcPr>
            <w:tcW w:w="4004" w:type="pct"/>
          </w:tcPr>
          <w:p w14:paraId="302E1A56" w14:textId="2E0D57F2" w:rsidR="00FF401B" w:rsidRPr="001E64E9" w:rsidRDefault="00FF401B">
            <w:pPr>
              <w:pStyle w:val="Bullet"/>
              <w:spacing w:before="90" w:after="0" w:line="264" w:lineRule="auto"/>
              <w:ind w:left="284" w:hanging="284"/>
              <w:rPr>
                <w:rFonts w:cstheme="minorHAnsi"/>
                <w:sz w:val="22"/>
                <w:szCs w:val="22"/>
              </w:rPr>
            </w:pPr>
            <w:r>
              <w:rPr>
                <w:sz w:val="22"/>
              </w:rPr>
              <w:t xml:space="preserve">Kuendeleza na kuchapisha miongozo iliyoimarishwa kwa wataalamu wa afya juu ya kutathmini na kusaidia watu ambao wanaweza kujiua au </w:t>
            </w:r>
            <w:r w:rsidR="008F5361">
              <w:rPr>
                <w:sz w:val="22"/>
              </w:rPr>
              <w:t>walio na wasiwasi w</w:t>
            </w:r>
            <w:r>
              <w:rPr>
                <w:sz w:val="22"/>
              </w:rPr>
              <w:t>a kujiua.  </w:t>
            </w:r>
          </w:p>
        </w:tc>
        <w:tc>
          <w:tcPr>
            <w:tcW w:w="996" w:type="pct"/>
          </w:tcPr>
          <w:p w14:paraId="73B5153A" w14:textId="77777777" w:rsidR="00FF401B" w:rsidRPr="001E64E9" w:rsidRDefault="00FF401B" w:rsidP="007E62A0">
            <w:pPr>
              <w:pStyle w:val="Bullet"/>
              <w:numPr>
                <w:ilvl w:val="0"/>
                <w:numId w:val="0"/>
              </w:numPr>
              <w:jc w:val="right"/>
              <w:rPr>
                <w:rFonts w:cstheme="minorHAnsi"/>
                <w:sz w:val="22"/>
                <w:szCs w:val="22"/>
              </w:rPr>
            </w:pPr>
            <w:r>
              <w:rPr>
                <w:sz w:val="22"/>
              </w:rPr>
              <w:t>Kufikia 30 Juni 2028</w:t>
            </w:r>
          </w:p>
        </w:tc>
      </w:tr>
    </w:tbl>
    <w:p w14:paraId="37D0DB92" w14:textId="77777777" w:rsidR="000D18C4" w:rsidRPr="00741DEB" w:rsidRDefault="000D18C4" w:rsidP="00FF401B">
      <w:pPr>
        <w:pStyle w:val="Heading3"/>
        <w:rPr>
          <w:rFonts w:asciiTheme="minorHAnsi" w:hAnsiTheme="minorHAnsi" w:cstheme="minorHAnsi"/>
        </w:rPr>
      </w:pPr>
    </w:p>
    <w:p w14:paraId="61D55D6E" w14:textId="33B4E54E" w:rsidR="00FF401B" w:rsidRPr="00741DEB" w:rsidRDefault="00FF401B" w:rsidP="000D18C4">
      <w:pPr>
        <w:pStyle w:val="Heading3"/>
        <w:rPr>
          <w:rFonts w:asciiTheme="minorHAnsi" w:hAnsiTheme="minorHAnsi" w:cstheme="minorHAnsi"/>
        </w:rPr>
      </w:pPr>
      <w:r>
        <w:rPr>
          <w:rFonts w:asciiTheme="minorHAnsi" w:hAnsiTheme="minorHAnsi"/>
        </w:rPr>
        <w:t xml:space="preserve">3: Imarisha kuzingatia kuzuia na kuingilia kati mapema </w:t>
      </w:r>
    </w:p>
    <w:tbl>
      <w:tblPr>
        <w:tblStyle w:val="TableGrid"/>
        <w:tblW w:w="5007" w:type="pct"/>
        <w:tblInd w:w="-5" w:type="dxa"/>
        <w:tblLook w:val="04A0" w:firstRow="1" w:lastRow="0" w:firstColumn="1" w:lastColumn="0" w:noHBand="0" w:noVBand="1"/>
      </w:tblPr>
      <w:tblGrid>
        <w:gridCol w:w="7230"/>
        <w:gridCol w:w="1799"/>
      </w:tblGrid>
      <w:tr w:rsidR="00FF401B" w:rsidRPr="001E64E9" w14:paraId="37612775" w14:textId="77777777" w:rsidTr="001E64E9">
        <w:trPr>
          <w:tblHeader/>
        </w:trPr>
        <w:tc>
          <w:tcPr>
            <w:tcW w:w="4004" w:type="pct"/>
          </w:tcPr>
          <w:p w14:paraId="516E1D00"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Hatua iliyopendekezwa</w:t>
            </w:r>
          </w:p>
        </w:tc>
        <w:tc>
          <w:tcPr>
            <w:tcW w:w="996" w:type="pct"/>
          </w:tcPr>
          <w:p w14:paraId="085B7341"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Tarehe iliyokamilika</w:t>
            </w:r>
          </w:p>
        </w:tc>
      </w:tr>
      <w:tr w:rsidR="00FF401B" w:rsidRPr="001E64E9" w14:paraId="51ACBF09" w14:textId="77777777" w:rsidTr="001E64E9">
        <w:tc>
          <w:tcPr>
            <w:tcW w:w="4004" w:type="pct"/>
          </w:tcPr>
          <w:p w14:paraId="253378BD"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Kuwekeza katika kuboresha huduma za dharura, mapumziko au kupona kwa shida kwa vijana katika angalau mikoa miwili.</w:t>
            </w:r>
          </w:p>
        </w:tc>
        <w:tc>
          <w:tcPr>
            <w:tcW w:w="996" w:type="pct"/>
          </w:tcPr>
          <w:p w14:paraId="42ABBE35" w14:textId="77777777" w:rsidR="00FF401B" w:rsidRPr="001E64E9" w:rsidRDefault="00FF401B" w:rsidP="007E62A0">
            <w:pPr>
              <w:pStyle w:val="Bullet"/>
              <w:numPr>
                <w:ilvl w:val="0"/>
                <w:numId w:val="0"/>
              </w:numPr>
              <w:jc w:val="right"/>
              <w:rPr>
                <w:rFonts w:cstheme="minorHAnsi"/>
                <w:sz w:val="22"/>
                <w:szCs w:val="22"/>
              </w:rPr>
            </w:pPr>
            <w:r>
              <w:rPr>
                <w:sz w:val="22"/>
              </w:rPr>
              <w:t>Kufikia 30 Juni 2025</w:t>
            </w:r>
          </w:p>
        </w:tc>
      </w:tr>
      <w:tr w:rsidR="00FF401B" w:rsidRPr="001E64E9" w14:paraId="4DD89034" w14:textId="77777777" w:rsidTr="001E64E9">
        <w:tc>
          <w:tcPr>
            <w:tcW w:w="4004" w:type="pct"/>
          </w:tcPr>
          <w:p w14:paraId="6B29968E"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Kuzindua kampeni mpya ya kukuza ustawi ambayo inajumuisha rasilimali zinazolengwa kwa vijana. </w:t>
            </w:r>
          </w:p>
        </w:tc>
        <w:tc>
          <w:tcPr>
            <w:tcW w:w="996" w:type="pct"/>
          </w:tcPr>
          <w:p w14:paraId="3581C112" w14:textId="77777777" w:rsidR="00FF401B" w:rsidRPr="001E64E9" w:rsidRDefault="00FF401B" w:rsidP="007E62A0">
            <w:pPr>
              <w:pStyle w:val="Bullet"/>
              <w:numPr>
                <w:ilvl w:val="0"/>
                <w:numId w:val="0"/>
              </w:numPr>
              <w:jc w:val="right"/>
              <w:rPr>
                <w:rFonts w:cstheme="minorHAnsi"/>
                <w:sz w:val="22"/>
                <w:szCs w:val="22"/>
              </w:rPr>
            </w:pPr>
            <w:r>
              <w:rPr>
                <w:sz w:val="22"/>
              </w:rPr>
              <w:t>Kufikia 31 Julai 2025</w:t>
            </w:r>
          </w:p>
        </w:tc>
      </w:tr>
      <w:tr w:rsidR="00FF401B" w:rsidRPr="001E64E9" w14:paraId="72860E5D" w14:textId="77777777" w:rsidTr="001E64E9">
        <w:tc>
          <w:tcPr>
            <w:tcW w:w="4004" w:type="pct"/>
          </w:tcPr>
          <w:p w14:paraId="0820EB5E" w14:textId="50F3B142" w:rsidR="00FF401B" w:rsidRPr="001E64E9" w:rsidRDefault="00332021" w:rsidP="00FF401B">
            <w:pPr>
              <w:pStyle w:val="Bullet"/>
              <w:spacing w:before="90" w:after="0" w:line="264" w:lineRule="auto"/>
              <w:ind w:left="284" w:hanging="284"/>
              <w:rPr>
                <w:rFonts w:cstheme="minorHAnsi"/>
                <w:sz w:val="22"/>
                <w:szCs w:val="22"/>
              </w:rPr>
            </w:pPr>
            <w:r w:rsidRPr="00332021">
              <w:rPr>
                <w:sz w:val="22"/>
              </w:rPr>
              <w:t>Kuendeleza na kutekeleza uchunguzi wa kitaifa wa pombe na programu wa muda mfupi wa uingiliaji ambao unajumuisha mambo ya kuzuia kujiua.</w:t>
            </w:r>
          </w:p>
        </w:tc>
        <w:tc>
          <w:tcPr>
            <w:tcW w:w="996" w:type="pct"/>
          </w:tcPr>
          <w:p w14:paraId="71F22BC5" w14:textId="77777777" w:rsidR="00FF401B" w:rsidRPr="001E64E9" w:rsidRDefault="00FF401B" w:rsidP="007E62A0">
            <w:pPr>
              <w:pStyle w:val="Bullet"/>
              <w:numPr>
                <w:ilvl w:val="0"/>
                <w:numId w:val="0"/>
              </w:numPr>
              <w:jc w:val="right"/>
              <w:rPr>
                <w:rFonts w:cstheme="minorHAnsi"/>
                <w:sz w:val="22"/>
                <w:szCs w:val="22"/>
              </w:rPr>
            </w:pPr>
            <w:r>
              <w:rPr>
                <w:sz w:val="22"/>
              </w:rPr>
              <w:t>Kufikia 30 Juni 2027</w:t>
            </w:r>
          </w:p>
        </w:tc>
      </w:tr>
      <w:tr w:rsidR="00FF401B" w:rsidRPr="001E64E9" w14:paraId="0FC60EB2" w14:textId="77777777" w:rsidTr="001E64E9">
        <w:tc>
          <w:tcPr>
            <w:tcW w:w="4004" w:type="pct"/>
          </w:tcPr>
          <w:p w14:paraId="1BE1F1E9"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Kuendeleza na kuchapisha miongozo ya vyombo vya habari vya kujiua na rasilimali za ziada kwa aina tofauti za vyombo vya habari.  </w:t>
            </w:r>
          </w:p>
        </w:tc>
        <w:tc>
          <w:tcPr>
            <w:tcW w:w="996" w:type="pct"/>
          </w:tcPr>
          <w:p w14:paraId="460A2F51" w14:textId="77777777" w:rsidR="00FF401B" w:rsidRPr="001E64E9" w:rsidRDefault="00FF401B" w:rsidP="007E62A0">
            <w:pPr>
              <w:pStyle w:val="Bullet"/>
              <w:numPr>
                <w:ilvl w:val="0"/>
                <w:numId w:val="0"/>
              </w:numPr>
              <w:jc w:val="right"/>
              <w:rPr>
                <w:rFonts w:cstheme="minorHAnsi"/>
                <w:sz w:val="22"/>
                <w:szCs w:val="22"/>
              </w:rPr>
            </w:pPr>
            <w:r>
              <w:rPr>
                <w:sz w:val="22"/>
              </w:rPr>
              <w:t>Kufikia 31 Desemba 2028</w:t>
            </w:r>
          </w:p>
        </w:tc>
      </w:tr>
      <w:tr w:rsidR="00FF401B" w:rsidRPr="001E64E9" w14:paraId="348A18AC" w14:textId="77777777" w:rsidTr="001E64E9">
        <w:tc>
          <w:tcPr>
            <w:tcW w:w="4004" w:type="pct"/>
          </w:tcPr>
          <w:p w14:paraId="3C2E7517"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Kujenga mazingira salama katika hospitali za afya ya akili na vifaa vya kulevya kwa kuendeleza kazi ya kurekebisha na kupunguza makao za kujiua. </w:t>
            </w:r>
          </w:p>
        </w:tc>
        <w:tc>
          <w:tcPr>
            <w:tcW w:w="996" w:type="pct"/>
          </w:tcPr>
          <w:p w14:paraId="5D4ED68F" w14:textId="77777777" w:rsidR="00FF401B" w:rsidRPr="001E64E9" w:rsidRDefault="00FF401B" w:rsidP="007E62A0">
            <w:pPr>
              <w:pStyle w:val="Bullet"/>
              <w:numPr>
                <w:ilvl w:val="0"/>
                <w:numId w:val="0"/>
              </w:numPr>
              <w:jc w:val="right"/>
              <w:rPr>
                <w:rFonts w:cstheme="minorHAnsi"/>
                <w:sz w:val="22"/>
                <w:szCs w:val="22"/>
              </w:rPr>
            </w:pPr>
            <w:r>
              <w:rPr>
                <w:sz w:val="22"/>
              </w:rPr>
              <w:t>Kufikia 30 Juni 2029</w:t>
            </w:r>
          </w:p>
        </w:tc>
      </w:tr>
    </w:tbl>
    <w:p w14:paraId="340409D4" w14:textId="77777777" w:rsidR="000D18C4" w:rsidRPr="00741DEB" w:rsidRDefault="000D18C4" w:rsidP="00FF401B">
      <w:pPr>
        <w:pStyle w:val="Heading3"/>
        <w:rPr>
          <w:rFonts w:asciiTheme="minorHAnsi" w:hAnsiTheme="minorHAnsi" w:cstheme="minorHAnsi"/>
        </w:rPr>
      </w:pPr>
    </w:p>
    <w:p w14:paraId="2E021BA5" w14:textId="62E451AF" w:rsidR="00FF401B" w:rsidRPr="00741DEB" w:rsidRDefault="00FF401B" w:rsidP="000D18C4">
      <w:pPr>
        <w:pStyle w:val="Heading3"/>
        <w:rPr>
          <w:rFonts w:asciiTheme="minorHAnsi" w:hAnsiTheme="minorHAnsi" w:cstheme="minorHAnsi"/>
        </w:rPr>
      </w:pPr>
      <w:r>
        <w:rPr>
          <w:rFonts w:asciiTheme="minorHAnsi" w:hAnsiTheme="minorHAnsi"/>
        </w:rPr>
        <w:t xml:space="preserve">4: Kuboresha ufanisi wa kuzuia kujiua na uelewa wetu wa kujiua  </w:t>
      </w:r>
    </w:p>
    <w:tbl>
      <w:tblPr>
        <w:tblStyle w:val="TableGrid"/>
        <w:tblW w:w="5007" w:type="pct"/>
        <w:tblInd w:w="-5" w:type="dxa"/>
        <w:tblLook w:val="04A0" w:firstRow="1" w:lastRow="0" w:firstColumn="1" w:lastColumn="0" w:noHBand="0" w:noVBand="1"/>
      </w:tblPr>
      <w:tblGrid>
        <w:gridCol w:w="7230"/>
        <w:gridCol w:w="1799"/>
      </w:tblGrid>
      <w:tr w:rsidR="00FF401B" w:rsidRPr="001E64E9" w14:paraId="1460DFE6" w14:textId="77777777" w:rsidTr="001E64E9">
        <w:trPr>
          <w:tblHeader/>
        </w:trPr>
        <w:tc>
          <w:tcPr>
            <w:tcW w:w="4004" w:type="pct"/>
          </w:tcPr>
          <w:p w14:paraId="21EB4F9A"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Hatua iliyopendekezwa</w:t>
            </w:r>
          </w:p>
        </w:tc>
        <w:tc>
          <w:tcPr>
            <w:tcW w:w="996" w:type="pct"/>
          </w:tcPr>
          <w:p w14:paraId="5B59856F"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Tarehe iliyokamilika</w:t>
            </w:r>
          </w:p>
        </w:tc>
      </w:tr>
      <w:tr w:rsidR="00FF401B" w:rsidRPr="001E64E9" w14:paraId="267E601D" w14:textId="77777777" w:rsidTr="001E64E9">
        <w:tc>
          <w:tcPr>
            <w:tcW w:w="4004" w:type="pct"/>
          </w:tcPr>
          <w:p w14:paraId="637A3599"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Tathmini ufanisi wa Vote Health huduma za kuzuia kujiua uwekezaji na kutekeleza mabadiliko yoyote. </w:t>
            </w:r>
          </w:p>
        </w:tc>
        <w:tc>
          <w:tcPr>
            <w:tcW w:w="996" w:type="pct"/>
          </w:tcPr>
          <w:p w14:paraId="62670D84" w14:textId="77777777" w:rsidR="00FF401B" w:rsidRPr="001E64E9" w:rsidRDefault="00FF401B" w:rsidP="007E62A0">
            <w:pPr>
              <w:pStyle w:val="Bullet"/>
              <w:numPr>
                <w:ilvl w:val="0"/>
                <w:numId w:val="0"/>
              </w:numPr>
              <w:jc w:val="right"/>
              <w:rPr>
                <w:rFonts w:cstheme="minorHAnsi"/>
                <w:sz w:val="22"/>
                <w:szCs w:val="22"/>
              </w:rPr>
            </w:pPr>
            <w:r>
              <w:rPr>
                <w:sz w:val="22"/>
              </w:rPr>
              <w:t>Kufikia 30 Juni 2026</w:t>
            </w:r>
          </w:p>
        </w:tc>
      </w:tr>
      <w:tr w:rsidR="00FF401B" w:rsidRPr="001E64E9" w14:paraId="110ED7F7" w14:textId="77777777" w:rsidTr="001E64E9">
        <w:tc>
          <w:tcPr>
            <w:tcW w:w="4004" w:type="pct"/>
          </w:tcPr>
          <w:p w14:paraId="593A063C" w14:textId="77777777" w:rsidR="00FF401B" w:rsidRPr="001E64E9" w:rsidRDefault="00FF401B" w:rsidP="00FF401B">
            <w:pPr>
              <w:pStyle w:val="Bullet"/>
              <w:spacing w:before="90" w:after="0" w:line="264" w:lineRule="auto"/>
              <w:ind w:left="284" w:hanging="284"/>
              <w:rPr>
                <w:rFonts w:cstheme="minorHAnsi"/>
                <w:sz w:val="22"/>
                <w:szCs w:val="22"/>
              </w:rPr>
            </w:pPr>
            <w:r>
              <w:rPr>
                <w:sz w:val="22"/>
              </w:rPr>
              <w:t>Kuchunguza chaguzi za kupima chombo cha data ya kujiua kwa wakati halisi ili kutoa data ya kujiua kwa wakati na kuboreshwa</w:t>
            </w:r>
          </w:p>
        </w:tc>
        <w:tc>
          <w:tcPr>
            <w:tcW w:w="996" w:type="pct"/>
          </w:tcPr>
          <w:p w14:paraId="220E1380" w14:textId="77777777" w:rsidR="00FF401B" w:rsidRPr="001E64E9" w:rsidRDefault="00FF401B" w:rsidP="007E62A0">
            <w:pPr>
              <w:pStyle w:val="Bullet"/>
              <w:numPr>
                <w:ilvl w:val="0"/>
                <w:numId w:val="0"/>
              </w:numPr>
              <w:jc w:val="right"/>
              <w:rPr>
                <w:rFonts w:cstheme="minorHAnsi"/>
                <w:sz w:val="22"/>
                <w:szCs w:val="22"/>
              </w:rPr>
            </w:pPr>
            <w:r>
              <w:rPr>
                <w:sz w:val="22"/>
              </w:rPr>
              <w:t>Kufikia 31 Desemba 2026</w:t>
            </w:r>
          </w:p>
        </w:tc>
      </w:tr>
    </w:tbl>
    <w:p w14:paraId="017FD6A2" w14:textId="77777777" w:rsidR="00FF401B" w:rsidRPr="00741DEB" w:rsidRDefault="00FF401B" w:rsidP="00FF401B">
      <w:pPr>
        <w:pStyle w:val="Heading2"/>
        <w:rPr>
          <w:rFonts w:asciiTheme="minorHAnsi" w:hAnsiTheme="minorHAnsi" w:cstheme="minorHAnsi"/>
        </w:rPr>
      </w:pPr>
      <w:r>
        <w:rPr>
          <w:rFonts w:asciiTheme="minorHAnsi" w:hAnsiTheme="minorHAnsi"/>
        </w:rPr>
        <w:t xml:space="preserve">Mipango ya hatua za serikali </w:t>
      </w:r>
    </w:p>
    <w:p w14:paraId="3A2B461A" w14:textId="2FE422B8" w:rsidR="00FF401B" w:rsidRPr="00741DEB" w:rsidRDefault="00FF401B" w:rsidP="007140B1">
      <w:pPr>
        <w:pStyle w:val="Heading3"/>
        <w:rPr>
          <w:rFonts w:asciiTheme="minorHAnsi" w:hAnsiTheme="minorHAnsi" w:cstheme="minorHAnsi"/>
        </w:rPr>
      </w:pPr>
      <w:r>
        <w:rPr>
          <w:rFonts w:asciiTheme="minorHAnsi" w:hAnsiTheme="minorHAnsi"/>
        </w:rPr>
        <w:t xml:space="preserve">1: </w:t>
      </w:r>
      <w:r w:rsidR="00332021" w:rsidRPr="00332021">
        <w:rPr>
          <w:rFonts w:asciiTheme="minorHAnsi" w:hAnsiTheme="minorHAnsi"/>
        </w:rPr>
        <w:t xml:space="preserve">Boresha ufikiaji wa usaidizi ya kuzuia kujiua na baada ya kujiua </w:t>
      </w:r>
    </w:p>
    <w:tbl>
      <w:tblPr>
        <w:tblStyle w:val="TableGrid"/>
        <w:tblW w:w="5000" w:type="pct"/>
        <w:tblLook w:val="04A0" w:firstRow="1" w:lastRow="0" w:firstColumn="1" w:lastColumn="0" w:noHBand="0" w:noVBand="1"/>
      </w:tblPr>
      <w:tblGrid>
        <w:gridCol w:w="7225"/>
        <w:gridCol w:w="1791"/>
      </w:tblGrid>
      <w:tr w:rsidR="00FF401B" w:rsidRPr="001E64E9" w14:paraId="35AB8FB9" w14:textId="77777777" w:rsidTr="001E64E9">
        <w:trPr>
          <w:tblHeader/>
        </w:trPr>
        <w:tc>
          <w:tcPr>
            <w:tcW w:w="4007" w:type="pct"/>
          </w:tcPr>
          <w:p w14:paraId="292D1DE3"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Hatua iliyopendekezwa</w:t>
            </w:r>
          </w:p>
        </w:tc>
        <w:tc>
          <w:tcPr>
            <w:tcW w:w="993" w:type="pct"/>
          </w:tcPr>
          <w:p w14:paraId="42E065BB" w14:textId="77777777" w:rsidR="00FF401B" w:rsidRPr="001E64E9" w:rsidRDefault="00FF401B" w:rsidP="007E62A0">
            <w:pPr>
              <w:ind w:left="170" w:hanging="170"/>
              <w:rPr>
                <w:rFonts w:asciiTheme="minorHAnsi" w:hAnsiTheme="minorHAnsi" w:cstheme="minorHAnsi"/>
                <w:b/>
                <w:bCs/>
                <w:sz w:val="22"/>
                <w:szCs w:val="22"/>
              </w:rPr>
            </w:pPr>
            <w:r>
              <w:rPr>
                <w:rFonts w:asciiTheme="minorHAnsi" w:hAnsiTheme="minorHAnsi"/>
                <w:b/>
                <w:sz w:val="22"/>
              </w:rPr>
              <w:t>Tarehe iliyokamilika</w:t>
            </w:r>
          </w:p>
        </w:tc>
      </w:tr>
      <w:tr w:rsidR="00FF401B" w:rsidRPr="001E64E9" w14:paraId="58A75CA1" w14:textId="77777777" w:rsidTr="001E64E9">
        <w:tc>
          <w:tcPr>
            <w:tcW w:w="4007" w:type="pct"/>
          </w:tcPr>
          <w:p w14:paraId="11B58F6A" w14:textId="5E14BC57" w:rsidR="00FF401B" w:rsidRPr="001E64E9" w:rsidRDefault="00C47254" w:rsidP="00FF401B">
            <w:pPr>
              <w:pStyle w:val="Bullet"/>
              <w:spacing w:before="90" w:after="0" w:line="264" w:lineRule="auto"/>
              <w:ind w:left="284" w:hanging="284"/>
              <w:rPr>
                <w:rFonts w:cstheme="minorHAnsi"/>
                <w:sz w:val="22"/>
                <w:szCs w:val="22"/>
              </w:rPr>
            </w:pPr>
            <w:r w:rsidRPr="00C47254">
              <w:rPr>
                <w:sz w:val="22"/>
              </w:rPr>
              <w:t xml:space="preserve">Uendelezaji kamili wa michakato ya majibu ya tovuti, ya ndani baada ya kujiua katika maeneo ya magereza </w:t>
            </w:r>
            <w:r w:rsidR="00FF401B">
              <w:rPr>
                <w:sz w:val="22"/>
              </w:rPr>
              <w:t>(Idara ya Urekebishaji).</w:t>
            </w:r>
          </w:p>
        </w:tc>
        <w:tc>
          <w:tcPr>
            <w:tcW w:w="993" w:type="pct"/>
          </w:tcPr>
          <w:p w14:paraId="7D4B9BDD" w14:textId="77777777" w:rsidR="00FF401B" w:rsidRPr="001E64E9" w:rsidRDefault="00FF401B" w:rsidP="007E62A0">
            <w:pPr>
              <w:pStyle w:val="Bullet"/>
              <w:numPr>
                <w:ilvl w:val="0"/>
                <w:numId w:val="0"/>
              </w:numPr>
              <w:jc w:val="right"/>
              <w:rPr>
                <w:rFonts w:cstheme="minorHAnsi"/>
                <w:sz w:val="22"/>
                <w:szCs w:val="22"/>
              </w:rPr>
            </w:pPr>
            <w:r>
              <w:rPr>
                <w:sz w:val="22"/>
              </w:rPr>
              <w:t>Kufikia 31 Desemba 2025</w:t>
            </w:r>
          </w:p>
        </w:tc>
      </w:tr>
    </w:tbl>
    <w:p w14:paraId="334E2F29" w14:textId="77777777" w:rsidR="004A154A" w:rsidRPr="00741DEB" w:rsidRDefault="004A154A" w:rsidP="007140B1">
      <w:pPr>
        <w:pStyle w:val="Heading3"/>
        <w:rPr>
          <w:rFonts w:asciiTheme="minorHAnsi" w:hAnsiTheme="minorHAnsi" w:cstheme="minorHAnsi"/>
        </w:rPr>
      </w:pPr>
    </w:p>
    <w:p w14:paraId="6F7D5D33" w14:textId="5C8A4B17" w:rsidR="00FF401B" w:rsidRPr="00741DEB" w:rsidRDefault="00FF401B" w:rsidP="007140B1">
      <w:pPr>
        <w:pStyle w:val="Heading3"/>
        <w:rPr>
          <w:rFonts w:asciiTheme="minorHAnsi" w:hAnsiTheme="minorHAnsi" w:cstheme="minorHAnsi"/>
        </w:rPr>
      </w:pPr>
      <w:r>
        <w:rPr>
          <w:rFonts w:asciiTheme="minorHAnsi" w:hAnsiTheme="minorHAnsi"/>
        </w:rPr>
        <w:t xml:space="preserve">Kukuza wafanyakazi waliyo na uwezo na kujiamini </w:t>
      </w:r>
      <w:r w:rsidR="00C47254">
        <w:rPr>
          <w:rFonts w:asciiTheme="minorHAnsi" w:hAnsiTheme="minorHAnsi"/>
        </w:rPr>
        <w:t xml:space="preserve">wa </w:t>
      </w:r>
      <w:r>
        <w:rPr>
          <w:rFonts w:asciiTheme="minorHAnsi" w:hAnsiTheme="minorHAnsi"/>
        </w:rPr>
        <w:t xml:space="preserve">kuzuia kujiua na baada ya kujiua  </w:t>
      </w:r>
    </w:p>
    <w:tbl>
      <w:tblPr>
        <w:tblStyle w:val="TableGrid"/>
        <w:tblW w:w="5007" w:type="pct"/>
        <w:tblInd w:w="-5" w:type="dxa"/>
        <w:tblLook w:val="04A0" w:firstRow="1" w:lastRow="0" w:firstColumn="1" w:lastColumn="0" w:noHBand="0" w:noVBand="1"/>
      </w:tblPr>
      <w:tblGrid>
        <w:gridCol w:w="7230"/>
        <w:gridCol w:w="1799"/>
      </w:tblGrid>
      <w:tr w:rsidR="00FF401B" w:rsidRPr="00C128EF" w14:paraId="3EA2EC83" w14:textId="77777777" w:rsidTr="001E64E9">
        <w:trPr>
          <w:tblHeader/>
        </w:trPr>
        <w:tc>
          <w:tcPr>
            <w:tcW w:w="4004" w:type="pct"/>
          </w:tcPr>
          <w:p w14:paraId="376D5322"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Hatua iliyopendekezwa</w:t>
            </w:r>
          </w:p>
        </w:tc>
        <w:tc>
          <w:tcPr>
            <w:tcW w:w="996" w:type="pct"/>
          </w:tcPr>
          <w:p w14:paraId="781AFE83"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Tarehe iliyokamilika</w:t>
            </w:r>
          </w:p>
        </w:tc>
      </w:tr>
      <w:tr w:rsidR="00FF401B" w:rsidRPr="00C128EF" w14:paraId="1117EB20" w14:textId="77777777" w:rsidTr="001E64E9">
        <w:tc>
          <w:tcPr>
            <w:tcW w:w="4004" w:type="pct"/>
          </w:tcPr>
          <w:p w14:paraId="0B58406C"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Kuongeza maarifa na mazoea ya kuzuia kujiua ya wafanyakazi wa Huduma za Kukabiliana na Unyanyasaji wa Wazee (Wizara ya Maendeleo ya Jamii).</w:t>
            </w:r>
          </w:p>
        </w:tc>
        <w:tc>
          <w:tcPr>
            <w:tcW w:w="996" w:type="pct"/>
          </w:tcPr>
          <w:p w14:paraId="53AC391D" w14:textId="77777777" w:rsidR="00FF401B" w:rsidRPr="00C128EF" w:rsidRDefault="00FF401B" w:rsidP="007E62A0">
            <w:pPr>
              <w:pStyle w:val="Bullet"/>
              <w:numPr>
                <w:ilvl w:val="0"/>
                <w:numId w:val="0"/>
              </w:numPr>
              <w:jc w:val="right"/>
              <w:rPr>
                <w:rFonts w:cstheme="minorHAnsi"/>
                <w:sz w:val="22"/>
                <w:szCs w:val="22"/>
              </w:rPr>
            </w:pPr>
            <w:r>
              <w:rPr>
                <w:sz w:val="22"/>
              </w:rPr>
              <w:t>Kufikia 30 Juni 2028</w:t>
            </w:r>
          </w:p>
        </w:tc>
      </w:tr>
      <w:tr w:rsidR="00FF401B" w:rsidRPr="00C128EF" w14:paraId="316F6A9D" w14:textId="77777777" w:rsidTr="001E64E9">
        <w:tc>
          <w:tcPr>
            <w:tcW w:w="4004" w:type="pct"/>
          </w:tcPr>
          <w:p w14:paraId="5DA3D914" w14:textId="406FAA5D" w:rsidR="00FF401B" w:rsidRPr="00C128EF" w:rsidRDefault="00FF401B">
            <w:pPr>
              <w:pStyle w:val="Bullet"/>
              <w:spacing w:before="90" w:after="0" w:line="264" w:lineRule="auto"/>
              <w:ind w:left="284" w:hanging="284"/>
              <w:rPr>
                <w:rFonts w:cstheme="minorHAnsi"/>
                <w:sz w:val="22"/>
                <w:szCs w:val="22"/>
              </w:rPr>
            </w:pPr>
            <w:r>
              <w:rPr>
                <w:sz w:val="22"/>
              </w:rPr>
              <w:t xml:space="preserve">Sasisha mwongozo wa mazoezi na msaada kwa wafanyakazi wa kijamii na watunzaji wanaofanya kazi na watoto na vijana ambao wanaweza kujiua au </w:t>
            </w:r>
            <w:r w:rsidR="00C47254">
              <w:rPr>
                <w:sz w:val="22"/>
              </w:rPr>
              <w:t>walio na wasiwasi</w:t>
            </w:r>
            <w:r>
              <w:rPr>
                <w:sz w:val="22"/>
              </w:rPr>
              <w:t xml:space="preserve"> ya kujiua (maisha ya mapema).</w:t>
            </w:r>
          </w:p>
        </w:tc>
        <w:tc>
          <w:tcPr>
            <w:tcW w:w="996" w:type="pct"/>
          </w:tcPr>
          <w:p w14:paraId="71CBC5C7" w14:textId="77777777" w:rsidR="00FF401B" w:rsidRPr="00C128EF" w:rsidRDefault="00FF401B" w:rsidP="007E62A0">
            <w:pPr>
              <w:pStyle w:val="Bullet"/>
              <w:numPr>
                <w:ilvl w:val="0"/>
                <w:numId w:val="0"/>
              </w:numPr>
              <w:jc w:val="right"/>
              <w:rPr>
                <w:rFonts w:cstheme="minorHAnsi"/>
                <w:sz w:val="22"/>
                <w:szCs w:val="22"/>
              </w:rPr>
            </w:pPr>
            <w:r>
              <w:rPr>
                <w:sz w:val="22"/>
              </w:rPr>
              <w:t>Kufikia 30 Juni 2029</w:t>
            </w:r>
          </w:p>
        </w:tc>
      </w:tr>
    </w:tbl>
    <w:p w14:paraId="16F23BDD" w14:textId="77777777" w:rsidR="00741DEB" w:rsidRPr="00741DEB" w:rsidRDefault="00741DEB" w:rsidP="004A154A">
      <w:pPr>
        <w:pStyle w:val="Heading3"/>
        <w:rPr>
          <w:rFonts w:asciiTheme="minorHAnsi" w:hAnsiTheme="minorHAnsi" w:cstheme="minorHAnsi"/>
        </w:rPr>
      </w:pPr>
    </w:p>
    <w:p w14:paraId="5EA0FC20" w14:textId="3010FE22" w:rsidR="00FF401B" w:rsidRPr="00741DEB" w:rsidRDefault="00FF401B" w:rsidP="004A154A">
      <w:pPr>
        <w:pStyle w:val="Heading3"/>
        <w:rPr>
          <w:rFonts w:asciiTheme="minorHAnsi" w:hAnsiTheme="minorHAnsi" w:cstheme="minorHAnsi"/>
        </w:rPr>
      </w:pPr>
      <w:r>
        <w:rPr>
          <w:rFonts w:asciiTheme="minorHAnsi" w:hAnsiTheme="minorHAnsi"/>
        </w:rPr>
        <w:t xml:space="preserve">3: Imarisha kuzingatia kuzuia na kuingilia kati mapema </w:t>
      </w:r>
    </w:p>
    <w:tbl>
      <w:tblPr>
        <w:tblStyle w:val="TableGrid"/>
        <w:tblW w:w="5007" w:type="pct"/>
        <w:tblInd w:w="-5" w:type="dxa"/>
        <w:tblLook w:val="04A0" w:firstRow="1" w:lastRow="0" w:firstColumn="1" w:lastColumn="0" w:noHBand="0" w:noVBand="1"/>
      </w:tblPr>
      <w:tblGrid>
        <w:gridCol w:w="6956"/>
        <w:gridCol w:w="2073"/>
      </w:tblGrid>
      <w:tr w:rsidR="00FF401B" w:rsidRPr="00C128EF" w14:paraId="2305C423" w14:textId="77777777" w:rsidTr="007E62A0">
        <w:trPr>
          <w:tblHeader/>
        </w:trPr>
        <w:tc>
          <w:tcPr>
            <w:tcW w:w="3852" w:type="pct"/>
          </w:tcPr>
          <w:p w14:paraId="60F52ED7"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Hatua iliyopendekezwa</w:t>
            </w:r>
          </w:p>
        </w:tc>
        <w:tc>
          <w:tcPr>
            <w:tcW w:w="1148" w:type="pct"/>
          </w:tcPr>
          <w:p w14:paraId="3912D86E"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Tarehe iliyokamilika</w:t>
            </w:r>
          </w:p>
        </w:tc>
      </w:tr>
      <w:tr w:rsidR="00FF401B" w:rsidRPr="00C128EF" w14:paraId="2094FE73" w14:textId="77777777" w:rsidTr="007E62A0">
        <w:tc>
          <w:tcPr>
            <w:tcW w:w="3852" w:type="pct"/>
          </w:tcPr>
          <w:p w14:paraId="2F4233D4"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Kukuza ustawi na kuimarisha misaada inayotolewa na shule kwa wanafunzi wanaopata shida au kujiumiza na baada ya kujiua (Wizara ya Elimu).</w:t>
            </w:r>
          </w:p>
        </w:tc>
        <w:tc>
          <w:tcPr>
            <w:tcW w:w="1148" w:type="pct"/>
          </w:tcPr>
          <w:p w14:paraId="19CB1FF0" w14:textId="77777777" w:rsidR="00FF401B" w:rsidRPr="00C128EF" w:rsidRDefault="00FF401B" w:rsidP="007E62A0">
            <w:pPr>
              <w:pStyle w:val="Bullet"/>
              <w:numPr>
                <w:ilvl w:val="0"/>
                <w:numId w:val="0"/>
              </w:numPr>
              <w:jc w:val="right"/>
              <w:rPr>
                <w:rFonts w:cstheme="minorHAnsi"/>
                <w:sz w:val="22"/>
                <w:szCs w:val="22"/>
              </w:rPr>
            </w:pPr>
            <w:r>
              <w:rPr>
                <w:sz w:val="22"/>
              </w:rPr>
              <w:t>Kufikia 30 Juni 2026</w:t>
            </w:r>
          </w:p>
        </w:tc>
      </w:tr>
      <w:tr w:rsidR="00FF401B" w:rsidRPr="00C128EF" w14:paraId="10A6DD58" w14:textId="77777777" w:rsidTr="007E62A0">
        <w:tc>
          <w:tcPr>
            <w:tcW w:w="3852" w:type="pct"/>
          </w:tcPr>
          <w:p w14:paraId="0EF24777"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Kujenga mazingira salama katika vituo vya kurekebisha kupitia kazi ya kurekebisha na kupunguza makao za kujiua. ( Idara ya Kurekebisha).</w:t>
            </w:r>
          </w:p>
        </w:tc>
        <w:tc>
          <w:tcPr>
            <w:tcW w:w="1148" w:type="pct"/>
          </w:tcPr>
          <w:p w14:paraId="7FAC50DB" w14:textId="77777777" w:rsidR="00FF401B" w:rsidRPr="00C128EF" w:rsidRDefault="00FF401B" w:rsidP="007E62A0">
            <w:pPr>
              <w:pStyle w:val="Bullet"/>
              <w:numPr>
                <w:ilvl w:val="0"/>
                <w:numId w:val="0"/>
              </w:numPr>
              <w:jc w:val="right"/>
              <w:rPr>
                <w:rFonts w:cstheme="minorHAnsi"/>
                <w:sz w:val="22"/>
                <w:szCs w:val="22"/>
              </w:rPr>
            </w:pPr>
            <w:r>
              <w:rPr>
                <w:sz w:val="22"/>
              </w:rPr>
              <w:t>Kufikia 30 Juni 2028</w:t>
            </w:r>
          </w:p>
        </w:tc>
      </w:tr>
    </w:tbl>
    <w:p w14:paraId="4B0F7F5F" w14:textId="77777777" w:rsidR="004A154A" w:rsidRPr="00741DEB" w:rsidRDefault="004A154A" w:rsidP="004A154A">
      <w:pPr>
        <w:pStyle w:val="Heading3"/>
        <w:rPr>
          <w:rFonts w:asciiTheme="minorHAnsi" w:hAnsiTheme="minorHAnsi" w:cstheme="minorHAnsi"/>
        </w:rPr>
      </w:pPr>
    </w:p>
    <w:p w14:paraId="7EF28098" w14:textId="3649DF7D" w:rsidR="00FF401B" w:rsidRPr="00741DEB" w:rsidRDefault="00FF401B" w:rsidP="004A154A">
      <w:pPr>
        <w:pStyle w:val="Heading3"/>
        <w:rPr>
          <w:rFonts w:asciiTheme="minorHAnsi" w:hAnsiTheme="minorHAnsi" w:cstheme="minorHAnsi"/>
        </w:rPr>
      </w:pPr>
      <w:r>
        <w:rPr>
          <w:rFonts w:asciiTheme="minorHAnsi" w:hAnsiTheme="minorHAnsi"/>
        </w:rPr>
        <w:t xml:space="preserve">4: Kuboresha ufanisi wa kuzuia kujiua na uelewa wetu wa kujiua  </w:t>
      </w:r>
    </w:p>
    <w:tbl>
      <w:tblPr>
        <w:tblStyle w:val="TableGrid"/>
        <w:tblW w:w="5007" w:type="pct"/>
        <w:tblInd w:w="-5" w:type="dxa"/>
        <w:tblLook w:val="04A0" w:firstRow="1" w:lastRow="0" w:firstColumn="1" w:lastColumn="0" w:noHBand="0" w:noVBand="1"/>
      </w:tblPr>
      <w:tblGrid>
        <w:gridCol w:w="6956"/>
        <w:gridCol w:w="2073"/>
      </w:tblGrid>
      <w:tr w:rsidR="00FF401B" w:rsidRPr="00741DEB" w14:paraId="28F62558" w14:textId="77777777" w:rsidTr="007E62A0">
        <w:trPr>
          <w:tblHeader/>
        </w:trPr>
        <w:tc>
          <w:tcPr>
            <w:tcW w:w="3852" w:type="pct"/>
          </w:tcPr>
          <w:p w14:paraId="383C30F2"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Hatua iliyopendekezwa</w:t>
            </w:r>
          </w:p>
        </w:tc>
        <w:tc>
          <w:tcPr>
            <w:tcW w:w="1148" w:type="pct"/>
          </w:tcPr>
          <w:p w14:paraId="782E72C7" w14:textId="77777777" w:rsidR="00FF401B" w:rsidRPr="00C128EF" w:rsidRDefault="00FF401B" w:rsidP="007E62A0">
            <w:pPr>
              <w:ind w:left="170" w:hanging="170"/>
              <w:rPr>
                <w:rFonts w:asciiTheme="minorHAnsi" w:hAnsiTheme="minorHAnsi" w:cstheme="minorHAnsi"/>
                <w:b/>
                <w:bCs/>
                <w:sz w:val="22"/>
                <w:szCs w:val="22"/>
              </w:rPr>
            </w:pPr>
            <w:r>
              <w:rPr>
                <w:rFonts w:asciiTheme="minorHAnsi" w:hAnsiTheme="minorHAnsi"/>
                <w:b/>
                <w:sz w:val="22"/>
              </w:rPr>
              <w:t>Tarehe iliyokamilika</w:t>
            </w:r>
          </w:p>
        </w:tc>
      </w:tr>
      <w:tr w:rsidR="00FF401B" w:rsidRPr="00741DEB" w14:paraId="345CA735" w14:textId="77777777" w:rsidTr="007E62A0">
        <w:tc>
          <w:tcPr>
            <w:tcW w:w="3852" w:type="pct"/>
          </w:tcPr>
          <w:p w14:paraId="06036DED"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 xml:space="preserve">Kuunga mkono utafutaji wa kupima chombo cha data ya kujiua kwa wakati halisi ili kutoa data ya kujiua kwa wakati na kuboreshwa (Wizara ya Sheria). </w:t>
            </w:r>
          </w:p>
        </w:tc>
        <w:tc>
          <w:tcPr>
            <w:tcW w:w="1148" w:type="pct"/>
          </w:tcPr>
          <w:p w14:paraId="4C9CBF1D" w14:textId="77777777" w:rsidR="00FF401B" w:rsidRPr="00C128EF" w:rsidRDefault="00FF401B" w:rsidP="007E62A0">
            <w:pPr>
              <w:pStyle w:val="Bullet"/>
              <w:numPr>
                <w:ilvl w:val="0"/>
                <w:numId w:val="0"/>
              </w:numPr>
              <w:jc w:val="right"/>
              <w:rPr>
                <w:rFonts w:cstheme="minorHAnsi"/>
                <w:sz w:val="22"/>
                <w:szCs w:val="22"/>
              </w:rPr>
            </w:pPr>
            <w:r>
              <w:rPr>
                <w:sz w:val="22"/>
              </w:rPr>
              <w:t>Kufikia 31 Desemba 2026</w:t>
            </w:r>
          </w:p>
        </w:tc>
      </w:tr>
      <w:tr w:rsidR="00FF401B" w:rsidRPr="00741DEB" w14:paraId="5FC1B6BB" w14:textId="77777777" w:rsidTr="007E62A0">
        <w:tc>
          <w:tcPr>
            <w:tcW w:w="3852" w:type="pct"/>
          </w:tcPr>
          <w:p w14:paraId="618776C4" w14:textId="77777777" w:rsidR="00FF401B" w:rsidRPr="00C128EF" w:rsidRDefault="00FF401B" w:rsidP="00FF401B">
            <w:pPr>
              <w:pStyle w:val="Bullet"/>
              <w:spacing w:before="90" w:after="0" w:line="264" w:lineRule="auto"/>
              <w:ind w:left="284" w:hanging="284"/>
              <w:rPr>
                <w:rFonts w:cstheme="minorHAnsi"/>
                <w:sz w:val="22"/>
                <w:szCs w:val="22"/>
              </w:rPr>
            </w:pPr>
            <w:r>
              <w:rPr>
                <w:sz w:val="22"/>
              </w:rPr>
              <w:t>Kuboresha ufanisi wa muhtasari ya mapendekezo ya mtaalamu wa uchunguzi wa maiti kwenye mtandao (Wizara ya Sheria).</w:t>
            </w:r>
          </w:p>
        </w:tc>
        <w:tc>
          <w:tcPr>
            <w:tcW w:w="1148" w:type="pct"/>
          </w:tcPr>
          <w:p w14:paraId="24E4273B" w14:textId="77777777" w:rsidR="00FF401B" w:rsidRPr="00C128EF" w:rsidRDefault="00FF401B" w:rsidP="007E62A0">
            <w:pPr>
              <w:pStyle w:val="Bullet"/>
              <w:numPr>
                <w:ilvl w:val="0"/>
                <w:numId w:val="0"/>
              </w:numPr>
              <w:jc w:val="right"/>
              <w:rPr>
                <w:rFonts w:cstheme="minorHAnsi"/>
                <w:sz w:val="22"/>
                <w:szCs w:val="22"/>
              </w:rPr>
            </w:pPr>
            <w:r>
              <w:rPr>
                <w:sz w:val="22"/>
              </w:rPr>
              <w:t>Kufikia 30 Juni 2029</w:t>
            </w:r>
          </w:p>
        </w:tc>
      </w:tr>
    </w:tbl>
    <w:p w14:paraId="2DDDF067" w14:textId="21DE0C8E" w:rsidR="00570CBF" w:rsidRPr="00741DEB" w:rsidRDefault="007C3469" w:rsidP="00570CBF">
      <w:pPr>
        <w:pStyle w:val="Heading2"/>
        <w:rPr>
          <w:rFonts w:asciiTheme="minorHAnsi" w:hAnsiTheme="minorHAnsi" w:cstheme="minorHAnsi"/>
        </w:rPr>
      </w:pPr>
      <w:r>
        <w:rPr>
          <w:rFonts w:asciiTheme="minorHAnsi" w:hAnsiTheme="minorHAnsi"/>
        </w:rPr>
        <w:t>Matokeo na hatua</w:t>
      </w:r>
    </w:p>
    <w:p w14:paraId="39D5DE32" w14:textId="4B8C0C6A" w:rsidR="00E44D4D" w:rsidRPr="00741DEB" w:rsidRDefault="00742A2B" w:rsidP="00E44D4D">
      <w:pPr>
        <w:textAlignment w:val="baseline"/>
        <w:rPr>
          <w:rFonts w:asciiTheme="minorHAnsi" w:hAnsiTheme="minorHAnsi" w:cstheme="minorHAnsi"/>
        </w:rPr>
      </w:pPr>
      <w:r>
        <w:rPr>
          <w:rFonts w:asciiTheme="minorHAnsi" w:hAnsiTheme="minorHAnsi"/>
        </w:rPr>
        <w:t>Maendeleo yatafuatiliwa na taarifa mpya zitatolewa kwa Waziri wa Afya ya Akili kila baada ya miezi mitatu. Kila mwaka taarifa mpya itashirikiwa na Baraza la Mawaziri na kuwekwa kwenye tovuti ya Wizara ya Afya.  Tume ya Afya ya Akili na Ustawi | Hatua ya kumbukumbu pia itafuatilia kuzuia kujiua.</w:t>
      </w:r>
    </w:p>
    <w:p w14:paraId="24855147" w14:textId="2DAF375A" w:rsidR="00966DFD" w:rsidRPr="00741DEB" w:rsidRDefault="00966DFD" w:rsidP="007E327A">
      <w:pPr>
        <w:pStyle w:val="Heading2"/>
        <w:rPr>
          <w:rFonts w:asciiTheme="minorHAnsi" w:eastAsia="Times New Roman" w:hAnsiTheme="minorHAnsi" w:cstheme="minorHAnsi"/>
        </w:rPr>
      </w:pPr>
      <w:r>
        <w:rPr>
          <w:rFonts w:asciiTheme="minorHAnsi" w:hAnsiTheme="minorHAnsi"/>
        </w:rPr>
        <w:t>Jinsi ya kushiriki</w:t>
      </w:r>
    </w:p>
    <w:p w14:paraId="3D7F62D5" w14:textId="77777777" w:rsidR="00715582" w:rsidRDefault="006316FA" w:rsidP="00966DFD">
      <w:pPr>
        <w:rPr>
          <w:rFonts w:asciiTheme="minorHAnsi" w:hAnsiTheme="minorHAnsi" w:cstheme="minorHAnsi"/>
        </w:rPr>
      </w:pPr>
      <w:r>
        <w:rPr>
          <w:rFonts w:asciiTheme="minorHAnsi" w:hAnsiTheme="minorHAnsi"/>
        </w:rPr>
        <w:t>Unaweza kutoa maoni yako juu ya rasimu ya mpango wa utekelezaji kwa:</w:t>
      </w:r>
    </w:p>
    <w:p w14:paraId="54CF8ECF" w14:textId="77777777" w:rsidR="00715582" w:rsidRDefault="00966DFD" w:rsidP="00715582">
      <w:pPr>
        <w:pStyle w:val="ListParagraph"/>
        <w:numPr>
          <w:ilvl w:val="0"/>
          <w:numId w:val="23"/>
        </w:numPr>
        <w:rPr>
          <w:rFonts w:asciiTheme="minorHAnsi" w:hAnsiTheme="minorHAnsi" w:cstheme="minorHAnsi"/>
        </w:rPr>
      </w:pPr>
      <w:r>
        <w:rPr>
          <w:rFonts w:asciiTheme="minorHAnsi" w:hAnsiTheme="minorHAnsi"/>
        </w:rPr>
        <w:t xml:space="preserve">kututumia barua pepe kwa </w:t>
      </w:r>
      <w:hyperlink r:id="rId8" w:history="1">
        <w:r>
          <w:rPr>
            <w:rStyle w:val="Hyperlink"/>
            <w:rFonts w:asciiTheme="minorHAnsi" w:hAnsiTheme="minorHAnsi"/>
          </w:rPr>
          <w:t>mhaengagement@health.govt.nz</w:t>
        </w:r>
      </w:hyperlink>
      <w:r>
        <w:rPr>
          <w:rFonts w:asciiTheme="minorHAnsi" w:hAnsiTheme="minorHAnsi"/>
        </w:rPr>
        <w:t xml:space="preserve">  </w:t>
      </w:r>
    </w:p>
    <w:p w14:paraId="298BD2E2" w14:textId="16E7990A" w:rsidR="00966DFD" w:rsidRPr="002A1867" w:rsidRDefault="00966DFD" w:rsidP="002A1867">
      <w:pPr>
        <w:pStyle w:val="ListParagraph"/>
        <w:numPr>
          <w:ilvl w:val="0"/>
          <w:numId w:val="23"/>
        </w:numPr>
      </w:pPr>
      <w:r>
        <w:rPr>
          <w:rFonts w:asciiTheme="minorHAnsi" w:hAnsiTheme="minorHAnsi"/>
        </w:rPr>
        <w:t>kuhudhuria mkutano wa mashauriano ya kibinafsi au ya mtandaoni - maelezo yatapatikana kwenye</w:t>
      </w:r>
      <w:hyperlink r:id="rId9" w:history="1">
        <w:r>
          <w:rPr>
            <w:rStyle w:val="Hyperlink"/>
            <w:rFonts w:asciiTheme="minorHAnsi" w:hAnsiTheme="minorHAnsi"/>
          </w:rPr>
          <w:t xml:space="preserve"> ukurasa wa mashauriano kwenye </w:t>
        </w:r>
        <w:r w:rsidR="00C47254">
          <w:rPr>
            <w:rStyle w:val="Hyperlink"/>
            <w:rFonts w:asciiTheme="minorHAnsi" w:hAnsiTheme="minorHAnsi"/>
          </w:rPr>
          <w:t>to</w:t>
        </w:r>
        <w:r>
          <w:rPr>
            <w:rStyle w:val="Hyperlink"/>
            <w:rFonts w:asciiTheme="minorHAnsi" w:hAnsiTheme="minorHAnsi"/>
          </w:rPr>
          <w:t xml:space="preserve">vuti ya Wizara ya Afya </w:t>
        </w:r>
      </w:hyperlink>
      <w:r w:rsidR="002A1867" w:rsidRPr="002A1867">
        <w:t xml:space="preserve"> </w:t>
      </w:r>
    </w:p>
    <w:p w14:paraId="2E0B8D68" w14:textId="548D7FD0" w:rsidR="00294328" w:rsidRPr="00294328" w:rsidRDefault="00A611A4" w:rsidP="00294328">
      <w:pPr>
        <w:pStyle w:val="ListParagraph"/>
        <w:numPr>
          <w:ilvl w:val="0"/>
          <w:numId w:val="23"/>
        </w:numPr>
        <w:rPr>
          <w:rFonts w:asciiTheme="minorHAnsi" w:hAnsiTheme="minorHAnsi" w:cstheme="minorHAnsi"/>
        </w:rPr>
      </w:pPr>
      <w:r>
        <w:rPr>
          <w:rFonts w:asciiTheme="minorHAnsi" w:hAnsiTheme="minorHAnsi"/>
        </w:rPr>
        <w:t>kujibu maswali mtandaoni kwenye</w:t>
      </w:r>
      <w:hyperlink r:id="rId10" w:history="1">
        <w:r>
          <w:rPr>
            <w:rStyle w:val="Hyperlink"/>
            <w:rFonts w:asciiTheme="minorHAnsi" w:hAnsiTheme="minorHAnsi"/>
          </w:rPr>
          <w:t xml:space="preserve"> kituo cha ushauri cha Wizara ya Afya</w:t>
        </w:r>
      </w:hyperlink>
    </w:p>
    <w:p w14:paraId="7425E384" w14:textId="77777777" w:rsidR="00966DFD" w:rsidRPr="00C128EF" w:rsidRDefault="00966DFD" w:rsidP="00966DFD">
      <w:pPr>
        <w:rPr>
          <w:rFonts w:asciiTheme="minorHAnsi" w:hAnsiTheme="minorHAnsi" w:cstheme="minorHAnsi"/>
        </w:rPr>
      </w:pPr>
    </w:p>
    <w:p w14:paraId="5B3E107C" w14:textId="584FADE0" w:rsidR="00966DFD" w:rsidRPr="00C128EF" w:rsidRDefault="00966DFD" w:rsidP="00966DFD">
      <w:pPr>
        <w:rPr>
          <w:rFonts w:asciiTheme="minorHAnsi" w:hAnsiTheme="minorHAnsi" w:cstheme="minorHAnsi"/>
        </w:rPr>
      </w:pPr>
      <w:r>
        <w:rPr>
          <w:rFonts w:asciiTheme="minorHAnsi" w:hAnsiTheme="minorHAnsi"/>
        </w:rPr>
        <w:t>Ushauri unafungwa Ijumaa 1 Novemba saa 5 jioni.</w:t>
      </w:r>
    </w:p>
    <w:p w14:paraId="17B4006F" w14:textId="77777777" w:rsidR="007E327A" w:rsidRPr="00C128EF" w:rsidRDefault="007E327A" w:rsidP="00C5157C">
      <w:pPr>
        <w:spacing w:before="60" w:after="120"/>
        <w:jc w:val="both"/>
        <w:rPr>
          <w:rFonts w:asciiTheme="minorHAnsi" w:hAnsiTheme="minorHAnsi" w:cstheme="minorHAnsi"/>
        </w:rPr>
      </w:pPr>
    </w:p>
    <w:p w14:paraId="5299CA8E" w14:textId="4EE8F59D" w:rsidR="007E327A" w:rsidRPr="00294328" w:rsidRDefault="00EB7AC8" w:rsidP="00C5157C">
      <w:pPr>
        <w:spacing w:before="60" w:after="120"/>
        <w:jc w:val="both"/>
        <w:rPr>
          <w:rFonts w:asciiTheme="minorHAnsi" w:hAnsiTheme="minorHAnsi" w:cstheme="minorHAnsi"/>
          <w:b/>
          <w:bCs/>
        </w:rPr>
      </w:pPr>
      <w:r>
        <w:rPr>
          <w:rFonts w:asciiTheme="minorHAnsi" w:hAnsiTheme="minorHAnsi"/>
          <w:b/>
        </w:rPr>
        <w:t>Maswali kuhusu mashauriano:</w:t>
      </w:r>
    </w:p>
    <w:p w14:paraId="17EC1914" w14:textId="77777777" w:rsidR="00EB7AC8" w:rsidRPr="00C128EF" w:rsidRDefault="006C49A6" w:rsidP="00C5157C">
      <w:pPr>
        <w:pStyle w:val="NumberedParagraphs-MOH"/>
        <w:spacing w:before="60" w:after="120"/>
        <w:jc w:val="both"/>
        <w:rPr>
          <w:rFonts w:asciiTheme="minorHAnsi" w:hAnsiTheme="minorHAnsi" w:cstheme="minorHAnsi"/>
        </w:rPr>
      </w:pPr>
      <w:r>
        <w:rPr>
          <w:rFonts w:asciiTheme="minorHAnsi" w:hAnsiTheme="minorHAnsi"/>
        </w:rPr>
        <w:lastRenderedPageBreak/>
        <w:t xml:space="preserve">Je, unakubaliana na hatua zilizopendekezwa kwa ajili ya afya na mashirika ya serikali? Matendo haya yangeweza kuboreshwaje? Tafadhali andika sababu za jibu lako. </w:t>
      </w:r>
    </w:p>
    <w:p w14:paraId="6E027C35" w14:textId="4DE6D3A6" w:rsidR="00C5157C" w:rsidRPr="00C128EF" w:rsidRDefault="00C5157C" w:rsidP="00C5157C">
      <w:pPr>
        <w:pStyle w:val="NumberedParagraphs-MOH"/>
        <w:spacing w:before="60" w:after="120"/>
        <w:jc w:val="both"/>
        <w:rPr>
          <w:rFonts w:asciiTheme="minorHAnsi" w:hAnsiTheme="minorHAnsi" w:cstheme="minorHAnsi"/>
        </w:rPr>
      </w:pPr>
      <w:r>
        <w:rPr>
          <w:rFonts w:asciiTheme="minorHAnsi" w:hAnsiTheme="minorHAnsi"/>
        </w:rPr>
        <w:t xml:space="preserve">Ni hatua gani nyingine unafikiri zinaweza kuchukuliwa na mashirika ya serikali? Tafadhali </w:t>
      </w:r>
      <w:r w:rsidR="004550CD">
        <w:rPr>
          <w:rFonts w:asciiTheme="minorHAnsi" w:hAnsiTheme="minorHAnsi"/>
        </w:rPr>
        <w:t xml:space="preserve">ongeza </w:t>
      </w:r>
      <w:r>
        <w:rPr>
          <w:rFonts w:asciiTheme="minorHAnsi" w:hAnsiTheme="minorHAnsi"/>
        </w:rPr>
        <w:t xml:space="preserve">sababu za mapendekezo yako. </w:t>
      </w:r>
    </w:p>
    <w:p w14:paraId="78915C5F" w14:textId="2B5257EE" w:rsidR="00EB7AC8" w:rsidRPr="00C128EF" w:rsidRDefault="001D70F4" w:rsidP="00EB7AC8">
      <w:pPr>
        <w:pStyle w:val="NumberedParagraphs-MOH"/>
        <w:spacing w:before="90"/>
        <w:jc w:val="both"/>
        <w:rPr>
          <w:rFonts w:asciiTheme="minorHAnsi" w:hAnsiTheme="minorHAnsi" w:cstheme="minorHAnsi"/>
          <w:kern w:val="0"/>
        </w:rPr>
      </w:pPr>
      <w:r>
        <w:rPr>
          <w:rFonts w:asciiTheme="minorHAnsi" w:hAnsiTheme="minorHAnsi"/>
        </w:rPr>
        <w:t xml:space="preserve">Je, mashirika ya serikali yanahitaji kuzingatia nini wakati wa kutekeleza hatua hizi ili kuhakikisha kile kinachotolewa kinakidhi mahitaji ya jamii? Tafadhali </w:t>
      </w:r>
      <w:r w:rsidR="004550CD">
        <w:rPr>
          <w:rFonts w:asciiTheme="minorHAnsi" w:hAnsiTheme="minorHAnsi"/>
        </w:rPr>
        <w:t xml:space="preserve">ongeza </w:t>
      </w:r>
      <w:r>
        <w:rPr>
          <w:rFonts w:asciiTheme="minorHAnsi" w:hAnsiTheme="minorHAnsi"/>
        </w:rPr>
        <w:t>sababu za mapendekezo yako</w:t>
      </w:r>
    </w:p>
    <w:p w14:paraId="7D046A3D" w14:textId="695EE558" w:rsidR="00C5157C" w:rsidRPr="00C128EF" w:rsidRDefault="00C5157C" w:rsidP="00EB7AC8">
      <w:pPr>
        <w:pStyle w:val="NumberedParagraphs-MOH"/>
        <w:spacing w:before="90"/>
        <w:jc w:val="both"/>
        <w:rPr>
          <w:rFonts w:asciiTheme="minorHAnsi" w:hAnsiTheme="minorHAnsi" w:cstheme="minorHAnsi"/>
          <w:kern w:val="0"/>
        </w:rPr>
      </w:pPr>
      <w:r>
        <w:rPr>
          <w:rFonts w:asciiTheme="minorHAnsi" w:hAnsiTheme="minorHAnsi"/>
        </w:rPr>
        <w:t xml:space="preserve">Je, kuna jambo jingine lolote ambalo ungependa mashirika ya serikali yajue kuhusu kile kinachohitajiwa ili kuzuia kujiua? </w:t>
      </w:r>
    </w:p>
    <w:p w14:paraId="6F5BECC8" w14:textId="77777777" w:rsidR="002A1867" w:rsidRDefault="002A1867" w:rsidP="0038157E">
      <w:pPr>
        <w:rPr>
          <w:rFonts w:asciiTheme="minorHAnsi" w:hAnsiTheme="minorHAnsi" w:cstheme="minorHAnsi"/>
        </w:rPr>
      </w:pPr>
    </w:p>
    <w:p w14:paraId="49BDE58C" w14:textId="5797A32D" w:rsidR="00966DFD" w:rsidRPr="00741DEB" w:rsidRDefault="00966DFD" w:rsidP="0038157E">
      <w:pPr>
        <w:rPr>
          <w:rFonts w:asciiTheme="minorHAnsi" w:hAnsiTheme="minorHAnsi" w:cstheme="minorHAnsi"/>
        </w:rPr>
      </w:pPr>
      <w:r>
        <w:rPr>
          <w:rFonts w:asciiTheme="minorHAnsi" w:hAnsiTheme="minorHAnsi"/>
        </w:rPr>
        <w:t xml:space="preserve">Asante kwa maoni yako. </w:t>
      </w:r>
    </w:p>
    <w:sectPr w:rsidR="00966DFD" w:rsidRPr="00741DEB" w:rsidSect="00966D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7A33" w14:textId="77777777" w:rsidR="00B77E08" w:rsidRDefault="00B77E08" w:rsidP="002A1867">
      <w:r>
        <w:separator/>
      </w:r>
    </w:p>
  </w:endnote>
  <w:endnote w:type="continuationSeparator" w:id="0">
    <w:p w14:paraId="15262C12" w14:textId="77777777" w:rsidR="00B77E08" w:rsidRDefault="00B77E08" w:rsidP="002A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755106"/>
      <w:docPartObj>
        <w:docPartGallery w:val="Page Numbers (Bottom of Page)"/>
        <w:docPartUnique/>
      </w:docPartObj>
    </w:sdtPr>
    <w:sdtEndPr/>
    <w:sdtContent>
      <w:p w14:paraId="1CDB3F28" w14:textId="2C65DA9F" w:rsidR="002A1867" w:rsidRDefault="002A1867">
        <w:pPr>
          <w:pStyle w:val="Footer"/>
          <w:jc w:val="right"/>
        </w:pPr>
        <w:r>
          <w:fldChar w:fldCharType="begin"/>
        </w:r>
        <w:r>
          <w:instrText xml:space="preserve"> PAGE   \* MERGEFORMAT </w:instrText>
        </w:r>
        <w:r>
          <w:fldChar w:fldCharType="separate"/>
        </w:r>
        <w:r w:rsidR="004550CD">
          <w:rPr>
            <w:noProof/>
          </w:rPr>
          <w:t>4</w:t>
        </w:r>
        <w:r>
          <w:fldChar w:fldCharType="end"/>
        </w:r>
      </w:p>
    </w:sdtContent>
  </w:sdt>
  <w:p w14:paraId="68F28A51" w14:textId="77777777" w:rsidR="002A1867" w:rsidRDefault="002A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CE4F4" w14:textId="77777777" w:rsidR="00B77E08" w:rsidRDefault="00B77E08" w:rsidP="002A1867">
      <w:r>
        <w:separator/>
      </w:r>
    </w:p>
  </w:footnote>
  <w:footnote w:type="continuationSeparator" w:id="0">
    <w:p w14:paraId="5CCAFD4D" w14:textId="77777777" w:rsidR="00B77E08" w:rsidRDefault="00B77E08" w:rsidP="002A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64B"/>
    <w:multiLevelType w:val="hybridMultilevel"/>
    <w:tmpl w:val="C7B86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C36CA"/>
    <w:multiLevelType w:val="multilevel"/>
    <w:tmpl w:val="1F263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4734"/>
    <w:multiLevelType w:val="multilevel"/>
    <w:tmpl w:val="D668F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E319E"/>
    <w:multiLevelType w:val="multilevel"/>
    <w:tmpl w:val="6A60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2095"/>
    <w:multiLevelType w:val="hybridMultilevel"/>
    <w:tmpl w:val="101ECEAE"/>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5" w15:restartNumberingAfterBreak="0">
    <w:nsid w:val="2A704E25"/>
    <w:multiLevelType w:val="multilevel"/>
    <w:tmpl w:val="691E3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5454480"/>
    <w:multiLevelType w:val="hybridMultilevel"/>
    <w:tmpl w:val="55EA62DA"/>
    <w:lvl w:ilvl="0" w:tplc="E0B29EAA">
      <w:start w:val="1"/>
      <w:numFmt w:val="bullet"/>
      <w:lvlText w:val="•"/>
      <w:lvlJc w:val="left"/>
      <w:pPr>
        <w:tabs>
          <w:tab w:val="num" w:pos="720"/>
        </w:tabs>
        <w:ind w:left="720" w:hanging="360"/>
      </w:pPr>
      <w:rPr>
        <w:rFonts w:ascii="Arial" w:hAnsi="Arial" w:hint="default"/>
      </w:rPr>
    </w:lvl>
    <w:lvl w:ilvl="1" w:tplc="90C698D2" w:tentative="1">
      <w:start w:val="1"/>
      <w:numFmt w:val="bullet"/>
      <w:lvlText w:val="•"/>
      <w:lvlJc w:val="left"/>
      <w:pPr>
        <w:tabs>
          <w:tab w:val="num" w:pos="1440"/>
        </w:tabs>
        <w:ind w:left="1440" w:hanging="360"/>
      </w:pPr>
      <w:rPr>
        <w:rFonts w:ascii="Arial" w:hAnsi="Arial" w:hint="default"/>
      </w:rPr>
    </w:lvl>
    <w:lvl w:ilvl="2" w:tplc="1D56CEF2" w:tentative="1">
      <w:start w:val="1"/>
      <w:numFmt w:val="bullet"/>
      <w:lvlText w:val="•"/>
      <w:lvlJc w:val="left"/>
      <w:pPr>
        <w:tabs>
          <w:tab w:val="num" w:pos="2160"/>
        </w:tabs>
        <w:ind w:left="2160" w:hanging="360"/>
      </w:pPr>
      <w:rPr>
        <w:rFonts w:ascii="Arial" w:hAnsi="Arial" w:hint="default"/>
      </w:rPr>
    </w:lvl>
    <w:lvl w:ilvl="3" w:tplc="97B21760" w:tentative="1">
      <w:start w:val="1"/>
      <w:numFmt w:val="bullet"/>
      <w:lvlText w:val="•"/>
      <w:lvlJc w:val="left"/>
      <w:pPr>
        <w:tabs>
          <w:tab w:val="num" w:pos="2880"/>
        </w:tabs>
        <w:ind w:left="2880" w:hanging="360"/>
      </w:pPr>
      <w:rPr>
        <w:rFonts w:ascii="Arial" w:hAnsi="Arial" w:hint="default"/>
      </w:rPr>
    </w:lvl>
    <w:lvl w:ilvl="4" w:tplc="213C81B6" w:tentative="1">
      <w:start w:val="1"/>
      <w:numFmt w:val="bullet"/>
      <w:lvlText w:val="•"/>
      <w:lvlJc w:val="left"/>
      <w:pPr>
        <w:tabs>
          <w:tab w:val="num" w:pos="3600"/>
        </w:tabs>
        <w:ind w:left="3600" w:hanging="360"/>
      </w:pPr>
      <w:rPr>
        <w:rFonts w:ascii="Arial" w:hAnsi="Arial" w:hint="default"/>
      </w:rPr>
    </w:lvl>
    <w:lvl w:ilvl="5" w:tplc="9ABC932E" w:tentative="1">
      <w:start w:val="1"/>
      <w:numFmt w:val="bullet"/>
      <w:lvlText w:val="•"/>
      <w:lvlJc w:val="left"/>
      <w:pPr>
        <w:tabs>
          <w:tab w:val="num" w:pos="4320"/>
        </w:tabs>
        <w:ind w:left="4320" w:hanging="360"/>
      </w:pPr>
      <w:rPr>
        <w:rFonts w:ascii="Arial" w:hAnsi="Arial" w:hint="default"/>
      </w:rPr>
    </w:lvl>
    <w:lvl w:ilvl="6" w:tplc="F52C1F34" w:tentative="1">
      <w:start w:val="1"/>
      <w:numFmt w:val="bullet"/>
      <w:lvlText w:val="•"/>
      <w:lvlJc w:val="left"/>
      <w:pPr>
        <w:tabs>
          <w:tab w:val="num" w:pos="5040"/>
        </w:tabs>
        <w:ind w:left="5040" w:hanging="360"/>
      </w:pPr>
      <w:rPr>
        <w:rFonts w:ascii="Arial" w:hAnsi="Arial" w:hint="default"/>
      </w:rPr>
    </w:lvl>
    <w:lvl w:ilvl="7" w:tplc="91C227F0" w:tentative="1">
      <w:start w:val="1"/>
      <w:numFmt w:val="bullet"/>
      <w:lvlText w:val="•"/>
      <w:lvlJc w:val="left"/>
      <w:pPr>
        <w:tabs>
          <w:tab w:val="num" w:pos="5760"/>
        </w:tabs>
        <w:ind w:left="5760" w:hanging="360"/>
      </w:pPr>
      <w:rPr>
        <w:rFonts w:ascii="Arial" w:hAnsi="Arial" w:hint="default"/>
      </w:rPr>
    </w:lvl>
    <w:lvl w:ilvl="8" w:tplc="9F10A2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F31535"/>
    <w:multiLevelType w:val="hybridMultilevel"/>
    <w:tmpl w:val="3DE6181C"/>
    <w:lvl w:ilvl="0" w:tplc="012A27B8">
      <w:start w:val="1"/>
      <w:numFmt w:val="decimal"/>
      <w:lvlText w:val="%1."/>
      <w:lvlJc w:val="left"/>
      <w:pPr>
        <w:ind w:left="720" w:hanging="360"/>
      </w:pPr>
      <w:rPr>
        <w:rFonts w:ascii="Symbol" w:hAnsi="Symbol" w:cs="Times New Roman"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10" w15:restartNumberingAfterBreak="0">
    <w:nsid w:val="549B04E2"/>
    <w:multiLevelType w:val="hybridMultilevel"/>
    <w:tmpl w:val="221E658C"/>
    <w:lvl w:ilvl="0" w:tplc="68B08BF2">
      <w:start w:val="1"/>
      <w:numFmt w:val="bullet"/>
      <w:pStyle w:val="Bullet"/>
      <w:lvlText w:val=""/>
      <w:lvlJc w:val="left"/>
      <w:pPr>
        <w:ind w:left="5358" w:hanging="360"/>
      </w:pPr>
      <w:rPr>
        <w:rFonts w:ascii="Symbol" w:hAnsi="Symbol" w:hint="default"/>
      </w:rPr>
    </w:lvl>
    <w:lvl w:ilvl="1" w:tplc="06901BF6">
      <w:start w:val="1"/>
      <w:numFmt w:val="bullet"/>
      <w:pStyle w:val="Second-levelbullets"/>
      <w:lvlText w:val="o"/>
      <w:lvlJc w:val="left"/>
      <w:pPr>
        <w:ind w:left="6078" w:hanging="360"/>
      </w:pPr>
      <w:rPr>
        <w:rFonts w:ascii="Courier New" w:hAnsi="Courier New" w:cs="Courier New" w:hint="default"/>
      </w:rPr>
    </w:lvl>
    <w:lvl w:ilvl="2" w:tplc="14090005">
      <w:start w:val="1"/>
      <w:numFmt w:val="bullet"/>
      <w:lvlText w:val=""/>
      <w:lvlJc w:val="left"/>
      <w:pPr>
        <w:ind w:left="6798" w:hanging="360"/>
      </w:pPr>
      <w:rPr>
        <w:rFonts w:ascii="Wingdings" w:hAnsi="Wingdings" w:hint="default"/>
      </w:rPr>
    </w:lvl>
    <w:lvl w:ilvl="3" w:tplc="14090001">
      <w:start w:val="1"/>
      <w:numFmt w:val="bullet"/>
      <w:lvlText w:val=""/>
      <w:lvlJc w:val="left"/>
      <w:pPr>
        <w:ind w:left="7518" w:hanging="360"/>
      </w:pPr>
      <w:rPr>
        <w:rFonts w:ascii="Symbol" w:hAnsi="Symbol" w:hint="default"/>
      </w:rPr>
    </w:lvl>
    <w:lvl w:ilvl="4" w:tplc="14090003">
      <w:start w:val="1"/>
      <w:numFmt w:val="bullet"/>
      <w:lvlText w:val="o"/>
      <w:lvlJc w:val="left"/>
      <w:pPr>
        <w:ind w:left="8238" w:hanging="360"/>
      </w:pPr>
      <w:rPr>
        <w:rFonts w:ascii="Courier New" w:hAnsi="Courier New" w:cs="Courier New" w:hint="default"/>
      </w:rPr>
    </w:lvl>
    <w:lvl w:ilvl="5" w:tplc="14090005">
      <w:start w:val="1"/>
      <w:numFmt w:val="bullet"/>
      <w:lvlText w:val=""/>
      <w:lvlJc w:val="left"/>
      <w:pPr>
        <w:ind w:left="8958" w:hanging="360"/>
      </w:pPr>
      <w:rPr>
        <w:rFonts w:ascii="Wingdings" w:hAnsi="Wingdings" w:hint="default"/>
      </w:rPr>
    </w:lvl>
    <w:lvl w:ilvl="6" w:tplc="14090001">
      <w:start w:val="1"/>
      <w:numFmt w:val="bullet"/>
      <w:lvlText w:val=""/>
      <w:lvlJc w:val="left"/>
      <w:pPr>
        <w:ind w:left="9678" w:hanging="360"/>
      </w:pPr>
      <w:rPr>
        <w:rFonts w:ascii="Symbol" w:hAnsi="Symbol" w:hint="default"/>
      </w:rPr>
    </w:lvl>
    <w:lvl w:ilvl="7" w:tplc="14090003">
      <w:start w:val="1"/>
      <w:numFmt w:val="bullet"/>
      <w:lvlText w:val="o"/>
      <w:lvlJc w:val="left"/>
      <w:pPr>
        <w:ind w:left="10398" w:hanging="360"/>
      </w:pPr>
      <w:rPr>
        <w:rFonts w:ascii="Courier New" w:hAnsi="Courier New" w:cs="Courier New" w:hint="default"/>
      </w:rPr>
    </w:lvl>
    <w:lvl w:ilvl="8" w:tplc="14090005">
      <w:start w:val="1"/>
      <w:numFmt w:val="bullet"/>
      <w:lvlText w:val=""/>
      <w:lvlJc w:val="left"/>
      <w:pPr>
        <w:ind w:left="11118" w:hanging="360"/>
      </w:pPr>
      <w:rPr>
        <w:rFonts w:ascii="Wingdings" w:hAnsi="Wingdings" w:hint="default"/>
      </w:rPr>
    </w:lvl>
  </w:abstractNum>
  <w:abstractNum w:abstractNumId="11" w15:restartNumberingAfterBreak="0">
    <w:nsid w:val="5C7C4B6A"/>
    <w:multiLevelType w:val="hybridMultilevel"/>
    <w:tmpl w:val="5C2EC9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57C16FA"/>
    <w:multiLevelType w:val="hybridMultilevel"/>
    <w:tmpl w:val="2B4C6CC0"/>
    <w:lvl w:ilvl="0" w:tplc="7DE2BB28">
      <w:start w:val="1"/>
      <w:numFmt w:val="bullet"/>
      <w:lvlText w:val="·"/>
      <w:lvlJc w:val="left"/>
      <w:pPr>
        <w:ind w:left="720" w:hanging="360"/>
      </w:pPr>
      <w:rPr>
        <w:rFonts w:ascii="Symbol" w:hAnsi="Symbol" w:hint="default"/>
      </w:rPr>
    </w:lvl>
    <w:lvl w:ilvl="1" w:tplc="7BA26E56">
      <w:start w:val="1"/>
      <w:numFmt w:val="bullet"/>
      <w:lvlText w:val="o"/>
      <w:lvlJc w:val="left"/>
      <w:pPr>
        <w:ind w:left="1440" w:hanging="360"/>
      </w:pPr>
      <w:rPr>
        <w:rFonts w:ascii="Courier New" w:hAnsi="Courier New" w:hint="default"/>
      </w:rPr>
    </w:lvl>
    <w:lvl w:ilvl="2" w:tplc="5CB05F4E">
      <w:start w:val="1"/>
      <w:numFmt w:val="bullet"/>
      <w:lvlText w:val=""/>
      <w:lvlJc w:val="left"/>
      <w:pPr>
        <w:ind w:left="2160" w:hanging="360"/>
      </w:pPr>
      <w:rPr>
        <w:rFonts w:ascii="Wingdings" w:hAnsi="Wingdings" w:hint="default"/>
      </w:rPr>
    </w:lvl>
    <w:lvl w:ilvl="3" w:tplc="88FA55D6">
      <w:start w:val="1"/>
      <w:numFmt w:val="bullet"/>
      <w:lvlText w:val=""/>
      <w:lvlJc w:val="left"/>
      <w:pPr>
        <w:ind w:left="2880" w:hanging="360"/>
      </w:pPr>
      <w:rPr>
        <w:rFonts w:ascii="Symbol" w:hAnsi="Symbol" w:hint="default"/>
      </w:rPr>
    </w:lvl>
    <w:lvl w:ilvl="4" w:tplc="8D4C071C">
      <w:start w:val="1"/>
      <w:numFmt w:val="bullet"/>
      <w:lvlText w:val="o"/>
      <w:lvlJc w:val="left"/>
      <w:pPr>
        <w:ind w:left="3600" w:hanging="360"/>
      </w:pPr>
      <w:rPr>
        <w:rFonts w:ascii="Courier New" w:hAnsi="Courier New" w:hint="default"/>
      </w:rPr>
    </w:lvl>
    <w:lvl w:ilvl="5" w:tplc="0D14FA62">
      <w:start w:val="1"/>
      <w:numFmt w:val="bullet"/>
      <w:lvlText w:val=""/>
      <w:lvlJc w:val="left"/>
      <w:pPr>
        <w:ind w:left="4320" w:hanging="360"/>
      </w:pPr>
      <w:rPr>
        <w:rFonts w:ascii="Wingdings" w:hAnsi="Wingdings" w:hint="default"/>
      </w:rPr>
    </w:lvl>
    <w:lvl w:ilvl="6" w:tplc="47ECA4DA">
      <w:start w:val="1"/>
      <w:numFmt w:val="bullet"/>
      <w:lvlText w:val=""/>
      <w:lvlJc w:val="left"/>
      <w:pPr>
        <w:ind w:left="5040" w:hanging="360"/>
      </w:pPr>
      <w:rPr>
        <w:rFonts w:ascii="Symbol" w:hAnsi="Symbol" w:hint="default"/>
      </w:rPr>
    </w:lvl>
    <w:lvl w:ilvl="7" w:tplc="E1CE48FC">
      <w:start w:val="1"/>
      <w:numFmt w:val="bullet"/>
      <w:lvlText w:val="o"/>
      <w:lvlJc w:val="left"/>
      <w:pPr>
        <w:ind w:left="5760" w:hanging="360"/>
      </w:pPr>
      <w:rPr>
        <w:rFonts w:ascii="Courier New" w:hAnsi="Courier New" w:hint="default"/>
      </w:rPr>
    </w:lvl>
    <w:lvl w:ilvl="8" w:tplc="6B5C172A">
      <w:start w:val="1"/>
      <w:numFmt w:val="bullet"/>
      <w:lvlText w:val=""/>
      <w:lvlJc w:val="left"/>
      <w:pPr>
        <w:ind w:left="6480" w:hanging="360"/>
      </w:pPr>
      <w:rPr>
        <w:rFonts w:ascii="Wingdings" w:hAnsi="Wingdings" w:hint="default"/>
      </w:rPr>
    </w:lvl>
  </w:abstractNum>
  <w:abstractNum w:abstractNumId="13" w15:restartNumberingAfterBreak="0">
    <w:nsid w:val="6D2D1CED"/>
    <w:multiLevelType w:val="hybridMultilevel"/>
    <w:tmpl w:val="F3F24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ECB3987"/>
    <w:multiLevelType w:val="hybridMultilevel"/>
    <w:tmpl w:val="423EC3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FBB1C5D"/>
    <w:multiLevelType w:val="multilevel"/>
    <w:tmpl w:val="B91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A7789"/>
    <w:multiLevelType w:val="multilevel"/>
    <w:tmpl w:val="07103986"/>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7" w15:restartNumberingAfterBreak="0">
    <w:nsid w:val="7B983A77"/>
    <w:multiLevelType w:val="multilevel"/>
    <w:tmpl w:val="6D9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326993">
    <w:abstractNumId w:val="12"/>
  </w:num>
  <w:num w:numId="2" w16cid:durableId="67044832">
    <w:abstractNumId w:val="10"/>
  </w:num>
  <w:num w:numId="3" w16cid:durableId="1531337525">
    <w:abstractNumId w:val="13"/>
  </w:num>
  <w:num w:numId="4" w16cid:durableId="996692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4120064">
    <w:abstractNumId w:val="3"/>
  </w:num>
  <w:num w:numId="6" w16cid:durableId="207571349">
    <w:abstractNumId w:val="17"/>
  </w:num>
  <w:num w:numId="7" w16cid:durableId="1918703827">
    <w:abstractNumId w:val="5"/>
  </w:num>
  <w:num w:numId="8" w16cid:durableId="1430273769">
    <w:abstractNumId w:val="15"/>
  </w:num>
  <w:num w:numId="9" w16cid:durableId="1125081829">
    <w:abstractNumId w:val="1"/>
  </w:num>
  <w:num w:numId="10" w16cid:durableId="1968702233">
    <w:abstractNumId w:val="2"/>
  </w:num>
  <w:num w:numId="11" w16cid:durableId="1727756485">
    <w:abstractNumId w:val="8"/>
  </w:num>
  <w:num w:numId="12" w16cid:durableId="487671006">
    <w:abstractNumId w:val="16"/>
  </w:num>
  <w:num w:numId="13" w16cid:durableId="1693804839">
    <w:abstractNumId w:val="11"/>
  </w:num>
  <w:num w:numId="14" w16cid:durableId="1758015322">
    <w:abstractNumId w:val="14"/>
  </w:num>
  <w:num w:numId="15" w16cid:durableId="65091135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1099105391">
    <w:abstractNumId w:val="6"/>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7" w16cid:durableId="2095467936">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16cid:durableId="1006059661">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16cid:durableId="138421539">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16cid:durableId="180408178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1805539326">
    <w:abstractNumId w:val="0"/>
  </w:num>
  <w:num w:numId="22" w16cid:durableId="1621912475">
    <w:abstractNumId w:val="7"/>
  </w:num>
  <w:num w:numId="23" w16cid:durableId="1500390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FD"/>
    <w:rsid w:val="00000E65"/>
    <w:rsid w:val="00002FA5"/>
    <w:rsid w:val="00003703"/>
    <w:rsid w:val="00003FC9"/>
    <w:rsid w:val="0002448D"/>
    <w:rsid w:val="00032B87"/>
    <w:rsid w:val="00051B77"/>
    <w:rsid w:val="000545D7"/>
    <w:rsid w:val="000D18C4"/>
    <w:rsid w:val="00154245"/>
    <w:rsid w:val="00163FF7"/>
    <w:rsid w:val="00167416"/>
    <w:rsid w:val="001D70F4"/>
    <w:rsid w:val="001E64E9"/>
    <w:rsid w:val="0021204F"/>
    <w:rsid w:val="00243728"/>
    <w:rsid w:val="00262879"/>
    <w:rsid w:val="00294328"/>
    <w:rsid w:val="00294B7C"/>
    <w:rsid w:val="002A1867"/>
    <w:rsid w:val="002C3A1D"/>
    <w:rsid w:val="002F1AA7"/>
    <w:rsid w:val="00303F62"/>
    <w:rsid w:val="00314CE5"/>
    <w:rsid w:val="00332021"/>
    <w:rsid w:val="00340B95"/>
    <w:rsid w:val="00366EF1"/>
    <w:rsid w:val="00373104"/>
    <w:rsid w:val="0038157E"/>
    <w:rsid w:val="00381908"/>
    <w:rsid w:val="003A3D86"/>
    <w:rsid w:val="003A3EEE"/>
    <w:rsid w:val="003C0E4B"/>
    <w:rsid w:val="003C0FDA"/>
    <w:rsid w:val="003E29C1"/>
    <w:rsid w:val="003F2797"/>
    <w:rsid w:val="004550CD"/>
    <w:rsid w:val="0046310B"/>
    <w:rsid w:val="004776C5"/>
    <w:rsid w:val="00494E78"/>
    <w:rsid w:val="004A154A"/>
    <w:rsid w:val="004C0AA7"/>
    <w:rsid w:val="004C36AA"/>
    <w:rsid w:val="004F2FF8"/>
    <w:rsid w:val="004F5A10"/>
    <w:rsid w:val="0051053A"/>
    <w:rsid w:val="0051573E"/>
    <w:rsid w:val="00554669"/>
    <w:rsid w:val="00570CBF"/>
    <w:rsid w:val="005731DC"/>
    <w:rsid w:val="00597AFB"/>
    <w:rsid w:val="005A7DD1"/>
    <w:rsid w:val="005F09EC"/>
    <w:rsid w:val="005F0F06"/>
    <w:rsid w:val="00630864"/>
    <w:rsid w:val="006316FA"/>
    <w:rsid w:val="00650038"/>
    <w:rsid w:val="00656099"/>
    <w:rsid w:val="00663436"/>
    <w:rsid w:val="00664FE6"/>
    <w:rsid w:val="00671427"/>
    <w:rsid w:val="006734F8"/>
    <w:rsid w:val="006A0B44"/>
    <w:rsid w:val="006C49A6"/>
    <w:rsid w:val="007140B1"/>
    <w:rsid w:val="00715582"/>
    <w:rsid w:val="0071644F"/>
    <w:rsid w:val="00741DEB"/>
    <w:rsid w:val="00742A2B"/>
    <w:rsid w:val="00766197"/>
    <w:rsid w:val="00766930"/>
    <w:rsid w:val="00782CFB"/>
    <w:rsid w:val="00794529"/>
    <w:rsid w:val="007A35F0"/>
    <w:rsid w:val="007B224E"/>
    <w:rsid w:val="007C3469"/>
    <w:rsid w:val="007E327A"/>
    <w:rsid w:val="00813BC2"/>
    <w:rsid w:val="00823330"/>
    <w:rsid w:val="00847078"/>
    <w:rsid w:val="0085382B"/>
    <w:rsid w:val="008A42FE"/>
    <w:rsid w:val="008A6605"/>
    <w:rsid w:val="008D4253"/>
    <w:rsid w:val="008F32A6"/>
    <w:rsid w:val="008F5361"/>
    <w:rsid w:val="00903B58"/>
    <w:rsid w:val="0095663E"/>
    <w:rsid w:val="00966DFD"/>
    <w:rsid w:val="009738FC"/>
    <w:rsid w:val="009A2D38"/>
    <w:rsid w:val="009B4CC4"/>
    <w:rsid w:val="009E19E6"/>
    <w:rsid w:val="009E7826"/>
    <w:rsid w:val="00A076C1"/>
    <w:rsid w:val="00A13B82"/>
    <w:rsid w:val="00A13CD1"/>
    <w:rsid w:val="00A16A29"/>
    <w:rsid w:val="00A20095"/>
    <w:rsid w:val="00A40689"/>
    <w:rsid w:val="00A611A4"/>
    <w:rsid w:val="00A92E44"/>
    <w:rsid w:val="00AB739F"/>
    <w:rsid w:val="00AD4DE9"/>
    <w:rsid w:val="00B074B3"/>
    <w:rsid w:val="00B232E1"/>
    <w:rsid w:val="00B77535"/>
    <w:rsid w:val="00B77E08"/>
    <w:rsid w:val="00B85C06"/>
    <w:rsid w:val="00B94371"/>
    <w:rsid w:val="00B96F50"/>
    <w:rsid w:val="00BE51B0"/>
    <w:rsid w:val="00C0690B"/>
    <w:rsid w:val="00C128EF"/>
    <w:rsid w:val="00C13275"/>
    <w:rsid w:val="00C2274F"/>
    <w:rsid w:val="00C43730"/>
    <w:rsid w:val="00C46D12"/>
    <w:rsid w:val="00C47254"/>
    <w:rsid w:val="00C5157C"/>
    <w:rsid w:val="00C87CEC"/>
    <w:rsid w:val="00CA5972"/>
    <w:rsid w:val="00CB04A7"/>
    <w:rsid w:val="00CF0E51"/>
    <w:rsid w:val="00D54FD8"/>
    <w:rsid w:val="00D63FB7"/>
    <w:rsid w:val="00D864C5"/>
    <w:rsid w:val="00DD71FA"/>
    <w:rsid w:val="00DF6EA1"/>
    <w:rsid w:val="00E01865"/>
    <w:rsid w:val="00E03225"/>
    <w:rsid w:val="00E04DA5"/>
    <w:rsid w:val="00E44D4D"/>
    <w:rsid w:val="00E50787"/>
    <w:rsid w:val="00EB7AC8"/>
    <w:rsid w:val="00F45C7C"/>
    <w:rsid w:val="00F56A05"/>
    <w:rsid w:val="00F60118"/>
    <w:rsid w:val="00F864C9"/>
    <w:rsid w:val="00F90027"/>
    <w:rsid w:val="00FD56CD"/>
    <w:rsid w:val="00FE0776"/>
    <w:rsid w:val="00FF401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E59B"/>
  <w15:chartTrackingRefBased/>
  <w15:docId w15:val="{6B672106-BBF7-4320-962E-B26F012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F4"/>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66D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966DFD"/>
    <w:pPr>
      <w:keepNext/>
      <w:spacing w:before="360" w:after="120"/>
      <w:outlineLvl w:val="1"/>
    </w:pPr>
    <w:rPr>
      <w:rFonts w:ascii="Calibri Light" w:hAnsi="Calibri Light" w:cs="Calibri Light"/>
      <w:color w:val="0A6AB4"/>
      <w:spacing w:val="-5"/>
      <w:sz w:val="32"/>
      <w:szCs w:val="32"/>
      <w:lang w:eastAsia="en-GB"/>
    </w:rPr>
  </w:style>
  <w:style w:type="paragraph" w:styleId="Heading3">
    <w:name w:val="heading 3"/>
    <w:basedOn w:val="Normal"/>
    <w:next w:val="Normal"/>
    <w:link w:val="Heading3Char"/>
    <w:uiPriority w:val="9"/>
    <w:unhideWhenUsed/>
    <w:qFormat/>
    <w:rsid w:val="00FF40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40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401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1"/>
    <w:rsid w:val="00966DFD"/>
    <w:rPr>
      <w:rFonts w:ascii="Calibri Light" w:hAnsi="Calibri Light" w:cs="Calibri Light"/>
      <w:color w:val="0A6AB4"/>
      <w:spacing w:val="-5"/>
      <w:kern w:val="0"/>
      <w:sz w:val="32"/>
      <w:szCs w:val="32"/>
      <w:lang w:eastAsia="en-GB"/>
      <w14:ligatures w14:val="none"/>
    </w:rPr>
  </w:style>
  <w:style w:type="character" w:styleId="Hyperlink">
    <w:name w:val="Hyperlink"/>
    <w:basedOn w:val="DefaultParagraphFont"/>
    <w:uiPriority w:val="99"/>
    <w:unhideWhenUsed/>
    <w:rsid w:val="00966DFD"/>
    <w:rPr>
      <w:color w:val="0563C1"/>
      <w:u w:val="single"/>
    </w:rPr>
  </w:style>
  <w:style w:type="character" w:customStyle="1" w:styleId="BulletChar">
    <w:name w:val="Bullet Char"/>
    <w:basedOn w:val="DefaultParagraphFont"/>
    <w:link w:val="Bullet"/>
    <w:locked/>
    <w:rsid w:val="00966DFD"/>
    <w:rPr>
      <w:lang w:eastAsia="ja-JP"/>
    </w:rPr>
  </w:style>
  <w:style w:type="paragraph" w:customStyle="1" w:styleId="Bullet">
    <w:name w:val="Bullet"/>
    <w:basedOn w:val="Normal"/>
    <w:link w:val="BulletChar"/>
    <w:qFormat/>
    <w:rsid w:val="00966DFD"/>
    <w:pPr>
      <w:numPr>
        <w:numId w:val="2"/>
      </w:numPr>
      <w:spacing w:after="160"/>
      <w:ind w:left="357" w:hanging="357"/>
    </w:pPr>
    <w:rPr>
      <w:rFonts w:asciiTheme="minorHAnsi" w:hAnsiTheme="minorHAnsi" w:cstheme="minorBidi"/>
      <w:kern w:val="2"/>
      <w:lang w:eastAsia="ja-JP"/>
      <w14:ligatures w14:val="standardContextual"/>
    </w:rPr>
  </w:style>
  <w:style w:type="paragraph" w:customStyle="1" w:styleId="Second-levelbullets">
    <w:name w:val="Second-level bullets"/>
    <w:basedOn w:val="Normal"/>
    <w:uiPriority w:val="3"/>
    <w:rsid w:val="00966DFD"/>
    <w:pPr>
      <w:numPr>
        <w:ilvl w:val="1"/>
        <w:numId w:val="2"/>
      </w:numPr>
      <w:spacing w:after="160"/>
      <w:ind w:left="851"/>
    </w:pPr>
    <w:rPr>
      <w:rFonts w:ascii="Times New Roman" w:hAnsi="Times New Roman" w:cs="Times New Roman"/>
      <w:lang w:eastAsia="ja-JP"/>
    </w:rPr>
  </w:style>
  <w:style w:type="character" w:styleId="CommentReference">
    <w:name w:val="annotation reference"/>
    <w:basedOn w:val="DefaultParagraphFont"/>
    <w:uiPriority w:val="99"/>
    <w:semiHidden/>
    <w:unhideWhenUsed/>
    <w:rsid w:val="00966DFD"/>
    <w:rPr>
      <w:sz w:val="16"/>
      <w:szCs w:val="16"/>
    </w:rPr>
  </w:style>
  <w:style w:type="paragraph" w:styleId="CommentText">
    <w:name w:val="annotation text"/>
    <w:basedOn w:val="Normal"/>
    <w:link w:val="CommentTextChar"/>
    <w:uiPriority w:val="99"/>
    <w:unhideWhenUsed/>
    <w:rsid w:val="00966DFD"/>
    <w:rPr>
      <w:sz w:val="20"/>
      <w:szCs w:val="20"/>
    </w:rPr>
  </w:style>
  <w:style w:type="character" w:customStyle="1" w:styleId="CommentTextChar">
    <w:name w:val="Comment Text Char"/>
    <w:basedOn w:val="DefaultParagraphFont"/>
    <w:link w:val="CommentText"/>
    <w:uiPriority w:val="99"/>
    <w:rsid w:val="00966DFD"/>
    <w:rPr>
      <w:rFonts w:ascii="Calibri" w:hAnsi="Calibri" w:cs="Calibri"/>
      <w:kern w:val="0"/>
      <w:sz w:val="20"/>
      <w:szCs w:val="20"/>
      <w14:ligatures w14:val="none"/>
    </w:rPr>
  </w:style>
  <w:style w:type="paragraph" w:styleId="ListParagraph">
    <w:name w:val="List Paragraph"/>
    <w:basedOn w:val="Normal"/>
    <w:uiPriority w:val="34"/>
    <w:qFormat/>
    <w:rsid w:val="00966DFD"/>
    <w:pPr>
      <w:ind w:left="720"/>
      <w:contextualSpacing/>
    </w:pPr>
  </w:style>
  <w:style w:type="character" w:customStyle="1" w:styleId="UnresolvedMention1">
    <w:name w:val="Unresolved Mention1"/>
    <w:basedOn w:val="DefaultParagraphFont"/>
    <w:uiPriority w:val="99"/>
    <w:semiHidden/>
    <w:unhideWhenUsed/>
    <w:rsid w:val="00966DFD"/>
    <w:rPr>
      <w:color w:val="605E5C"/>
      <w:shd w:val="clear" w:color="auto" w:fill="E1DFDD"/>
    </w:rPr>
  </w:style>
  <w:style w:type="paragraph" w:customStyle="1" w:styleId="paragraph">
    <w:name w:val="paragraph"/>
    <w:basedOn w:val="Normal"/>
    <w:rsid w:val="00002FA5"/>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02FA5"/>
  </w:style>
  <w:style w:type="character" w:customStyle="1" w:styleId="eop">
    <w:name w:val="eop"/>
    <w:basedOn w:val="DefaultParagraphFont"/>
    <w:rsid w:val="00002FA5"/>
  </w:style>
  <w:style w:type="paragraph" w:styleId="Revision">
    <w:name w:val="Revision"/>
    <w:hidden/>
    <w:uiPriority w:val="99"/>
    <w:semiHidden/>
    <w:rsid w:val="00002FA5"/>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1D70F4"/>
    <w:rPr>
      <w:b/>
      <w:bCs/>
    </w:rPr>
  </w:style>
  <w:style w:type="character" w:customStyle="1" w:styleId="CommentSubjectChar">
    <w:name w:val="Comment Subject Char"/>
    <w:basedOn w:val="CommentTextChar"/>
    <w:link w:val="CommentSubject"/>
    <w:uiPriority w:val="99"/>
    <w:semiHidden/>
    <w:rsid w:val="001D70F4"/>
    <w:rPr>
      <w:rFonts w:ascii="Calibri" w:hAnsi="Calibri" w:cs="Calibri"/>
      <w:b/>
      <w:bCs/>
      <w:kern w:val="0"/>
      <w:sz w:val="20"/>
      <w:szCs w:val="20"/>
      <w14:ligatures w14:val="none"/>
    </w:rPr>
  </w:style>
  <w:style w:type="paragraph" w:customStyle="1" w:styleId="NumberedParagraphs-MOH">
    <w:name w:val="Numbered Paragraphs - MOH"/>
    <w:basedOn w:val="Normal"/>
    <w:link w:val="NumberedParagraphs-MOHChar"/>
    <w:qFormat/>
    <w:rsid w:val="00823330"/>
    <w:pPr>
      <w:numPr>
        <w:numId w:val="15"/>
      </w:numPr>
      <w:spacing w:before="120"/>
      <w:ind w:right="284"/>
    </w:pPr>
    <w:rPr>
      <w:rFonts w:ascii="Segoe UI" w:eastAsia="Times New Roman" w:hAnsi="Segoe UI" w:cs="Segoe UI"/>
      <w:kern w:val="22"/>
      <w:lang w:eastAsia="en-NZ"/>
    </w:rPr>
  </w:style>
  <w:style w:type="paragraph" w:customStyle="1" w:styleId="ReportBody2-MOH">
    <w:name w:val="Report Body 2 - MOH"/>
    <w:basedOn w:val="NumberedParagraphs-MOH"/>
    <w:qFormat/>
    <w:rsid w:val="00823330"/>
    <w:pPr>
      <w:numPr>
        <w:ilvl w:val="1"/>
      </w:numPr>
      <w:tabs>
        <w:tab w:val="num" w:pos="360"/>
      </w:tabs>
      <w:ind w:left="1440" w:hanging="360"/>
    </w:pPr>
  </w:style>
  <w:style w:type="character" w:customStyle="1" w:styleId="NumberedParagraphs-MOHChar">
    <w:name w:val="Numbered Paragraphs - MOH Char"/>
    <w:basedOn w:val="DefaultParagraphFont"/>
    <w:link w:val="NumberedParagraphs-MOH"/>
    <w:rsid w:val="00823330"/>
    <w:rPr>
      <w:rFonts w:ascii="Segoe UI" w:eastAsia="Times New Roman" w:hAnsi="Segoe UI" w:cs="Segoe UI"/>
      <w:kern w:val="22"/>
      <w:lang w:eastAsia="en-NZ"/>
      <w14:ligatures w14:val="none"/>
    </w:rPr>
  </w:style>
  <w:style w:type="paragraph" w:customStyle="1" w:styleId="SecondLevelBullets-MOH">
    <w:name w:val="Second Level Bullets - MOH"/>
    <w:basedOn w:val="Normal"/>
    <w:qFormat/>
    <w:rsid w:val="00823330"/>
    <w:pPr>
      <w:numPr>
        <w:ilvl w:val="2"/>
        <w:numId w:val="15"/>
      </w:numPr>
      <w:spacing w:before="120"/>
      <w:ind w:right="284"/>
    </w:pPr>
    <w:rPr>
      <w:rFonts w:ascii="Segoe UI" w:eastAsia="Times New Roman" w:hAnsi="Segoe UI" w:cs="Segoe UI"/>
      <w:kern w:val="22"/>
      <w:lang w:eastAsia="en-NZ"/>
    </w:rPr>
  </w:style>
  <w:style w:type="character" w:customStyle="1" w:styleId="cf01">
    <w:name w:val="cf01"/>
    <w:basedOn w:val="DefaultParagraphFont"/>
    <w:rsid w:val="008D4253"/>
    <w:rPr>
      <w:rFonts w:ascii="Segoe UI" w:hAnsi="Segoe UI" w:cs="Segoe UI" w:hint="default"/>
      <w:sz w:val="18"/>
      <w:szCs w:val="18"/>
    </w:rPr>
  </w:style>
  <w:style w:type="character" w:customStyle="1" w:styleId="cf11">
    <w:name w:val="cf11"/>
    <w:basedOn w:val="DefaultParagraphFont"/>
    <w:rsid w:val="008D4253"/>
    <w:rPr>
      <w:rFonts w:ascii="Segoe UI" w:hAnsi="Segoe UI" w:cs="Segoe UI" w:hint="default"/>
      <w:b/>
      <w:bCs/>
      <w:sz w:val="18"/>
      <w:szCs w:val="18"/>
    </w:rPr>
  </w:style>
  <w:style w:type="character" w:customStyle="1" w:styleId="Mention1">
    <w:name w:val="Mention1"/>
    <w:basedOn w:val="DefaultParagraphFont"/>
    <w:uiPriority w:val="99"/>
    <w:unhideWhenUsed/>
    <w:rsid w:val="008D4253"/>
    <w:rPr>
      <w:color w:val="2B579A"/>
      <w:shd w:val="clear" w:color="auto" w:fill="E1DFDD"/>
    </w:rPr>
  </w:style>
  <w:style w:type="character" w:customStyle="1" w:styleId="Heading3Char">
    <w:name w:val="Heading 3 Char"/>
    <w:basedOn w:val="DefaultParagraphFont"/>
    <w:link w:val="Heading3"/>
    <w:uiPriority w:val="9"/>
    <w:rsid w:val="00FF401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F401B"/>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F401B"/>
    <w:rPr>
      <w:rFonts w:asciiTheme="majorHAnsi" w:eastAsiaTheme="majorEastAsia" w:hAnsiTheme="majorHAnsi" w:cstheme="majorBidi"/>
      <w:color w:val="2F5496" w:themeColor="accent1" w:themeShade="BF"/>
      <w:kern w:val="0"/>
      <w14:ligatures w14:val="none"/>
    </w:rPr>
  </w:style>
  <w:style w:type="paragraph" w:customStyle="1" w:styleId="Table">
    <w:name w:val="Table"/>
    <w:basedOn w:val="Normal"/>
    <w:qFormat/>
    <w:rsid w:val="00FF401B"/>
    <w:pPr>
      <w:keepNext/>
      <w:spacing w:before="120" w:after="120"/>
    </w:pPr>
    <w:rPr>
      <w:rFonts w:ascii="Segoe UI" w:eastAsia="Times New Roman" w:hAnsi="Segoe UI" w:cs="Times New Roman"/>
      <w:b/>
      <w:sz w:val="20"/>
      <w:szCs w:val="20"/>
      <w:lang w:eastAsia="en-GB"/>
    </w:rPr>
  </w:style>
  <w:style w:type="table" w:styleId="TableGrid">
    <w:name w:val="Table Grid"/>
    <w:basedOn w:val="TableNormal"/>
    <w:uiPriority w:val="39"/>
    <w:rsid w:val="00FF401B"/>
    <w:pPr>
      <w:spacing w:after="0" w:line="264"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67"/>
    <w:pPr>
      <w:tabs>
        <w:tab w:val="center" w:pos="4513"/>
        <w:tab w:val="right" w:pos="9026"/>
      </w:tabs>
    </w:pPr>
  </w:style>
  <w:style w:type="character" w:customStyle="1" w:styleId="HeaderChar">
    <w:name w:val="Header Char"/>
    <w:basedOn w:val="DefaultParagraphFont"/>
    <w:link w:val="Header"/>
    <w:uiPriority w:val="99"/>
    <w:rsid w:val="002A1867"/>
    <w:rPr>
      <w:rFonts w:ascii="Calibri" w:hAnsi="Calibri" w:cs="Calibri"/>
      <w:kern w:val="0"/>
      <w14:ligatures w14:val="none"/>
    </w:rPr>
  </w:style>
  <w:style w:type="paragraph" w:styleId="Footer">
    <w:name w:val="footer"/>
    <w:basedOn w:val="Normal"/>
    <w:link w:val="FooterChar"/>
    <w:uiPriority w:val="99"/>
    <w:unhideWhenUsed/>
    <w:rsid w:val="002A1867"/>
    <w:pPr>
      <w:tabs>
        <w:tab w:val="center" w:pos="4513"/>
        <w:tab w:val="right" w:pos="9026"/>
      </w:tabs>
    </w:pPr>
  </w:style>
  <w:style w:type="character" w:customStyle="1" w:styleId="FooterChar">
    <w:name w:val="Footer Char"/>
    <w:basedOn w:val="DefaultParagraphFont"/>
    <w:link w:val="Footer"/>
    <w:uiPriority w:val="99"/>
    <w:rsid w:val="002A18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89564">
      <w:bodyDiv w:val="1"/>
      <w:marLeft w:val="0"/>
      <w:marRight w:val="0"/>
      <w:marTop w:val="0"/>
      <w:marBottom w:val="0"/>
      <w:divBdr>
        <w:top w:val="none" w:sz="0" w:space="0" w:color="auto"/>
        <w:left w:val="none" w:sz="0" w:space="0" w:color="auto"/>
        <w:bottom w:val="none" w:sz="0" w:space="0" w:color="auto"/>
        <w:right w:val="none" w:sz="0" w:space="0" w:color="auto"/>
      </w:divBdr>
      <w:divsChild>
        <w:div w:id="778528079">
          <w:marLeft w:val="360"/>
          <w:marRight w:val="0"/>
          <w:marTop w:val="0"/>
          <w:marBottom w:val="0"/>
          <w:divBdr>
            <w:top w:val="none" w:sz="0" w:space="0" w:color="auto"/>
            <w:left w:val="none" w:sz="0" w:space="0" w:color="auto"/>
            <w:bottom w:val="none" w:sz="0" w:space="0" w:color="auto"/>
            <w:right w:val="none" w:sz="0" w:space="0" w:color="auto"/>
          </w:divBdr>
        </w:div>
        <w:div w:id="1075468891">
          <w:marLeft w:val="360"/>
          <w:marRight w:val="0"/>
          <w:marTop w:val="0"/>
          <w:marBottom w:val="0"/>
          <w:divBdr>
            <w:top w:val="none" w:sz="0" w:space="0" w:color="auto"/>
            <w:left w:val="none" w:sz="0" w:space="0" w:color="auto"/>
            <w:bottom w:val="none" w:sz="0" w:space="0" w:color="auto"/>
            <w:right w:val="none" w:sz="0" w:space="0" w:color="auto"/>
          </w:divBdr>
        </w:div>
        <w:div w:id="1160388227">
          <w:marLeft w:val="360"/>
          <w:marRight w:val="0"/>
          <w:marTop w:val="0"/>
          <w:marBottom w:val="0"/>
          <w:divBdr>
            <w:top w:val="none" w:sz="0" w:space="0" w:color="auto"/>
            <w:left w:val="none" w:sz="0" w:space="0" w:color="auto"/>
            <w:bottom w:val="none" w:sz="0" w:space="0" w:color="auto"/>
            <w:right w:val="none" w:sz="0" w:space="0" w:color="auto"/>
          </w:divBdr>
        </w:div>
        <w:div w:id="1792358761">
          <w:marLeft w:val="360"/>
          <w:marRight w:val="0"/>
          <w:marTop w:val="0"/>
          <w:marBottom w:val="240"/>
          <w:divBdr>
            <w:top w:val="none" w:sz="0" w:space="0" w:color="auto"/>
            <w:left w:val="none" w:sz="0" w:space="0" w:color="auto"/>
            <w:bottom w:val="none" w:sz="0" w:space="0" w:color="auto"/>
            <w:right w:val="none" w:sz="0" w:space="0" w:color="auto"/>
          </w:divBdr>
        </w:div>
      </w:divsChild>
    </w:div>
    <w:div w:id="822624206">
      <w:bodyDiv w:val="1"/>
      <w:marLeft w:val="0"/>
      <w:marRight w:val="0"/>
      <w:marTop w:val="0"/>
      <w:marBottom w:val="0"/>
      <w:divBdr>
        <w:top w:val="none" w:sz="0" w:space="0" w:color="auto"/>
        <w:left w:val="none" w:sz="0" w:space="0" w:color="auto"/>
        <w:bottom w:val="none" w:sz="0" w:space="0" w:color="auto"/>
        <w:right w:val="none" w:sz="0" w:space="0" w:color="auto"/>
      </w:divBdr>
    </w:div>
    <w:div w:id="1920946775">
      <w:bodyDiv w:val="1"/>
      <w:marLeft w:val="0"/>
      <w:marRight w:val="0"/>
      <w:marTop w:val="0"/>
      <w:marBottom w:val="0"/>
      <w:divBdr>
        <w:top w:val="none" w:sz="0" w:space="0" w:color="auto"/>
        <w:left w:val="none" w:sz="0" w:space="0" w:color="auto"/>
        <w:bottom w:val="none" w:sz="0" w:space="0" w:color="auto"/>
        <w:right w:val="none" w:sz="0" w:space="0" w:color="auto"/>
      </w:divBdr>
    </w:div>
    <w:div w:id="1972437304">
      <w:bodyDiv w:val="1"/>
      <w:marLeft w:val="0"/>
      <w:marRight w:val="0"/>
      <w:marTop w:val="0"/>
      <w:marBottom w:val="0"/>
      <w:divBdr>
        <w:top w:val="none" w:sz="0" w:space="0" w:color="auto"/>
        <w:left w:val="none" w:sz="0" w:space="0" w:color="auto"/>
        <w:bottom w:val="none" w:sz="0" w:space="0" w:color="auto"/>
        <w:right w:val="none" w:sz="0" w:space="0" w:color="auto"/>
      </w:divBdr>
      <w:divsChild>
        <w:div w:id="1369910021">
          <w:marLeft w:val="0"/>
          <w:marRight w:val="0"/>
          <w:marTop w:val="0"/>
          <w:marBottom w:val="0"/>
          <w:divBdr>
            <w:top w:val="none" w:sz="0" w:space="0" w:color="auto"/>
            <w:left w:val="none" w:sz="0" w:space="0" w:color="auto"/>
            <w:bottom w:val="none" w:sz="0" w:space="0" w:color="auto"/>
            <w:right w:val="none" w:sz="0" w:space="0" w:color="auto"/>
          </w:divBdr>
        </w:div>
        <w:div w:id="1600795593">
          <w:marLeft w:val="0"/>
          <w:marRight w:val="0"/>
          <w:marTop w:val="0"/>
          <w:marBottom w:val="0"/>
          <w:divBdr>
            <w:top w:val="none" w:sz="0" w:space="0" w:color="auto"/>
            <w:left w:val="none" w:sz="0" w:space="0" w:color="auto"/>
            <w:bottom w:val="none" w:sz="0" w:space="0" w:color="auto"/>
            <w:right w:val="none" w:sz="0" w:space="0" w:color="auto"/>
          </w:divBdr>
        </w:div>
        <w:div w:id="195697785">
          <w:marLeft w:val="0"/>
          <w:marRight w:val="0"/>
          <w:marTop w:val="0"/>
          <w:marBottom w:val="0"/>
          <w:divBdr>
            <w:top w:val="none" w:sz="0" w:space="0" w:color="auto"/>
            <w:left w:val="none" w:sz="0" w:space="0" w:color="auto"/>
            <w:bottom w:val="none" w:sz="0" w:space="0" w:color="auto"/>
            <w:right w:val="none" w:sz="0" w:space="0" w:color="auto"/>
          </w:divBdr>
        </w:div>
        <w:div w:id="806169840">
          <w:marLeft w:val="0"/>
          <w:marRight w:val="0"/>
          <w:marTop w:val="0"/>
          <w:marBottom w:val="0"/>
          <w:divBdr>
            <w:top w:val="none" w:sz="0" w:space="0" w:color="auto"/>
            <w:left w:val="none" w:sz="0" w:space="0" w:color="auto"/>
            <w:bottom w:val="none" w:sz="0" w:space="0" w:color="auto"/>
            <w:right w:val="none" w:sz="0" w:space="0" w:color="auto"/>
          </w:divBdr>
        </w:div>
        <w:div w:id="952831197">
          <w:marLeft w:val="0"/>
          <w:marRight w:val="0"/>
          <w:marTop w:val="0"/>
          <w:marBottom w:val="0"/>
          <w:divBdr>
            <w:top w:val="none" w:sz="0" w:space="0" w:color="auto"/>
            <w:left w:val="none" w:sz="0" w:space="0" w:color="auto"/>
            <w:bottom w:val="none" w:sz="0" w:space="0" w:color="auto"/>
            <w:right w:val="none" w:sz="0" w:space="0" w:color="auto"/>
          </w:divBdr>
        </w:div>
        <w:div w:id="1373189050">
          <w:marLeft w:val="0"/>
          <w:marRight w:val="0"/>
          <w:marTop w:val="0"/>
          <w:marBottom w:val="0"/>
          <w:divBdr>
            <w:top w:val="none" w:sz="0" w:space="0" w:color="auto"/>
            <w:left w:val="none" w:sz="0" w:space="0" w:color="auto"/>
            <w:bottom w:val="none" w:sz="0" w:space="0" w:color="auto"/>
            <w:right w:val="none" w:sz="0" w:space="0" w:color="auto"/>
          </w:divBdr>
        </w:div>
      </w:divsChild>
    </w:div>
    <w:div w:id="2041203149">
      <w:bodyDiv w:val="1"/>
      <w:marLeft w:val="0"/>
      <w:marRight w:val="0"/>
      <w:marTop w:val="0"/>
      <w:marBottom w:val="0"/>
      <w:divBdr>
        <w:top w:val="none" w:sz="0" w:space="0" w:color="auto"/>
        <w:left w:val="none" w:sz="0" w:space="0" w:color="auto"/>
        <w:bottom w:val="none" w:sz="0" w:space="0" w:color="auto"/>
        <w:right w:val="none" w:sz="0" w:space="0" w:color="auto"/>
      </w:divBdr>
      <w:divsChild>
        <w:div w:id="45613653">
          <w:marLeft w:val="360"/>
          <w:marRight w:val="0"/>
          <w:marTop w:val="0"/>
          <w:marBottom w:val="240"/>
          <w:divBdr>
            <w:top w:val="none" w:sz="0" w:space="0" w:color="auto"/>
            <w:left w:val="none" w:sz="0" w:space="0" w:color="auto"/>
            <w:bottom w:val="none" w:sz="0" w:space="0" w:color="auto"/>
            <w:right w:val="none" w:sz="0" w:space="0" w:color="auto"/>
          </w:divBdr>
        </w:div>
        <w:div w:id="392199355">
          <w:marLeft w:val="360"/>
          <w:marRight w:val="0"/>
          <w:marTop w:val="0"/>
          <w:marBottom w:val="0"/>
          <w:divBdr>
            <w:top w:val="none" w:sz="0" w:space="0" w:color="auto"/>
            <w:left w:val="none" w:sz="0" w:space="0" w:color="auto"/>
            <w:bottom w:val="none" w:sz="0" w:space="0" w:color="auto"/>
            <w:right w:val="none" w:sz="0" w:space="0" w:color="auto"/>
          </w:divBdr>
        </w:div>
        <w:div w:id="1094740603">
          <w:marLeft w:val="360"/>
          <w:marRight w:val="0"/>
          <w:marTop w:val="0"/>
          <w:marBottom w:val="0"/>
          <w:divBdr>
            <w:top w:val="none" w:sz="0" w:space="0" w:color="auto"/>
            <w:left w:val="none" w:sz="0" w:space="0" w:color="auto"/>
            <w:bottom w:val="none" w:sz="0" w:space="0" w:color="auto"/>
            <w:right w:val="none" w:sz="0" w:space="0" w:color="auto"/>
          </w:divBdr>
        </w:div>
        <w:div w:id="21020265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engagement@health.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hgovtnz.sharepoint.com/sites/moh-ecm-TemplateCentral/TemplateCentral/Suicide%20Prevention%20Action%20Plan%202019&#8211;2024%20for%20Aotearoa%20New%20Zealand%20(He%20Tapu%20te%20Oran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nsult.health.govt.nz/mental-health/suicide-prevention-action-plan-2025-2029-c/" TargetMode="External"/><Relationship Id="rId4" Type="http://schemas.openxmlformats.org/officeDocument/2006/relationships/webSettings" Target="webSettings.xml"/><Relationship Id="rId9" Type="http://schemas.openxmlformats.org/officeDocument/2006/relationships/hyperlink" Target="file:///C:\Users\nwillis\AppData\Local\Microsoft\Windows\INetCache\Content.Outlook\PMQAFG45\Draft%20Suicide%20Prevention%20Action%20plan%20for%202025%20&#8211;%202029%20Public%20consultation%20document%20|%20Ministry%20of%20Health%20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7318</CharactersWithSpaces>
  <SharedDoc>false</SharedDoc>
  <HLinks>
    <vt:vector size="18" baseType="variant">
      <vt:variant>
        <vt:i4>3342426</vt:i4>
      </vt:variant>
      <vt:variant>
        <vt:i4>3</vt:i4>
      </vt:variant>
      <vt:variant>
        <vt:i4>0</vt:i4>
      </vt:variant>
      <vt:variant>
        <vt:i4>5</vt:i4>
      </vt:variant>
      <vt:variant>
        <vt:lpwstr>mailto:mhaengagement@health.govt.nz</vt:lpwstr>
      </vt:variant>
      <vt:variant>
        <vt:lpwstr/>
      </vt:variant>
      <vt:variant>
        <vt:i4>1253432</vt:i4>
      </vt:variant>
      <vt:variant>
        <vt:i4>0</vt:i4>
      </vt:variant>
      <vt:variant>
        <vt:i4>0</vt:i4>
      </vt:variant>
      <vt:variant>
        <vt:i4>5</vt:i4>
      </vt:variant>
      <vt:variant>
        <vt:lpwstr>https://mohgovtnz.sharepoint.com/sites/moh-ecm-TemplateCentral/TemplateCentral/Suicide Prevention Action Plan 2019–2024 for Aotearoa New Zealand (He Tapu te Oranga)</vt:lpwstr>
      </vt:variant>
      <vt:variant>
        <vt:lpwstr/>
      </vt:variant>
      <vt:variant>
        <vt:i4>4980837</vt:i4>
      </vt:variant>
      <vt:variant>
        <vt:i4>0</vt:i4>
      </vt:variant>
      <vt:variant>
        <vt:i4>0</vt:i4>
      </vt:variant>
      <vt:variant>
        <vt:i4>5</vt:i4>
      </vt:variant>
      <vt:variant>
        <vt:lpwstr>mailto:Eve.Kloppenburg@health.govt.nz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McNaughton</dc:creator>
  <cp:keywords/>
  <dc:description/>
  <cp:lastModifiedBy>Nicholas Edwards</cp:lastModifiedBy>
  <cp:revision>4</cp:revision>
  <dcterms:created xsi:type="dcterms:W3CDTF">2024-09-09T22:55:00Z</dcterms:created>
  <dcterms:modified xsi:type="dcterms:W3CDTF">2024-10-01T02:47:00Z</dcterms:modified>
</cp:coreProperties>
</file>