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1872" w14:textId="77777777" w:rsidR="00F14D9B" w:rsidRPr="00397CA8" w:rsidRDefault="00F14D9B" w:rsidP="00F14D9B">
      <w:pPr>
        <w:pStyle w:val="Title"/>
        <w:spacing w:before="240"/>
        <w:rPr>
          <w:sz w:val="36"/>
          <w:szCs w:val="36"/>
        </w:rPr>
      </w:pPr>
      <w:r>
        <w:rPr>
          <w:sz w:val="36"/>
          <w:szCs w:val="36"/>
        </w:rPr>
        <w:t>Unlocking the Potential of Active Ageing</w:t>
      </w:r>
    </w:p>
    <w:p w14:paraId="3135BEEF" w14:textId="77777777" w:rsidR="00F14D9B" w:rsidRPr="002C728D" w:rsidRDefault="00F14D9B" w:rsidP="00F14D9B">
      <w:pPr>
        <w:pStyle w:val="Subhead"/>
      </w:pPr>
      <w:r w:rsidRPr="002C728D">
        <w:t xml:space="preserve">Creating health-promoting and supportive environments to empower older people and enhance their contributions to </w:t>
      </w:r>
      <w:proofErr w:type="gramStart"/>
      <w:r w:rsidRPr="002C728D">
        <w:t>society</w:t>
      </w:r>
      <w:proofErr w:type="gramEnd"/>
    </w:p>
    <w:p w14:paraId="75EA916A" w14:textId="77777777" w:rsidR="00F14D9B" w:rsidRPr="00011D70" w:rsidRDefault="00F14D9B" w:rsidP="00F14D9B">
      <w:pPr>
        <w:pStyle w:val="Subhead"/>
      </w:pPr>
    </w:p>
    <w:p w14:paraId="42D9915C" w14:textId="77777777" w:rsidR="00F14D9B" w:rsidRDefault="00F14D9B" w:rsidP="00F14D9B">
      <w:pPr>
        <w:pStyle w:val="Subhead"/>
        <w:spacing w:before="240"/>
      </w:pPr>
      <w:r>
        <w:t>Public consultation on a topic for a Long-term Insights Briefing</w:t>
      </w:r>
    </w:p>
    <w:p w14:paraId="2FAA4805" w14:textId="77777777" w:rsidR="00F14D9B" w:rsidRPr="00531E12" w:rsidRDefault="00F14D9B" w:rsidP="00F14D9B">
      <w:pPr>
        <w:pStyle w:val="Year"/>
      </w:pPr>
      <w:r>
        <w:t>2024</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0042ACFD" w:rsidR="00A80363" w:rsidRPr="00C05132" w:rsidRDefault="00F14D9B" w:rsidP="00A63DFF">
      <w:pPr>
        <w:pStyle w:val="Imprint"/>
        <w:spacing w:before="1200"/>
        <w:rPr>
          <w:rFonts w:cs="Segoe UI"/>
        </w:rPr>
      </w:pPr>
      <w:r w:rsidRPr="00C05132">
        <w:rPr>
          <w:rFonts w:cs="Segoe UI"/>
        </w:rPr>
        <w:lastRenderedPageBreak/>
        <w:t xml:space="preserve">Citation: Ministry of Health. </w:t>
      </w:r>
      <w:r>
        <w:rPr>
          <w:rFonts w:cs="Segoe UI"/>
        </w:rPr>
        <w:t>2024</w:t>
      </w:r>
      <w:r w:rsidRPr="00C05132">
        <w:rPr>
          <w:rFonts w:cs="Segoe UI"/>
        </w:rPr>
        <w:t xml:space="preserve">. </w:t>
      </w:r>
      <w:r w:rsidRPr="00847FA3">
        <w:rPr>
          <w:rFonts w:cs="Segoe UI"/>
          <w:i/>
          <w:iCs/>
        </w:rPr>
        <w:t xml:space="preserve">Unlocking the </w:t>
      </w:r>
      <w:r>
        <w:rPr>
          <w:rFonts w:cs="Segoe UI"/>
          <w:i/>
          <w:iCs/>
        </w:rPr>
        <w:t>P</w:t>
      </w:r>
      <w:r w:rsidRPr="00847FA3">
        <w:rPr>
          <w:rFonts w:cs="Segoe UI"/>
          <w:i/>
          <w:iCs/>
        </w:rPr>
        <w:t xml:space="preserve">otential of </w:t>
      </w:r>
      <w:r>
        <w:rPr>
          <w:rFonts w:cs="Segoe UI"/>
          <w:i/>
          <w:iCs/>
        </w:rPr>
        <w:t>A</w:t>
      </w:r>
      <w:r w:rsidRPr="00847FA3">
        <w:rPr>
          <w:rFonts w:cs="Segoe UI"/>
          <w:i/>
          <w:iCs/>
        </w:rPr>
        <w:t xml:space="preserve">ctive </w:t>
      </w:r>
      <w:r>
        <w:rPr>
          <w:rFonts w:cs="Segoe UI"/>
          <w:i/>
          <w:iCs/>
        </w:rPr>
        <w:t>A</w:t>
      </w:r>
      <w:r w:rsidRPr="00847FA3">
        <w:rPr>
          <w:rFonts w:cs="Segoe UI"/>
          <w:i/>
          <w:iCs/>
        </w:rPr>
        <w:t>geing</w:t>
      </w:r>
      <w:r>
        <w:rPr>
          <w:rFonts w:cs="Segoe UI"/>
          <w:i/>
          <w:iCs/>
        </w:rPr>
        <w:t>: Creating health-promoting and supportive environments to empower older people and enhance their contributions to society</w:t>
      </w:r>
      <w:r w:rsidRPr="00C05132">
        <w:rPr>
          <w:rFonts w:cs="Segoe UI"/>
        </w:rPr>
        <w:t>. Wellington: Ministry of Health</w:t>
      </w:r>
      <w:r w:rsidR="00442C1C" w:rsidRPr="00C05132">
        <w:rPr>
          <w:rFonts w:cs="Segoe UI"/>
        </w:rPr>
        <w:t>.</w:t>
      </w:r>
    </w:p>
    <w:p w14:paraId="30729616" w14:textId="77777777" w:rsidR="00F14D9B" w:rsidRDefault="00F14D9B" w:rsidP="00082CD6">
      <w:pPr>
        <w:pStyle w:val="Imprint"/>
      </w:pPr>
      <w:r>
        <w:t xml:space="preserve">Published in </w:t>
      </w:r>
      <w:r w:rsidRPr="00E90D51">
        <w:t>November 202</w:t>
      </w:r>
      <w:r>
        <w:t>4 by the Ministry of Health</w:t>
      </w:r>
      <w:r>
        <w:br/>
        <w:t xml:space="preserve">PO Box 5013, Wellington 6140, New Zealand </w:t>
      </w:r>
    </w:p>
    <w:p w14:paraId="0F4C9A9B" w14:textId="2AF6D898" w:rsidR="00F14D9B" w:rsidRPr="009C0F2D" w:rsidRDefault="00F14D9B" w:rsidP="00F14D9B">
      <w:pPr>
        <w:pStyle w:val="Imprint"/>
      </w:pPr>
      <w:r w:rsidRPr="00DE3D45">
        <w:t xml:space="preserve">ISBN </w:t>
      </w:r>
      <w:r w:rsidR="00B14A4F" w:rsidRPr="00B14A4F">
        <w:t>978-1-991324-03-0</w:t>
      </w:r>
      <w:r w:rsidRPr="00DE3D45">
        <w:t xml:space="preserve"> (online)</w:t>
      </w:r>
      <w:r w:rsidRPr="00DE3D45">
        <w:br/>
        <w:t xml:space="preserve">HP </w:t>
      </w:r>
      <w:r w:rsidR="008045A0">
        <w:t>9096</w:t>
      </w:r>
    </w:p>
    <w:p w14:paraId="48DBDA36" w14:textId="77777777" w:rsidR="00C86248" w:rsidRDefault="008C64C4" w:rsidP="00A63DFF">
      <w:r>
        <w:rPr>
          <w:noProof/>
          <w:lang w:eastAsia="en-NZ"/>
        </w:rPr>
        <w:drawing>
          <wp:inline distT="0" distB="0" distL="0" distR="0" wp14:anchorId="6EF4539D" wp14:editId="2581F50B">
            <wp:extent cx="1216825" cy="493307"/>
            <wp:effectExtent l="0" t="0" r="2540" b="254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6825" cy="493307"/>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3C70FAF9" w14:textId="77777777" w:rsidR="00D662F8" w:rsidRDefault="00D662F8" w:rsidP="0046362D">
      <w:bookmarkStart w:id="1" w:name="_Toc405792991"/>
      <w:bookmarkStart w:id="2" w:name="_Toc405793224"/>
    </w:p>
    <w:p w14:paraId="5F0A1A72" w14:textId="77777777" w:rsidR="00F14D9B" w:rsidRPr="00E318A3" w:rsidRDefault="00F14D9B" w:rsidP="00F14D9B">
      <w:pPr>
        <w:pStyle w:val="Heading3"/>
        <w:spacing w:before="0"/>
        <w:rPr>
          <w:b/>
          <w:sz w:val="48"/>
          <w:szCs w:val="48"/>
        </w:rPr>
      </w:pPr>
      <w:r w:rsidRPr="00E318A3">
        <w:rPr>
          <w:b/>
          <w:sz w:val="48"/>
          <w:szCs w:val="48"/>
        </w:rPr>
        <w:t xml:space="preserve">We are seeking your </w:t>
      </w:r>
      <w:proofErr w:type="gramStart"/>
      <w:r w:rsidRPr="00E318A3">
        <w:rPr>
          <w:b/>
          <w:sz w:val="48"/>
          <w:szCs w:val="48"/>
        </w:rPr>
        <w:t>feedback</w:t>
      </w:r>
      <w:proofErr w:type="gramEnd"/>
    </w:p>
    <w:p w14:paraId="21A56706" w14:textId="77777777" w:rsidR="00F14D9B" w:rsidRPr="006B2E4C" w:rsidRDefault="00F14D9B" w:rsidP="00F14D9B">
      <w:pPr>
        <w:rPr>
          <w:b/>
          <w:bCs/>
        </w:rPr>
      </w:pPr>
      <w:r>
        <w:t xml:space="preserve">The Ministry of Health - Manatū Hauora is seeking written feedback on the proposed topic of its Long-term Insights Briefing by </w:t>
      </w:r>
      <w:r>
        <w:rPr>
          <w:b/>
          <w:bCs/>
        </w:rPr>
        <w:t>Monday 2 December 2024.</w:t>
      </w:r>
    </w:p>
    <w:p w14:paraId="616E2253" w14:textId="77777777" w:rsidR="00F14D9B" w:rsidRDefault="00F14D9B" w:rsidP="00F14D9B"/>
    <w:p w14:paraId="5927BF7D" w14:textId="77777777" w:rsidR="00F14D9B" w:rsidRDefault="00F14D9B" w:rsidP="00F14D9B">
      <w:r>
        <w:t>This is the first phase of a two-phase public consultation approach to develop our briefing. You can make your submission by:</w:t>
      </w:r>
    </w:p>
    <w:p w14:paraId="64EA097B" w14:textId="77777777" w:rsidR="00F14D9B" w:rsidRDefault="00F14D9B" w:rsidP="00F14D9B">
      <w:pPr>
        <w:pStyle w:val="Bullet"/>
        <w:tabs>
          <w:tab w:val="num" w:pos="284"/>
        </w:tabs>
      </w:pPr>
      <w:r>
        <w:t xml:space="preserve">completing the online form provided on </w:t>
      </w:r>
      <w:hyperlink r:id="rId17" w:history="1">
        <w:r w:rsidRPr="00063004">
          <w:rPr>
            <w:rStyle w:val="Hyperlink"/>
          </w:rPr>
          <w:t>Citizen Space</w:t>
        </w:r>
      </w:hyperlink>
      <w:r>
        <w:t xml:space="preserve"> </w:t>
      </w:r>
    </w:p>
    <w:p w14:paraId="017AA32E" w14:textId="77777777" w:rsidR="00F14D9B" w:rsidRDefault="00F14D9B" w:rsidP="00F14D9B">
      <w:pPr>
        <w:pStyle w:val="Bullet"/>
        <w:tabs>
          <w:tab w:val="num" w:pos="284"/>
        </w:tabs>
      </w:pPr>
      <w:r>
        <w:t xml:space="preserve">emailing your feedback to: </w:t>
      </w:r>
      <w:hyperlink r:id="rId18" w:history="1">
        <w:r w:rsidRPr="0016277C">
          <w:rPr>
            <w:rStyle w:val="Hyperlink"/>
          </w:rPr>
          <w:t>LTIB@health.govt.nz</w:t>
        </w:r>
      </w:hyperlink>
      <w:r>
        <w:t xml:space="preserve">  </w:t>
      </w:r>
    </w:p>
    <w:p w14:paraId="58D2D9FA" w14:textId="77777777" w:rsidR="00F14D9B" w:rsidRDefault="00F14D9B" w:rsidP="00F14D9B">
      <w:pPr>
        <w:pStyle w:val="Bullet"/>
        <w:tabs>
          <w:tab w:val="num" w:pos="284"/>
        </w:tabs>
      </w:pPr>
      <w:r>
        <w:t>posting it to: Strategy Group, Ministry of Health, PO Box 5013, Wellington 6140.</w:t>
      </w:r>
    </w:p>
    <w:p w14:paraId="2C01237D" w14:textId="77777777" w:rsidR="00F14D9B" w:rsidRDefault="00F14D9B" w:rsidP="00F14D9B"/>
    <w:p w14:paraId="42BB4548" w14:textId="77777777" w:rsidR="00F14D9B" w:rsidRDefault="00F14D9B" w:rsidP="00F14D9B">
      <w:r>
        <w:t>Please include your name, the name of your organisation (if applicable) and contact details in your submission. You may also include links to relevant evidence (for example, research references) and outline the values that underpin your comments.</w:t>
      </w:r>
    </w:p>
    <w:p w14:paraId="255DB0F3" w14:textId="77777777" w:rsidR="00F14D9B" w:rsidRDefault="00F14D9B" w:rsidP="00F14D9B"/>
    <w:p w14:paraId="165A334C" w14:textId="77777777" w:rsidR="00F14D9B" w:rsidRDefault="00F14D9B" w:rsidP="00F14D9B">
      <w:pPr>
        <w:sectPr w:rsidR="00F14D9B" w:rsidSect="00D533DB">
          <w:headerReference w:type="even" r:id="rId19"/>
          <w:headerReference w:type="default" r:id="rId20"/>
          <w:footerReference w:type="even" r:id="rId21"/>
          <w:footerReference w:type="default" r:id="rId22"/>
          <w:headerReference w:type="first" r:id="rId23"/>
          <w:pgSz w:w="11907" w:h="16840" w:code="9"/>
          <w:pgMar w:top="1418" w:right="1701" w:bottom="1134" w:left="1843" w:header="284" w:footer="425" w:gutter="284"/>
          <w:pgNumType w:fmt="lowerRoman"/>
          <w:cols w:space="720"/>
        </w:sectPr>
      </w:pPr>
      <w:r>
        <w:t>For more information on how we intend to use and publish your feedback, and how we will protect your private information, see Annex 1.</w:t>
      </w:r>
    </w:p>
    <w:p w14:paraId="648D4F84" w14:textId="77777777" w:rsidR="00C86248" w:rsidRDefault="00C86248" w:rsidP="00025A6F">
      <w:pPr>
        <w:pStyle w:val="IntroHead"/>
      </w:pPr>
      <w:r>
        <w:lastRenderedPageBreak/>
        <w:t>Contents</w:t>
      </w:r>
      <w:bookmarkEnd w:id="1"/>
      <w:bookmarkEnd w:id="2"/>
    </w:p>
    <w:p w14:paraId="2BC99E8B" w14:textId="7CE34270" w:rsidR="005771C0" w:rsidRDefault="005771C0">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81362209" w:history="1">
        <w:r w:rsidRPr="003B6DA6">
          <w:rPr>
            <w:rStyle w:val="Hyperlink"/>
            <w:noProof/>
          </w:rPr>
          <w:t>Part One: Who we are and what a Long-term Insights Briefing is</w:t>
        </w:r>
        <w:r>
          <w:rPr>
            <w:noProof/>
            <w:webHidden/>
          </w:rPr>
          <w:tab/>
        </w:r>
        <w:r>
          <w:rPr>
            <w:noProof/>
            <w:webHidden/>
          </w:rPr>
          <w:fldChar w:fldCharType="begin"/>
        </w:r>
        <w:r>
          <w:rPr>
            <w:noProof/>
            <w:webHidden/>
          </w:rPr>
          <w:instrText xml:space="preserve"> PAGEREF _Toc181362209 \h </w:instrText>
        </w:r>
        <w:r>
          <w:rPr>
            <w:noProof/>
            <w:webHidden/>
          </w:rPr>
        </w:r>
        <w:r>
          <w:rPr>
            <w:noProof/>
            <w:webHidden/>
          </w:rPr>
          <w:fldChar w:fldCharType="separate"/>
        </w:r>
        <w:r w:rsidR="007F3272">
          <w:rPr>
            <w:noProof/>
            <w:webHidden/>
          </w:rPr>
          <w:t>1</w:t>
        </w:r>
        <w:r>
          <w:rPr>
            <w:noProof/>
            <w:webHidden/>
          </w:rPr>
          <w:fldChar w:fldCharType="end"/>
        </w:r>
      </w:hyperlink>
    </w:p>
    <w:p w14:paraId="70D3FB15" w14:textId="5541229E"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10" w:history="1">
        <w:r w:rsidR="005771C0" w:rsidRPr="003B6DA6">
          <w:rPr>
            <w:rStyle w:val="Hyperlink"/>
            <w:noProof/>
          </w:rPr>
          <w:t>About the Ministry of Health – Manatū Hauora</w:t>
        </w:r>
        <w:r w:rsidR="005771C0">
          <w:rPr>
            <w:noProof/>
            <w:webHidden/>
          </w:rPr>
          <w:tab/>
        </w:r>
        <w:r w:rsidR="005771C0">
          <w:rPr>
            <w:noProof/>
            <w:webHidden/>
          </w:rPr>
          <w:fldChar w:fldCharType="begin"/>
        </w:r>
        <w:r w:rsidR="005771C0">
          <w:rPr>
            <w:noProof/>
            <w:webHidden/>
          </w:rPr>
          <w:instrText xml:space="preserve"> PAGEREF _Toc181362210 \h </w:instrText>
        </w:r>
        <w:r w:rsidR="005771C0">
          <w:rPr>
            <w:noProof/>
            <w:webHidden/>
          </w:rPr>
        </w:r>
        <w:r w:rsidR="005771C0">
          <w:rPr>
            <w:noProof/>
            <w:webHidden/>
          </w:rPr>
          <w:fldChar w:fldCharType="separate"/>
        </w:r>
        <w:r w:rsidR="007F3272">
          <w:rPr>
            <w:noProof/>
            <w:webHidden/>
          </w:rPr>
          <w:t>1</w:t>
        </w:r>
        <w:r w:rsidR="005771C0">
          <w:rPr>
            <w:noProof/>
            <w:webHidden/>
          </w:rPr>
          <w:fldChar w:fldCharType="end"/>
        </w:r>
      </w:hyperlink>
    </w:p>
    <w:p w14:paraId="0F544480" w14:textId="49F5B810"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11" w:history="1">
        <w:r w:rsidR="005771C0" w:rsidRPr="003B6DA6">
          <w:rPr>
            <w:rStyle w:val="Hyperlink"/>
            <w:noProof/>
          </w:rPr>
          <w:t>About Long-term Insights Briefings</w:t>
        </w:r>
        <w:r w:rsidR="005771C0">
          <w:rPr>
            <w:noProof/>
            <w:webHidden/>
          </w:rPr>
          <w:tab/>
        </w:r>
        <w:r w:rsidR="005771C0">
          <w:rPr>
            <w:noProof/>
            <w:webHidden/>
          </w:rPr>
          <w:fldChar w:fldCharType="begin"/>
        </w:r>
        <w:r w:rsidR="005771C0">
          <w:rPr>
            <w:noProof/>
            <w:webHidden/>
          </w:rPr>
          <w:instrText xml:space="preserve"> PAGEREF _Toc181362211 \h </w:instrText>
        </w:r>
        <w:r w:rsidR="005771C0">
          <w:rPr>
            <w:noProof/>
            <w:webHidden/>
          </w:rPr>
        </w:r>
        <w:r w:rsidR="005771C0">
          <w:rPr>
            <w:noProof/>
            <w:webHidden/>
          </w:rPr>
          <w:fldChar w:fldCharType="separate"/>
        </w:r>
        <w:r w:rsidR="007F3272">
          <w:rPr>
            <w:noProof/>
            <w:webHidden/>
          </w:rPr>
          <w:t>1</w:t>
        </w:r>
        <w:r w:rsidR="005771C0">
          <w:rPr>
            <w:noProof/>
            <w:webHidden/>
          </w:rPr>
          <w:fldChar w:fldCharType="end"/>
        </w:r>
      </w:hyperlink>
    </w:p>
    <w:p w14:paraId="2ED49D52" w14:textId="746223C3"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12" w:history="1">
        <w:r w:rsidR="005771C0" w:rsidRPr="003B6DA6">
          <w:rPr>
            <w:rStyle w:val="Hyperlink"/>
            <w:noProof/>
          </w:rPr>
          <w:t>Opportunities to contribute to this Long-term Insights Briefing</w:t>
        </w:r>
        <w:r w:rsidR="005771C0">
          <w:rPr>
            <w:noProof/>
            <w:webHidden/>
          </w:rPr>
          <w:tab/>
        </w:r>
        <w:r w:rsidR="005771C0">
          <w:rPr>
            <w:noProof/>
            <w:webHidden/>
          </w:rPr>
          <w:fldChar w:fldCharType="begin"/>
        </w:r>
        <w:r w:rsidR="005771C0">
          <w:rPr>
            <w:noProof/>
            <w:webHidden/>
          </w:rPr>
          <w:instrText xml:space="preserve"> PAGEREF _Toc181362212 \h </w:instrText>
        </w:r>
        <w:r w:rsidR="005771C0">
          <w:rPr>
            <w:noProof/>
            <w:webHidden/>
          </w:rPr>
        </w:r>
        <w:r w:rsidR="005771C0">
          <w:rPr>
            <w:noProof/>
            <w:webHidden/>
          </w:rPr>
          <w:fldChar w:fldCharType="separate"/>
        </w:r>
        <w:r w:rsidR="007F3272">
          <w:rPr>
            <w:noProof/>
            <w:webHidden/>
          </w:rPr>
          <w:t>2</w:t>
        </w:r>
        <w:r w:rsidR="005771C0">
          <w:rPr>
            <w:noProof/>
            <w:webHidden/>
          </w:rPr>
          <w:fldChar w:fldCharType="end"/>
        </w:r>
      </w:hyperlink>
    </w:p>
    <w:p w14:paraId="2DA41CD2" w14:textId="2DA3400F" w:rsidR="005771C0" w:rsidRDefault="007E2B1C">
      <w:pPr>
        <w:pStyle w:val="TOC1"/>
        <w:rPr>
          <w:rFonts w:asciiTheme="minorHAnsi" w:eastAsiaTheme="minorEastAsia" w:hAnsiTheme="minorHAnsi" w:cstheme="minorBidi"/>
          <w:noProof/>
          <w:kern w:val="2"/>
          <w:sz w:val="22"/>
          <w:szCs w:val="22"/>
          <w:lang w:eastAsia="en-NZ"/>
          <w14:ligatures w14:val="standardContextual"/>
        </w:rPr>
      </w:pPr>
      <w:hyperlink w:anchor="_Toc181362213" w:history="1">
        <w:r w:rsidR="005771C0" w:rsidRPr="003B6DA6">
          <w:rPr>
            <w:rStyle w:val="Hyperlink"/>
            <w:noProof/>
          </w:rPr>
          <w:t>Part Two: Our proposed topic</w:t>
        </w:r>
        <w:r w:rsidR="005771C0">
          <w:rPr>
            <w:noProof/>
            <w:webHidden/>
          </w:rPr>
          <w:tab/>
        </w:r>
        <w:r w:rsidR="005771C0">
          <w:rPr>
            <w:noProof/>
            <w:webHidden/>
          </w:rPr>
          <w:fldChar w:fldCharType="begin"/>
        </w:r>
        <w:r w:rsidR="005771C0">
          <w:rPr>
            <w:noProof/>
            <w:webHidden/>
          </w:rPr>
          <w:instrText xml:space="preserve"> PAGEREF _Toc181362213 \h </w:instrText>
        </w:r>
        <w:r w:rsidR="005771C0">
          <w:rPr>
            <w:noProof/>
            <w:webHidden/>
          </w:rPr>
        </w:r>
        <w:r w:rsidR="005771C0">
          <w:rPr>
            <w:noProof/>
            <w:webHidden/>
          </w:rPr>
          <w:fldChar w:fldCharType="separate"/>
        </w:r>
        <w:r w:rsidR="007F3272">
          <w:rPr>
            <w:noProof/>
            <w:webHidden/>
          </w:rPr>
          <w:t>3</w:t>
        </w:r>
        <w:r w:rsidR="005771C0">
          <w:rPr>
            <w:noProof/>
            <w:webHidden/>
          </w:rPr>
          <w:fldChar w:fldCharType="end"/>
        </w:r>
      </w:hyperlink>
    </w:p>
    <w:p w14:paraId="0BF26974" w14:textId="4513E775"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14" w:history="1">
        <w:r w:rsidR="005771C0" w:rsidRPr="003B6DA6">
          <w:rPr>
            <w:rStyle w:val="Hyperlink"/>
            <w:noProof/>
          </w:rPr>
          <w:t>About active ageing</w:t>
        </w:r>
        <w:r w:rsidR="005771C0">
          <w:rPr>
            <w:noProof/>
            <w:webHidden/>
          </w:rPr>
          <w:tab/>
        </w:r>
        <w:r w:rsidR="005771C0">
          <w:rPr>
            <w:noProof/>
            <w:webHidden/>
          </w:rPr>
          <w:fldChar w:fldCharType="begin"/>
        </w:r>
        <w:r w:rsidR="005771C0">
          <w:rPr>
            <w:noProof/>
            <w:webHidden/>
          </w:rPr>
          <w:instrText xml:space="preserve"> PAGEREF _Toc181362214 \h </w:instrText>
        </w:r>
        <w:r w:rsidR="005771C0">
          <w:rPr>
            <w:noProof/>
            <w:webHidden/>
          </w:rPr>
        </w:r>
        <w:r w:rsidR="005771C0">
          <w:rPr>
            <w:noProof/>
            <w:webHidden/>
          </w:rPr>
          <w:fldChar w:fldCharType="separate"/>
        </w:r>
        <w:r w:rsidR="007F3272">
          <w:rPr>
            <w:noProof/>
            <w:webHidden/>
          </w:rPr>
          <w:t>4</w:t>
        </w:r>
        <w:r w:rsidR="005771C0">
          <w:rPr>
            <w:noProof/>
            <w:webHidden/>
          </w:rPr>
          <w:fldChar w:fldCharType="end"/>
        </w:r>
      </w:hyperlink>
    </w:p>
    <w:p w14:paraId="6DC42D5A" w14:textId="3DB00817" w:rsidR="005771C0" w:rsidRDefault="007E2B1C">
      <w:pPr>
        <w:pStyle w:val="TOC1"/>
        <w:rPr>
          <w:rFonts w:asciiTheme="minorHAnsi" w:eastAsiaTheme="minorEastAsia" w:hAnsiTheme="minorHAnsi" w:cstheme="minorBidi"/>
          <w:noProof/>
          <w:kern w:val="2"/>
          <w:sz w:val="22"/>
          <w:szCs w:val="22"/>
          <w:lang w:eastAsia="en-NZ"/>
          <w14:ligatures w14:val="standardContextual"/>
        </w:rPr>
      </w:pPr>
      <w:hyperlink w:anchor="_Toc181362215" w:history="1">
        <w:r w:rsidR="005771C0" w:rsidRPr="003B6DA6">
          <w:rPr>
            <w:rStyle w:val="Hyperlink"/>
            <w:noProof/>
          </w:rPr>
          <w:t>Part Three: Why our proposed topic is important</w:t>
        </w:r>
        <w:r w:rsidR="005771C0">
          <w:rPr>
            <w:noProof/>
            <w:webHidden/>
          </w:rPr>
          <w:tab/>
        </w:r>
        <w:r w:rsidR="005771C0">
          <w:rPr>
            <w:noProof/>
            <w:webHidden/>
          </w:rPr>
          <w:fldChar w:fldCharType="begin"/>
        </w:r>
        <w:r w:rsidR="005771C0">
          <w:rPr>
            <w:noProof/>
            <w:webHidden/>
          </w:rPr>
          <w:instrText xml:space="preserve"> PAGEREF _Toc181362215 \h </w:instrText>
        </w:r>
        <w:r w:rsidR="005771C0">
          <w:rPr>
            <w:noProof/>
            <w:webHidden/>
          </w:rPr>
        </w:r>
        <w:r w:rsidR="005771C0">
          <w:rPr>
            <w:noProof/>
            <w:webHidden/>
          </w:rPr>
          <w:fldChar w:fldCharType="separate"/>
        </w:r>
        <w:r w:rsidR="007F3272">
          <w:rPr>
            <w:noProof/>
            <w:webHidden/>
          </w:rPr>
          <w:t>6</w:t>
        </w:r>
        <w:r w:rsidR="005771C0">
          <w:rPr>
            <w:noProof/>
            <w:webHidden/>
          </w:rPr>
          <w:fldChar w:fldCharType="end"/>
        </w:r>
      </w:hyperlink>
    </w:p>
    <w:p w14:paraId="1A0CC7F7" w14:textId="3951E93B"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16" w:history="1">
        <w:r w:rsidR="005771C0" w:rsidRPr="003B6DA6">
          <w:rPr>
            <w:rStyle w:val="Hyperlink"/>
            <w:noProof/>
          </w:rPr>
          <w:t>Older people make valuable contributions to society</w:t>
        </w:r>
        <w:r w:rsidR="005771C0">
          <w:rPr>
            <w:noProof/>
            <w:webHidden/>
          </w:rPr>
          <w:tab/>
        </w:r>
        <w:r w:rsidR="005771C0">
          <w:rPr>
            <w:noProof/>
            <w:webHidden/>
          </w:rPr>
          <w:fldChar w:fldCharType="begin"/>
        </w:r>
        <w:r w:rsidR="005771C0">
          <w:rPr>
            <w:noProof/>
            <w:webHidden/>
          </w:rPr>
          <w:instrText xml:space="preserve"> PAGEREF _Toc181362216 \h </w:instrText>
        </w:r>
        <w:r w:rsidR="005771C0">
          <w:rPr>
            <w:noProof/>
            <w:webHidden/>
          </w:rPr>
        </w:r>
        <w:r w:rsidR="005771C0">
          <w:rPr>
            <w:noProof/>
            <w:webHidden/>
          </w:rPr>
          <w:fldChar w:fldCharType="separate"/>
        </w:r>
        <w:r w:rsidR="007F3272">
          <w:rPr>
            <w:noProof/>
            <w:webHidden/>
          </w:rPr>
          <w:t>6</w:t>
        </w:r>
        <w:r w:rsidR="005771C0">
          <w:rPr>
            <w:noProof/>
            <w:webHidden/>
          </w:rPr>
          <w:fldChar w:fldCharType="end"/>
        </w:r>
      </w:hyperlink>
    </w:p>
    <w:p w14:paraId="7760025A" w14:textId="7C9C0133"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17" w:history="1">
        <w:r w:rsidR="005771C0" w:rsidRPr="003B6DA6">
          <w:rPr>
            <w:rStyle w:val="Hyperlink"/>
            <w:noProof/>
          </w:rPr>
          <w:t>Aotearoa New Zealand has an ageing population</w:t>
        </w:r>
        <w:r w:rsidR="005771C0">
          <w:rPr>
            <w:noProof/>
            <w:webHidden/>
          </w:rPr>
          <w:tab/>
        </w:r>
        <w:r w:rsidR="005771C0">
          <w:rPr>
            <w:noProof/>
            <w:webHidden/>
          </w:rPr>
          <w:fldChar w:fldCharType="begin"/>
        </w:r>
        <w:r w:rsidR="005771C0">
          <w:rPr>
            <w:noProof/>
            <w:webHidden/>
          </w:rPr>
          <w:instrText xml:space="preserve"> PAGEREF _Toc181362217 \h </w:instrText>
        </w:r>
        <w:r w:rsidR="005771C0">
          <w:rPr>
            <w:noProof/>
            <w:webHidden/>
          </w:rPr>
        </w:r>
        <w:r w:rsidR="005771C0">
          <w:rPr>
            <w:noProof/>
            <w:webHidden/>
          </w:rPr>
          <w:fldChar w:fldCharType="separate"/>
        </w:r>
        <w:r w:rsidR="007F3272">
          <w:rPr>
            <w:noProof/>
            <w:webHidden/>
          </w:rPr>
          <w:t>6</w:t>
        </w:r>
        <w:r w:rsidR="005771C0">
          <w:rPr>
            <w:noProof/>
            <w:webHidden/>
          </w:rPr>
          <w:fldChar w:fldCharType="end"/>
        </w:r>
      </w:hyperlink>
    </w:p>
    <w:p w14:paraId="39473CAB" w14:textId="44D56DB2"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18" w:history="1">
        <w:r w:rsidR="005771C0" w:rsidRPr="003B6DA6">
          <w:rPr>
            <w:rStyle w:val="Hyperlink"/>
            <w:noProof/>
          </w:rPr>
          <w:t>Enablers and barriers to unlocking active ageing</w:t>
        </w:r>
        <w:r w:rsidR="005771C0">
          <w:rPr>
            <w:noProof/>
            <w:webHidden/>
          </w:rPr>
          <w:tab/>
        </w:r>
        <w:r w:rsidR="005771C0">
          <w:rPr>
            <w:noProof/>
            <w:webHidden/>
          </w:rPr>
          <w:fldChar w:fldCharType="begin"/>
        </w:r>
        <w:r w:rsidR="005771C0">
          <w:rPr>
            <w:noProof/>
            <w:webHidden/>
          </w:rPr>
          <w:instrText xml:space="preserve"> PAGEREF _Toc181362218 \h </w:instrText>
        </w:r>
        <w:r w:rsidR="005771C0">
          <w:rPr>
            <w:noProof/>
            <w:webHidden/>
          </w:rPr>
        </w:r>
        <w:r w:rsidR="005771C0">
          <w:rPr>
            <w:noProof/>
            <w:webHidden/>
          </w:rPr>
          <w:fldChar w:fldCharType="separate"/>
        </w:r>
        <w:r w:rsidR="007F3272">
          <w:rPr>
            <w:noProof/>
            <w:webHidden/>
          </w:rPr>
          <w:t>9</w:t>
        </w:r>
        <w:r w:rsidR="005771C0">
          <w:rPr>
            <w:noProof/>
            <w:webHidden/>
          </w:rPr>
          <w:fldChar w:fldCharType="end"/>
        </w:r>
      </w:hyperlink>
    </w:p>
    <w:p w14:paraId="7CEF3D44" w14:textId="488AB118" w:rsidR="005771C0" w:rsidRDefault="007E2B1C">
      <w:pPr>
        <w:pStyle w:val="TOC1"/>
        <w:rPr>
          <w:rFonts w:asciiTheme="minorHAnsi" w:eastAsiaTheme="minorEastAsia" w:hAnsiTheme="minorHAnsi" w:cstheme="minorBidi"/>
          <w:noProof/>
          <w:kern w:val="2"/>
          <w:sz w:val="22"/>
          <w:szCs w:val="22"/>
          <w:lang w:eastAsia="en-NZ"/>
          <w14:ligatures w14:val="standardContextual"/>
        </w:rPr>
      </w:pPr>
      <w:hyperlink w:anchor="_Toc181362219" w:history="1">
        <w:r w:rsidR="005771C0" w:rsidRPr="003B6DA6">
          <w:rPr>
            <w:rStyle w:val="Hyperlink"/>
            <w:bCs/>
            <w:noProof/>
          </w:rPr>
          <w:t>Part Four: Areas to explore in our Long-term Insights Briefing</w:t>
        </w:r>
        <w:r w:rsidR="005771C0">
          <w:rPr>
            <w:noProof/>
            <w:webHidden/>
          </w:rPr>
          <w:tab/>
        </w:r>
        <w:r w:rsidR="005771C0">
          <w:rPr>
            <w:noProof/>
            <w:webHidden/>
          </w:rPr>
          <w:fldChar w:fldCharType="begin"/>
        </w:r>
        <w:r w:rsidR="005771C0">
          <w:rPr>
            <w:noProof/>
            <w:webHidden/>
          </w:rPr>
          <w:instrText xml:space="preserve"> PAGEREF _Toc181362219 \h </w:instrText>
        </w:r>
        <w:r w:rsidR="005771C0">
          <w:rPr>
            <w:noProof/>
            <w:webHidden/>
          </w:rPr>
        </w:r>
        <w:r w:rsidR="005771C0">
          <w:rPr>
            <w:noProof/>
            <w:webHidden/>
          </w:rPr>
          <w:fldChar w:fldCharType="separate"/>
        </w:r>
        <w:r w:rsidR="007F3272">
          <w:rPr>
            <w:noProof/>
            <w:webHidden/>
          </w:rPr>
          <w:t>11</w:t>
        </w:r>
        <w:r w:rsidR="005771C0">
          <w:rPr>
            <w:noProof/>
            <w:webHidden/>
          </w:rPr>
          <w:fldChar w:fldCharType="end"/>
        </w:r>
      </w:hyperlink>
    </w:p>
    <w:p w14:paraId="010E4F0C" w14:textId="47CAD771"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20" w:history="1">
        <w:r w:rsidR="005771C0" w:rsidRPr="003B6DA6">
          <w:rPr>
            <w:rStyle w:val="Hyperlink"/>
            <w:noProof/>
          </w:rPr>
          <w:t>Using focus areas to identify opportunities and challenges within active ageing</w:t>
        </w:r>
        <w:r w:rsidR="005771C0">
          <w:rPr>
            <w:noProof/>
            <w:webHidden/>
          </w:rPr>
          <w:tab/>
        </w:r>
        <w:r w:rsidR="005771C0">
          <w:rPr>
            <w:noProof/>
            <w:webHidden/>
          </w:rPr>
          <w:fldChar w:fldCharType="begin"/>
        </w:r>
        <w:r w:rsidR="005771C0">
          <w:rPr>
            <w:noProof/>
            <w:webHidden/>
          </w:rPr>
          <w:instrText xml:space="preserve"> PAGEREF _Toc181362220 \h </w:instrText>
        </w:r>
        <w:r w:rsidR="005771C0">
          <w:rPr>
            <w:noProof/>
            <w:webHidden/>
          </w:rPr>
        </w:r>
        <w:r w:rsidR="005771C0">
          <w:rPr>
            <w:noProof/>
            <w:webHidden/>
          </w:rPr>
          <w:fldChar w:fldCharType="separate"/>
        </w:r>
        <w:r w:rsidR="007F3272">
          <w:rPr>
            <w:noProof/>
            <w:webHidden/>
          </w:rPr>
          <w:t>11</w:t>
        </w:r>
        <w:r w:rsidR="005771C0">
          <w:rPr>
            <w:noProof/>
            <w:webHidden/>
          </w:rPr>
          <w:fldChar w:fldCharType="end"/>
        </w:r>
      </w:hyperlink>
    </w:p>
    <w:p w14:paraId="1CFB1DDC" w14:textId="6A4F40BF"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21" w:history="1">
        <w:r w:rsidR="005771C0" w:rsidRPr="003B6DA6">
          <w:rPr>
            <w:rStyle w:val="Hyperlink"/>
            <w:noProof/>
          </w:rPr>
          <w:t>Considering the equity of active ageing</w:t>
        </w:r>
        <w:r w:rsidR="005771C0">
          <w:rPr>
            <w:noProof/>
            <w:webHidden/>
          </w:rPr>
          <w:tab/>
        </w:r>
        <w:r w:rsidR="005771C0">
          <w:rPr>
            <w:noProof/>
            <w:webHidden/>
          </w:rPr>
          <w:fldChar w:fldCharType="begin"/>
        </w:r>
        <w:r w:rsidR="005771C0">
          <w:rPr>
            <w:noProof/>
            <w:webHidden/>
          </w:rPr>
          <w:instrText xml:space="preserve"> PAGEREF _Toc181362221 \h </w:instrText>
        </w:r>
        <w:r w:rsidR="005771C0">
          <w:rPr>
            <w:noProof/>
            <w:webHidden/>
          </w:rPr>
        </w:r>
        <w:r w:rsidR="005771C0">
          <w:rPr>
            <w:noProof/>
            <w:webHidden/>
          </w:rPr>
          <w:fldChar w:fldCharType="separate"/>
        </w:r>
        <w:r w:rsidR="007F3272">
          <w:rPr>
            <w:noProof/>
            <w:webHidden/>
          </w:rPr>
          <w:t>13</w:t>
        </w:r>
        <w:r w:rsidR="005771C0">
          <w:rPr>
            <w:noProof/>
            <w:webHidden/>
          </w:rPr>
          <w:fldChar w:fldCharType="end"/>
        </w:r>
      </w:hyperlink>
    </w:p>
    <w:p w14:paraId="68B531A0" w14:textId="5DF43C74"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22" w:history="1">
        <w:r w:rsidR="005771C0" w:rsidRPr="003B6DA6">
          <w:rPr>
            <w:rStyle w:val="Hyperlink"/>
            <w:noProof/>
          </w:rPr>
          <w:t>Considering Te Tiriti o Waitangi</w:t>
        </w:r>
        <w:r w:rsidR="005771C0">
          <w:rPr>
            <w:noProof/>
            <w:webHidden/>
          </w:rPr>
          <w:tab/>
        </w:r>
        <w:r w:rsidR="005771C0">
          <w:rPr>
            <w:noProof/>
            <w:webHidden/>
          </w:rPr>
          <w:fldChar w:fldCharType="begin"/>
        </w:r>
        <w:r w:rsidR="005771C0">
          <w:rPr>
            <w:noProof/>
            <w:webHidden/>
          </w:rPr>
          <w:instrText xml:space="preserve"> PAGEREF _Toc181362222 \h </w:instrText>
        </w:r>
        <w:r w:rsidR="005771C0">
          <w:rPr>
            <w:noProof/>
            <w:webHidden/>
          </w:rPr>
        </w:r>
        <w:r w:rsidR="005771C0">
          <w:rPr>
            <w:noProof/>
            <w:webHidden/>
          </w:rPr>
          <w:fldChar w:fldCharType="separate"/>
        </w:r>
        <w:r w:rsidR="007F3272">
          <w:rPr>
            <w:noProof/>
            <w:webHidden/>
          </w:rPr>
          <w:t>14</w:t>
        </w:r>
        <w:r w:rsidR="005771C0">
          <w:rPr>
            <w:noProof/>
            <w:webHidden/>
          </w:rPr>
          <w:fldChar w:fldCharType="end"/>
        </w:r>
      </w:hyperlink>
    </w:p>
    <w:p w14:paraId="0A3DAF04" w14:textId="4CDC2463"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23" w:history="1">
        <w:r w:rsidR="005771C0" w:rsidRPr="003B6DA6">
          <w:rPr>
            <w:rStyle w:val="Hyperlink"/>
            <w:noProof/>
          </w:rPr>
          <w:t>The LTIB could consider policy options</w:t>
        </w:r>
        <w:r w:rsidR="005771C0">
          <w:rPr>
            <w:noProof/>
            <w:webHidden/>
          </w:rPr>
          <w:tab/>
        </w:r>
        <w:r w:rsidR="005771C0">
          <w:rPr>
            <w:noProof/>
            <w:webHidden/>
          </w:rPr>
          <w:fldChar w:fldCharType="begin"/>
        </w:r>
        <w:r w:rsidR="005771C0">
          <w:rPr>
            <w:noProof/>
            <w:webHidden/>
          </w:rPr>
          <w:instrText xml:space="preserve"> PAGEREF _Toc181362223 \h </w:instrText>
        </w:r>
        <w:r w:rsidR="005771C0">
          <w:rPr>
            <w:noProof/>
            <w:webHidden/>
          </w:rPr>
        </w:r>
        <w:r w:rsidR="005771C0">
          <w:rPr>
            <w:noProof/>
            <w:webHidden/>
          </w:rPr>
          <w:fldChar w:fldCharType="separate"/>
        </w:r>
        <w:r w:rsidR="007F3272">
          <w:rPr>
            <w:noProof/>
            <w:webHidden/>
          </w:rPr>
          <w:t>14</w:t>
        </w:r>
        <w:r w:rsidR="005771C0">
          <w:rPr>
            <w:noProof/>
            <w:webHidden/>
          </w:rPr>
          <w:fldChar w:fldCharType="end"/>
        </w:r>
      </w:hyperlink>
    </w:p>
    <w:p w14:paraId="7B6FED30" w14:textId="4C867D29" w:rsidR="005771C0" w:rsidRDefault="007E2B1C">
      <w:pPr>
        <w:pStyle w:val="TOC1"/>
        <w:rPr>
          <w:rFonts w:asciiTheme="minorHAnsi" w:eastAsiaTheme="minorEastAsia" w:hAnsiTheme="minorHAnsi" w:cstheme="minorBidi"/>
          <w:noProof/>
          <w:kern w:val="2"/>
          <w:sz w:val="22"/>
          <w:szCs w:val="22"/>
          <w:lang w:eastAsia="en-NZ"/>
          <w14:ligatures w14:val="standardContextual"/>
        </w:rPr>
      </w:pPr>
      <w:hyperlink w:anchor="_Toc181362224" w:history="1">
        <w:r w:rsidR="005771C0" w:rsidRPr="003B6DA6">
          <w:rPr>
            <w:rStyle w:val="Hyperlink"/>
            <w:noProof/>
          </w:rPr>
          <w:t>Part Five: How we will develop the Long-term Insights Briefing</w:t>
        </w:r>
        <w:r w:rsidR="005771C0">
          <w:rPr>
            <w:noProof/>
            <w:webHidden/>
          </w:rPr>
          <w:tab/>
        </w:r>
        <w:r w:rsidR="005771C0">
          <w:rPr>
            <w:noProof/>
            <w:webHidden/>
          </w:rPr>
          <w:fldChar w:fldCharType="begin"/>
        </w:r>
        <w:r w:rsidR="005771C0">
          <w:rPr>
            <w:noProof/>
            <w:webHidden/>
          </w:rPr>
          <w:instrText xml:space="preserve"> PAGEREF _Toc181362224 \h </w:instrText>
        </w:r>
        <w:r w:rsidR="005771C0">
          <w:rPr>
            <w:noProof/>
            <w:webHidden/>
          </w:rPr>
        </w:r>
        <w:r w:rsidR="005771C0">
          <w:rPr>
            <w:noProof/>
            <w:webHidden/>
          </w:rPr>
          <w:fldChar w:fldCharType="separate"/>
        </w:r>
        <w:r w:rsidR="007F3272">
          <w:rPr>
            <w:noProof/>
            <w:webHidden/>
          </w:rPr>
          <w:t>16</w:t>
        </w:r>
        <w:r w:rsidR="005771C0">
          <w:rPr>
            <w:noProof/>
            <w:webHidden/>
          </w:rPr>
          <w:fldChar w:fldCharType="end"/>
        </w:r>
      </w:hyperlink>
    </w:p>
    <w:p w14:paraId="0FEB483F" w14:textId="67E90ED8"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25" w:history="1">
        <w:r w:rsidR="005771C0" w:rsidRPr="003B6DA6">
          <w:rPr>
            <w:rStyle w:val="Hyperlink"/>
            <w:noProof/>
          </w:rPr>
          <w:t>How we will work with others</w:t>
        </w:r>
        <w:r w:rsidR="005771C0">
          <w:rPr>
            <w:noProof/>
            <w:webHidden/>
          </w:rPr>
          <w:tab/>
        </w:r>
        <w:r w:rsidR="005771C0">
          <w:rPr>
            <w:noProof/>
            <w:webHidden/>
          </w:rPr>
          <w:fldChar w:fldCharType="begin"/>
        </w:r>
        <w:r w:rsidR="005771C0">
          <w:rPr>
            <w:noProof/>
            <w:webHidden/>
          </w:rPr>
          <w:instrText xml:space="preserve"> PAGEREF _Toc181362225 \h </w:instrText>
        </w:r>
        <w:r w:rsidR="005771C0">
          <w:rPr>
            <w:noProof/>
            <w:webHidden/>
          </w:rPr>
        </w:r>
        <w:r w:rsidR="005771C0">
          <w:rPr>
            <w:noProof/>
            <w:webHidden/>
          </w:rPr>
          <w:fldChar w:fldCharType="separate"/>
        </w:r>
        <w:r w:rsidR="007F3272">
          <w:rPr>
            <w:noProof/>
            <w:webHidden/>
          </w:rPr>
          <w:t>16</w:t>
        </w:r>
        <w:r w:rsidR="005771C0">
          <w:rPr>
            <w:noProof/>
            <w:webHidden/>
          </w:rPr>
          <w:fldChar w:fldCharType="end"/>
        </w:r>
      </w:hyperlink>
    </w:p>
    <w:p w14:paraId="503F4B76" w14:textId="49D16B3B" w:rsidR="005771C0" w:rsidRDefault="007E2B1C">
      <w:pPr>
        <w:pStyle w:val="TOC1"/>
        <w:rPr>
          <w:rFonts w:asciiTheme="minorHAnsi" w:eastAsiaTheme="minorEastAsia" w:hAnsiTheme="minorHAnsi" w:cstheme="minorBidi"/>
          <w:noProof/>
          <w:kern w:val="2"/>
          <w:sz w:val="22"/>
          <w:szCs w:val="22"/>
          <w:lang w:eastAsia="en-NZ"/>
          <w14:ligatures w14:val="standardContextual"/>
        </w:rPr>
      </w:pPr>
      <w:hyperlink w:anchor="_Toc181362226" w:history="1">
        <w:r w:rsidR="005771C0" w:rsidRPr="003B6DA6">
          <w:rPr>
            <w:rStyle w:val="Hyperlink"/>
            <w:noProof/>
          </w:rPr>
          <w:t>Part Six: How you can provide feedback</w:t>
        </w:r>
        <w:r w:rsidR="005771C0">
          <w:rPr>
            <w:noProof/>
            <w:webHidden/>
          </w:rPr>
          <w:tab/>
        </w:r>
        <w:r w:rsidR="005771C0">
          <w:rPr>
            <w:noProof/>
            <w:webHidden/>
          </w:rPr>
          <w:fldChar w:fldCharType="begin"/>
        </w:r>
        <w:r w:rsidR="005771C0">
          <w:rPr>
            <w:noProof/>
            <w:webHidden/>
          </w:rPr>
          <w:instrText xml:space="preserve"> PAGEREF _Toc181362226 \h </w:instrText>
        </w:r>
        <w:r w:rsidR="005771C0">
          <w:rPr>
            <w:noProof/>
            <w:webHidden/>
          </w:rPr>
        </w:r>
        <w:r w:rsidR="005771C0">
          <w:rPr>
            <w:noProof/>
            <w:webHidden/>
          </w:rPr>
          <w:fldChar w:fldCharType="separate"/>
        </w:r>
        <w:r w:rsidR="007F3272">
          <w:rPr>
            <w:noProof/>
            <w:webHidden/>
          </w:rPr>
          <w:t>17</w:t>
        </w:r>
        <w:r w:rsidR="005771C0">
          <w:rPr>
            <w:noProof/>
            <w:webHidden/>
          </w:rPr>
          <w:fldChar w:fldCharType="end"/>
        </w:r>
      </w:hyperlink>
    </w:p>
    <w:p w14:paraId="273EDF03" w14:textId="113498E6" w:rsidR="005771C0" w:rsidRDefault="007E2B1C">
      <w:pPr>
        <w:pStyle w:val="TOC1"/>
        <w:rPr>
          <w:rFonts w:asciiTheme="minorHAnsi" w:eastAsiaTheme="minorEastAsia" w:hAnsiTheme="minorHAnsi" w:cstheme="minorBidi"/>
          <w:noProof/>
          <w:kern w:val="2"/>
          <w:sz w:val="22"/>
          <w:szCs w:val="22"/>
          <w:lang w:eastAsia="en-NZ"/>
          <w14:ligatures w14:val="standardContextual"/>
        </w:rPr>
      </w:pPr>
      <w:hyperlink w:anchor="_Toc181362227" w:history="1">
        <w:r w:rsidR="005771C0" w:rsidRPr="003B6DA6">
          <w:rPr>
            <w:rStyle w:val="Hyperlink"/>
            <w:noProof/>
          </w:rPr>
          <w:t>Questions for your feedback</w:t>
        </w:r>
        <w:r w:rsidR="005771C0">
          <w:rPr>
            <w:noProof/>
            <w:webHidden/>
          </w:rPr>
          <w:tab/>
        </w:r>
        <w:r w:rsidR="005771C0">
          <w:rPr>
            <w:noProof/>
            <w:webHidden/>
          </w:rPr>
          <w:fldChar w:fldCharType="begin"/>
        </w:r>
        <w:r w:rsidR="005771C0">
          <w:rPr>
            <w:noProof/>
            <w:webHidden/>
          </w:rPr>
          <w:instrText xml:space="preserve"> PAGEREF _Toc181362227 \h </w:instrText>
        </w:r>
        <w:r w:rsidR="005771C0">
          <w:rPr>
            <w:noProof/>
            <w:webHidden/>
          </w:rPr>
        </w:r>
        <w:r w:rsidR="005771C0">
          <w:rPr>
            <w:noProof/>
            <w:webHidden/>
          </w:rPr>
          <w:fldChar w:fldCharType="separate"/>
        </w:r>
        <w:r w:rsidR="007F3272">
          <w:rPr>
            <w:noProof/>
            <w:webHidden/>
          </w:rPr>
          <w:t>18</w:t>
        </w:r>
        <w:r w:rsidR="005771C0">
          <w:rPr>
            <w:noProof/>
            <w:webHidden/>
          </w:rPr>
          <w:fldChar w:fldCharType="end"/>
        </w:r>
      </w:hyperlink>
    </w:p>
    <w:p w14:paraId="31FE3435" w14:textId="391EDDB4"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28" w:history="1">
        <w:r w:rsidR="005771C0" w:rsidRPr="003B6DA6">
          <w:rPr>
            <w:rStyle w:val="Hyperlink"/>
            <w:noProof/>
          </w:rPr>
          <w:t>Unlocking the potential of active ageing</w:t>
        </w:r>
        <w:r w:rsidR="005771C0">
          <w:rPr>
            <w:noProof/>
            <w:webHidden/>
          </w:rPr>
          <w:tab/>
        </w:r>
        <w:r w:rsidR="005771C0">
          <w:rPr>
            <w:noProof/>
            <w:webHidden/>
          </w:rPr>
          <w:fldChar w:fldCharType="begin"/>
        </w:r>
        <w:r w:rsidR="005771C0">
          <w:rPr>
            <w:noProof/>
            <w:webHidden/>
          </w:rPr>
          <w:instrText xml:space="preserve"> PAGEREF _Toc181362228 \h </w:instrText>
        </w:r>
        <w:r w:rsidR="005771C0">
          <w:rPr>
            <w:noProof/>
            <w:webHidden/>
          </w:rPr>
        </w:r>
        <w:r w:rsidR="005771C0">
          <w:rPr>
            <w:noProof/>
            <w:webHidden/>
          </w:rPr>
          <w:fldChar w:fldCharType="separate"/>
        </w:r>
        <w:r w:rsidR="007F3272">
          <w:rPr>
            <w:noProof/>
            <w:webHidden/>
          </w:rPr>
          <w:t>18</w:t>
        </w:r>
        <w:r w:rsidR="005771C0">
          <w:rPr>
            <w:noProof/>
            <w:webHidden/>
          </w:rPr>
          <w:fldChar w:fldCharType="end"/>
        </w:r>
      </w:hyperlink>
    </w:p>
    <w:p w14:paraId="00259EFD" w14:textId="673575C0"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29" w:history="1">
        <w:r w:rsidR="005771C0" w:rsidRPr="003B6DA6">
          <w:rPr>
            <w:rStyle w:val="Hyperlink"/>
            <w:noProof/>
          </w:rPr>
          <w:t>Areas of focus</w:t>
        </w:r>
        <w:r w:rsidR="005771C0">
          <w:rPr>
            <w:noProof/>
            <w:webHidden/>
          </w:rPr>
          <w:tab/>
        </w:r>
        <w:r w:rsidR="005771C0">
          <w:rPr>
            <w:noProof/>
            <w:webHidden/>
          </w:rPr>
          <w:fldChar w:fldCharType="begin"/>
        </w:r>
        <w:r w:rsidR="005771C0">
          <w:rPr>
            <w:noProof/>
            <w:webHidden/>
          </w:rPr>
          <w:instrText xml:space="preserve"> PAGEREF _Toc181362229 \h </w:instrText>
        </w:r>
        <w:r w:rsidR="005771C0">
          <w:rPr>
            <w:noProof/>
            <w:webHidden/>
          </w:rPr>
        </w:r>
        <w:r w:rsidR="005771C0">
          <w:rPr>
            <w:noProof/>
            <w:webHidden/>
          </w:rPr>
          <w:fldChar w:fldCharType="separate"/>
        </w:r>
        <w:r w:rsidR="007F3272">
          <w:rPr>
            <w:noProof/>
            <w:webHidden/>
          </w:rPr>
          <w:t>18</w:t>
        </w:r>
        <w:r w:rsidR="005771C0">
          <w:rPr>
            <w:noProof/>
            <w:webHidden/>
          </w:rPr>
          <w:fldChar w:fldCharType="end"/>
        </w:r>
      </w:hyperlink>
    </w:p>
    <w:p w14:paraId="3E50F932" w14:textId="753E2F9B" w:rsidR="005771C0" w:rsidRDefault="007E2B1C">
      <w:pPr>
        <w:pStyle w:val="TOC1"/>
        <w:rPr>
          <w:rFonts w:asciiTheme="minorHAnsi" w:eastAsiaTheme="minorEastAsia" w:hAnsiTheme="minorHAnsi" w:cstheme="minorBidi"/>
          <w:noProof/>
          <w:kern w:val="2"/>
          <w:sz w:val="22"/>
          <w:szCs w:val="22"/>
          <w:lang w:eastAsia="en-NZ"/>
          <w14:ligatures w14:val="standardContextual"/>
        </w:rPr>
      </w:pPr>
      <w:hyperlink w:anchor="_Toc181362230" w:history="1">
        <w:r w:rsidR="005771C0" w:rsidRPr="003B6DA6">
          <w:rPr>
            <w:rStyle w:val="Hyperlink"/>
            <w:noProof/>
          </w:rPr>
          <w:t>Annex 1: Use of information</w:t>
        </w:r>
        <w:r w:rsidR="005771C0">
          <w:rPr>
            <w:noProof/>
            <w:webHidden/>
          </w:rPr>
          <w:tab/>
        </w:r>
        <w:r w:rsidR="005771C0">
          <w:rPr>
            <w:noProof/>
            <w:webHidden/>
          </w:rPr>
          <w:fldChar w:fldCharType="begin"/>
        </w:r>
        <w:r w:rsidR="005771C0">
          <w:rPr>
            <w:noProof/>
            <w:webHidden/>
          </w:rPr>
          <w:instrText xml:space="preserve"> PAGEREF _Toc181362230 \h </w:instrText>
        </w:r>
        <w:r w:rsidR="005771C0">
          <w:rPr>
            <w:noProof/>
            <w:webHidden/>
          </w:rPr>
        </w:r>
        <w:r w:rsidR="005771C0">
          <w:rPr>
            <w:noProof/>
            <w:webHidden/>
          </w:rPr>
          <w:fldChar w:fldCharType="separate"/>
        </w:r>
        <w:r w:rsidR="007F3272">
          <w:rPr>
            <w:noProof/>
            <w:webHidden/>
          </w:rPr>
          <w:t>19</w:t>
        </w:r>
        <w:r w:rsidR="005771C0">
          <w:rPr>
            <w:noProof/>
            <w:webHidden/>
          </w:rPr>
          <w:fldChar w:fldCharType="end"/>
        </w:r>
      </w:hyperlink>
    </w:p>
    <w:p w14:paraId="4374D03A" w14:textId="5F546D5F"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31" w:history="1">
        <w:r w:rsidR="005771C0" w:rsidRPr="003B6DA6">
          <w:rPr>
            <w:rStyle w:val="Hyperlink"/>
            <w:noProof/>
          </w:rPr>
          <w:t>Publishing information</w:t>
        </w:r>
        <w:r w:rsidR="005771C0">
          <w:rPr>
            <w:noProof/>
            <w:webHidden/>
          </w:rPr>
          <w:tab/>
        </w:r>
        <w:r w:rsidR="005771C0">
          <w:rPr>
            <w:noProof/>
            <w:webHidden/>
          </w:rPr>
          <w:fldChar w:fldCharType="begin"/>
        </w:r>
        <w:r w:rsidR="005771C0">
          <w:rPr>
            <w:noProof/>
            <w:webHidden/>
          </w:rPr>
          <w:instrText xml:space="preserve"> PAGEREF _Toc181362231 \h </w:instrText>
        </w:r>
        <w:r w:rsidR="005771C0">
          <w:rPr>
            <w:noProof/>
            <w:webHidden/>
          </w:rPr>
        </w:r>
        <w:r w:rsidR="005771C0">
          <w:rPr>
            <w:noProof/>
            <w:webHidden/>
          </w:rPr>
          <w:fldChar w:fldCharType="separate"/>
        </w:r>
        <w:r w:rsidR="007F3272">
          <w:rPr>
            <w:noProof/>
            <w:webHidden/>
          </w:rPr>
          <w:t>19</w:t>
        </w:r>
        <w:r w:rsidR="005771C0">
          <w:rPr>
            <w:noProof/>
            <w:webHidden/>
          </w:rPr>
          <w:fldChar w:fldCharType="end"/>
        </w:r>
      </w:hyperlink>
    </w:p>
    <w:p w14:paraId="736519DC" w14:textId="7A25DF4B" w:rsidR="005771C0" w:rsidRDefault="007E2B1C">
      <w:pPr>
        <w:pStyle w:val="TOC2"/>
        <w:rPr>
          <w:rFonts w:asciiTheme="minorHAnsi" w:eastAsiaTheme="minorEastAsia" w:hAnsiTheme="minorHAnsi" w:cstheme="minorBidi"/>
          <w:noProof/>
          <w:kern w:val="2"/>
          <w:szCs w:val="22"/>
          <w:lang w:eastAsia="en-NZ"/>
          <w14:ligatures w14:val="standardContextual"/>
        </w:rPr>
      </w:pPr>
      <w:hyperlink w:anchor="_Toc181362232" w:history="1">
        <w:r w:rsidR="005771C0" w:rsidRPr="003B6DA6">
          <w:rPr>
            <w:rStyle w:val="Hyperlink"/>
            <w:noProof/>
          </w:rPr>
          <w:t>Private information</w:t>
        </w:r>
        <w:r w:rsidR="005771C0">
          <w:rPr>
            <w:noProof/>
            <w:webHidden/>
          </w:rPr>
          <w:tab/>
        </w:r>
        <w:r w:rsidR="005771C0">
          <w:rPr>
            <w:noProof/>
            <w:webHidden/>
          </w:rPr>
          <w:fldChar w:fldCharType="begin"/>
        </w:r>
        <w:r w:rsidR="005771C0">
          <w:rPr>
            <w:noProof/>
            <w:webHidden/>
          </w:rPr>
          <w:instrText xml:space="preserve"> PAGEREF _Toc181362232 \h </w:instrText>
        </w:r>
        <w:r w:rsidR="005771C0">
          <w:rPr>
            <w:noProof/>
            <w:webHidden/>
          </w:rPr>
        </w:r>
        <w:r w:rsidR="005771C0">
          <w:rPr>
            <w:noProof/>
            <w:webHidden/>
          </w:rPr>
          <w:fldChar w:fldCharType="separate"/>
        </w:r>
        <w:r w:rsidR="007F3272">
          <w:rPr>
            <w:noProof/>
            <w:webHidden/>
          </w:rPr>
          <w:t>19</w:t>
        </w:r>
        <w:r w:rsidR="005771C0">
          <w:rPr>
            <w:noProof/>
            <w:webHidden/>
          </w:rPr>
          <w:fldChar w:fldCharType="end"/>
        </w:r>
      </w:hyperlink>
    </w:p>
    <w:p w14:paraId="133A9219" w14:textId="089DF021" w:rsidR="00C86248" w:rsidRDefault="005771C0">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606ECEEA" w14:textId="52BAFBED" w:rsidR="00637E2B" w:rsidRDefault="003A5FEA">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637E2B">
        <w:rPr>
          <w:noProof/>
        </w:rPr>
        <w:t>Figure 1: Growth in the population of older people (median projection), 65 years and over, Aotearoa New Zealand, 1953–2073</w:t>
      </w:r>
      <w:r w:rsidR="00637E2B">
        <w:rPr>
          <w:noProof/>
        </w:rPr>
        <w:tab/>
      </w:r>
      <w:r w:rsidR="00637E2B">
        <w:rPr>
          <w:noProof/>
        </w:rPr>
        <w:fldChar w:fldCharType="begin"/>
      </w:r>
      <w:r w:rsidR="00637E2B">
        <w:rPr>
          <w:noProof/>
        </w:rPr>
        <w:instrText xml:space="preserve"> PAGEREF _Toc181353964 \h </w:instrText>
      </w:r>
      <w:r w:rsidR="00637E2B">
        <w:rPr>
          <w:noProof/>
        </w:rPr>
      </w:r>
      <w:r w:rsidR="00637E2B">
        <w:rPr>
          <w:noProof/>
        </w:rPr>
        <w:fldChar w:fldCharType="separate"/>
      </w:r>
      <w:r w:rsidR="007F3272">
        <w:rPr>
          <w:noProof/>
        </w:rPr>
        <w:t>7</w:t>
      </w:r>
      <w:r w:rsidR="00637E2B">
        <w:rPr>
          <w:noProof/>
        </w:rPr>
        <w:fldChar w:fldCharType="end"/>
      </w:r>
    </w:p>
    <w:p w14:paraId="4A6797B1" w14:textId="1604D7C7" w:rsidR="002B76A7" w:rsidRDefault="003A5FEA" w:rsidP="006C7E6A">
      <w:r>
        <w:fldChar w:fldCharType="end"/>
      </w:r>
    </w:p>
    <w:p w14:paraId="03333094" w14:textId="77777777" w:rsidR="001D3E4E" w:rsidRDefault="001D3E4E" w:rsidP="003A5FEA">
      <w:pPr>
        <w:sectPr w:rsidR="001D3E4E" w:rsidSect="0078658E">
          <w:headerReference w:type="even" r:id="rId24"/>
          <w:headerReference w:type="default" r:id="rId25"/>
          <w:footerReference w:type="even" r:id="rId26"/>
          <w:footerReference w:type="default" r:id="rId27"/>
          <w:pgSz w:w="11907" w:h="16840" w:code="9"/>
          <w:pgMar w:top="1418" w:right="1701" w:bottom="1134" w:left="1843" w:header="284" w:footer="425" w:gutter="284"/>
          <w:pgNumType w:fmt="lowerRoman"/>
          <w:cols w:space="720"/>
        </w:sectPr>
      </w:pPr>
    </w:p>
    <w:p w14:paraId="5C9C8386" w14:textId="77777777" w:rsidR="00F14D9B" w:rsidRPr="007D6933" w:rsidRDefault="00F14D9B" w:rsidP="00F14D9B">
      <w:pPr>
        <w:pStyle w:val="Heading1"/>
        <w:spacing w:before="0"/>
        <w:rPr>
          <w:sz w:val="60"/>
          <w:szCs w:val="60"/>
        </w:rPr>
      </w:pPr>
      <w:bookmarkStart w:id="3" w:name="_Toc180663959"/>
      <w:bookmarkStart w:id="4" w:name="_Toc181273802"/>
      <w:bookmarkStart w:id="5" w:name="_Toc181362030"/>
      <w:bookmarkStart w:id="6" w:name="_Toc181362209"/>
      <w:r w:rsidRPr="007D6933">
        <w:rPr>
          <w:sz w:val="60"/>
          <w:szCs w:val="60"/>
        </w:rPr>
        <w:lastRenderedPageBreak/>
        <w:t>Part One: Who</w:t>
      </w:r>
      <w:r w:rsidRPr="007D6933" w:rsidDel="00EC5BDC">
        <w:rPr>
          <w:sz w:val="60"/>
          <w:szCs w:val="60"/>
        </w:rPr>
        <w:t xml:space="preserve"> </w:t>
      </w:r>
      <w:r w:rsidRPr="007D6933">
        <w:rPr>
          <w:sz w:val="60"/>
          <w:szCs w:val="60"/>
        </w:rPr>
        <w:t xml:space="preserve">we </w:t>
      </w:r>
      <w:r>
        <w:rPr>
          <w:sz w:val="60"/>
          <w:szCs w:val="60"/>
        </w:rPr>
        <w:t xml:space="preserve">are </w:t>
      </w:r>
      <w:r w:rsidRPr="007D6933">
        <w:rPr>
          <w:sz w:val="60"/>
          <w:szCs w:val="60"/>
        </w:rPr>
        <w:t>and what a Long-term Insights Briefing</w:t>
      </w:r>
      <w:r>
        <w:rPr>
          <w:sz w:val="60"/>
          <w:szCs w:val="60"/>
        </w:rPr>
        <w:t xml:space="preserve"> </w:t>
      </w:r>
      <w:proofErr w:type="gramStart"/>
      <w:r>
        <w:rPr>
          <w:sz w:val="60"/>
          <w:szCs w:val="60"/>
        </w:rPr>
        <w:t>is</w:t>
      </w:r>
      <w:bookmarkEnd w:id="3"/>
      <w:bookmarkEnd w:id="4"/>
      <w:bookmarkEnd w:id="5"/>
      <w:bookmarkEnd w:id="6"/>
      <w:proofErr w:type="gramEnd"/>
    </w:p>
    <w:p w14:paraId="7B6E8F7B" w14:textId="1FAFA102" w:rsidR="00F14D9B" w:rsidRPr="00D26D22" w:rsidRDefault="00F14D9B" w:rsidP="00F14D9B">
      <w:pPr>
        <w:pStyle w:val="Heading2"/>
      </w:pPr>
      <w:bookmarkStart w:id="7" w:name="_Toc180663960"/>
      <w:bookmarkStart w:id="8" w:name="_Toc181273803"/>
      <w:bookmarkStart w:id="9" w:name="_Toc181362031"/>
      <w:bookmarkStart w:id="10" w:name="_Toc181362210"/>
      <w:r w:rsidRPr="00657266">
        <w:t>About the Ministry of Health</w:t>
      </w:r>
      <w:r>
        <w:rPr>
          <w:b w:val="0"/>
        </w:rPr>
        <w:t xml:space="preserve"> </w:t>
      </w:r>
      <w:r w:rsidR="005771C0">
        <w:t>–</w:t>
      </w:r>
      <w:r>
        <w:t xml:space="preserve"> </w:t>
      </w:r>
      <w:r w:rsidRPr="00D26D22">
        <w:t>Manatū Hauora</w:t>
      </w:r>
      <w:bookmarkEnd w:id="7"/>
      <w:bookmarkEnd w:id="8"/>
      <w:bookmarkEnd w:id="9"/>
      <w:bookmarkEnd w:id="10"/>
      <w:r w:rsidRPr="00D26D22">
        <w:t xml:space="preserve"> </w:t>
      </w:r>
    </w:p>
    <w:p w14:paraId="5B835FC9" w14:textId="77777777" w:rsidR="00F14D9B" w:rsidRDefault="00F14D9B" w:rsidP="00F14D9B">
      <w:r w:rsidRPr="55C69564">
        <w:rPr>
          <w:rFonts w:cs="Segoe UI"/>
        </w:rPr>
        <w:t xml:space="preserve">The Ministry of Health </w:t>
      </w:r>
      <w:r>
        <w:rPr>
          <w:rFonts w:cs="Segoe UI"/>
        </w:rPr>
        <w:t>–</w:t>
      </w:r>
      <w:r w:rsidRPr="55C69564" w:rsidDel="00C07127">
        <w:rPr>
          <w:rFonts w:cs="Segoe UI"/>
        </w:rPr>
        <w:t xml:space="preserve"> </w:t>
      </w:r>
      <w:r w:rsidRPr="55C69564">
        <w:rPr>
          <w:rFonts w:cs="Segoe UI"/>
        </w:rPr>
        <w:t>Manatū Hauora is the chief steward of health and the health system</w:t>
      </w:r>
      <w:r>
        <w:rPr>
          <w:rFonts w:cs="Segoe UI"/>
        </w:rPr>
        <w:t>, and</w:t>
      </w:r>
      <w:r w:rsidRPr="55C69564" w:rsidDel="0029097B">
        <w:rPr>
          <w:rFonts w:cs="Segoe UI"/>
        </w:rPr>
        <w:t xml:space="preserve"> </w:t>
      </w:r>
      <w:r w:rsidRPr="55C69564">
        <w:rPr>
          <w:rFonts w:cs="Segoe UI"/>
        </w:rPr>
        <w:t xml:space="preserve">lead advisor </w:t>
      </w:r>
      <w:r>
        <w:rPr>
          <w:rFonts w:cs="Segoe UI"/>
        </w:rPr>
        <w:t xml:space="preserve">to </w:t>
      </w:r>
      <w:r w:rsidRPr="55C69564">
        <w:rPr>
          <w:rFonts w:cs="Segoe UI"/>
        </w:rPr>
        <w:t xml:space="preserve">the </w:t>
      </w:r>
      <w:r>
        <w:rPr>
          <w:rFonts w:cs="Segoe UI"/>
        </w:rPr>
        <w:t>G</w:t>
      </w:r>
      <w:r w:rsidRPr="55C69564">
        <w:rPr>
          <w:rFonts w:cs="Segoe UI"/>
        </w:rPr>
        <w:t>overnment</w:t>
      </w:r>
      <w:r w:rsidRPr="55C69564" w:rsidDel="0029097B">
        <w:rPr>
          <w:rFonts w:cs="Segoe UI"/>
        </w:rPr>
        <w:t xml:space="preserve"> </w:t>
      </w:r>
      <w:r w:rsidRPr="55C69564">
        <w:rPr>
          <w:rFonts w:cs="Segoe UI"/>
        </w:rPr>
        <w:t xml:space="preserve">on health. We regulate and monitor the health system to deliver better health outcomes for all New Zealanders. </w:t>
      </w:r>
      <w:r w:rsidRPr="00226E34">
        <w:t xml:space="preserve">We define stewardship as: </w:t>
      </w:r>
    </w:p>
    <w:p w14:paraId="59FE96D5" w14:textId="77777777" w:rsidR="00F14D9B" w:rsidRPr="001C4DF4" w:rsidRDefault="00F14D9B" w:rsidP="00F14D9B">
      <w:pPr>
        <w:rPr>
          <w:rFonts w:cs="Segoe UI"/>
        </w:rPr>
      </w:pPr>
    </w:p>
    <w:p w14:paraId="16ED4A0A" w14:textId="77777777" w:rsidR="00F14D9B" w:rsidRPr="004C0D89" w:rsidRDefault="00F14D9B" w:rsidP="00F14D9B">
      <w:pPr>
        <w:ind w:left="567" w:right="567"/>
      </w:pPr>
      <w:r w:rsidRPr="00226E34">
        <w:t xml:space="preserve">Taking decisions or actions today that mean we are collectively better off in the future than we would otherwise have been, and building and maintaining the relationships that enable us to do this. </w:t>
      </w:r>
    </w:p>
    <w:p w14:paraId="283E2140" w14:textId="77777777" w:rsidR="00F14D9B" w:rsidRPr="00D26D22" w:rsidRDefault="00F14D9B" w:rsidP="00F14D9B">
      <w:pPr>
        <w:rPr>
          <w:rFonts w:cs="Segoe UI"/>
          <w:szCs w:val="24"/>
        </w:rPr>
      </w:pPr>
    </w:p>
    <w:p w14:paraId="728E4FE4" w14:textId="77777777" w:rsidR="00F14D9B" w:rsidRPr="00D26D22" w:rsidRDefault="00F14D9B" w:rsidP="00F14D9B">
      <w:pPr>
        <w:rPr>
          <w:rFonts w:cs="Segoe UI"/>
          <w:b/>
          <w:bCs/>
          <w:szCs w:val="24"/>
        </w:rPr>
      </w:pPr>
      <w:r w:rsidRPr="00D26D22">
        <w:rPr>
          <w:rFonts w:cs="Segoe UI"/>
          <w:szCs w:val="24"/>
        </w:rPr>
        <w:t>Our role includes scanning the horizon for future issues and opportunities</w:t>
      </w:r>
      <w:r>
        <w:rPr>
          <w:rFonts w:cs="Segoe UI"/>
          <w:szCs w:val="24"/>
        </w:rPr>
        <w:t xml:space="preserve"> related to health</w:t>
      </w:r>
      <w:r w:rsidRPr="00D26D22">
        <w:rPr>
          <w:rFonts w:cs="Segoe UI"/>
          <w:szCs w:val="24"/>
        </w:rPr>
        <w:t xml:space="preserve">, setting long-term </w:t>
      </w:r>
      <w:r>
        <w:rPr>
          <w:rFonts w:cs="Segoe UI"/>
          <w:szCs w:val="24"/>
        </w:rPr>
        <w:t xml:space="preserve">health </w:t>
      </w:r>
      <w:r w:rsidRPr="00D26D22">
        <w:rPr>
          <w:rFonts w:cs="Segoe UI"/>
          <w:szCs w:val="24"/>
        </w:rPr>
        <w:t>strategies, and advising the Government on changing priorities, policies, funding, and other matters that affect how the health system operates</w:t>
      </w:r>
      <w:r>
        <w:rPr>
          <w:rFonts w:cs="Segoe UI"/>
          <w:szCs w:val="24"/>
        </w:rPr>
        <w:t xml:space="preserve"> and improves health outcomes for all New Zealanders</w:t>
      </w:r>
      <w:r w:rsidRPr="00D26D22">
        <w:rPr>
          <w:rFonts w:cs="Segoe UI"/>
          <w:szCs w:val="24"/>
        </w:rPr>
        <w:t xml:space="preserve">. </w:t>
      </w:r>
      <w:r>
        <w:rPr>
          <w:rFonts w:cs="Segoe UI"/>
          <w:szCs w:val="24"/>
        </w:rPr>
        <w:t>Developing the</w:t>
      </w:r>
      <w:r w:rsidRPr="00D26D22">
        <w:rPr>
          <w:rFonts w:cs="Segoe UI"/>
          <w:szCs w:val="24"/>
        </w:rPr>
        <w:t xml:space="preserve"> Long-term Insights Briefing</w:t>
      </w:r>
      <w:r>
        <w:rPr>
          <w:rFonts w:cs="Segoe UI"/>
          <w:szCs w:val="24"/>
        </w:rPr>
        <w:t>s</w:t>
      </w:r>
      <w:r w:rsidRPr="00D26D22">
        <w:rPr>
          <w:rFonts w:cs="Segoe UI"/>
          <w:szCs w:val="24"/>
        </w:rPr>
        <w:t xml:space="preserve"> is one of the ways in which we carry out </w:t>
      </w:r>
      <w:r>
        <w:rPr>
          <w:rFonts w:cs="Segoe UI"/>
          <w:szCs w:val="24"/>
        </w:rPr>
        <w:t>this</w:t>
      </w:r>
      <w:r w:rsidRPr="00D26D22">
        <w:rPr>
          <w:rFonts w:cs="Segoe UI"/>
          <w:szCs w:val="24"/>
        </w:rPr>
        <w:t xml:space="preserve"> role.</w:t>
      </w:r>
    </w:p>
    <w:p w14:paraId="589BCE25" w14:textId="77777777" w:rsidR="00F14D9B" w:rsidRPr="00C07127" w:rsidRDefault="00F14D9B" w:rsidP="00F14D9B">
      <w:pPr>
        <w:pStyle w:val="Heading2"/>
      </w:pPr>
      <w:bookmarkStart w:id="11" w:name="_Toc180663961"/>
      <w:bookmarkStart w:id="12" w:name="_Toc181273804"/>
      <w:bookmarkStart w:id="13" w:name="_Toc181362032"/>
      <w:bookmarkStart w:id="14" w:name="_Toc181362211"/>
      <w:r w:rsidRPr="006B7107">
        <w:t>About Long-term Insights Briefings</w:t>
      </w:r>
      <w:bookmarkEnd w:id="11"/>
      <w:bookmarkEnd w:id="12"/>
      <w:bookmarkEnd w:id="13"/>
      <w:bookmarkEnd w:id="14"/>
    </w:p>
    <w:p w14:paraId="6C404611" w14:textId="77777777" w:rsidR="00F14D9B" w:rsidRDefault="00F14D9B" w:rsidP="00F14D9B">
      <w:pPr>
        <w:rPr>
          <w:rFonts w:cs="Segoe UI"/>
          <w:szCs w:val="24"/>
        </w:rPr>
      </w:pPr>
      <w:r>
        <w:rPr>
          <w:rFonts w:cs="Segoe UI"/>
          <w:szCs w:val="24"/>
        </w:rPr>
        <w:t xml:space="preserve">Under the Public Service Act 2020, </w:t>
      </w:r>
      <w:r w:rsidRPr="00D26D22">
        <w:rPr>
          <w:rFonts w:cs="Segoe UI"/>
          <w:szCs w:val="24"/>
        </w:rPr>
        <w:t>the public service of Aotearoa</w:t>
      </w:r>
      <w:r>
        <w:rPr>
          <w:rFonts w:cs="Segoe UI"/>
          <w:szCs w:val="24"/>
        </w:rPr>
        <w:t xml:space="preserve"> New Zealand is required to develop Long-term Insights Briefings (LTIBs)</w:t>
      </w:r>
      <w:r w:rsidRPr="00D26D22">
        <w:rPr>
          <w:rFonts w:cs="Segoe UI"/>
          <w:szCs w:val="24"/>
        </w:rPr>
        <w:t>.</w:t>
      </w:r>
      <w:r>
        <w:rPr>
          <w:rFonts w:cs="Segoe UI"/>
          <w:szCs w:val="24"/>
        </w:rPr>
        <w:t xml:space="preserve"> Government departments must complete </w:t>
      </w:r>
      <w:r w:rsidRPr="56F5BD50">
        <w:rPr>
          <w:rFonts w:cs="Segoe UI"/>
        </w:rPr>
        <w:t>the briefings at least once every three years.</w:t>
      </w:r>
    </w:p>
    <w:p w14:paraId="78CCF834" w14:textId="77777777" w:rsidR="00F14D9B" w:rsidRPr="00D26D22" w:rsidRDefault="00F14D9B" w:rsidP="00F14D9B">
      <w:pPr>
        <w:rPr>
          <w:rFonts w:cs="Segoe UI"/>
          <w:szCs w:val="24"/>
        </w:rPr>
      </w:pPr>
    </w:p>
    <w:p w14:paraId="6A5AD0CF" w14:textId="77777777" w:rsidR="00F14D9B" w:rsidRDefault="00F14D9B" w:rsidP="00F14D9B">
      <w:pPr>
        <w:rPr>
          <w:rFonts w:cs="Segoe UI"/>
          <w:szCs w:val="24"/>
        </w:rPr>
      </w:pPr>
      <w:r w:rsidRPr="00D26D22">
        <w:rPr>
          <w:rFonts w:cs="Segoe UI"/>
          <w:szCs w:val="24"/>
        </w:rPr>
        <w:t xml:space="preserve">Chief executives in the public service have a statutory duty to produce </w:t>
      </w:r>
      <w:r>
        <w:rPr>
          <w:rFonts w:cs="Segoe UI"/>
          <w:szCs w:val="24"/>
        </w:rPr>
        <w:t xml:space="preserve">LTIBs </w:t>
      </w:r>
      <w:r w:rsidRPr="00D26D22">
        <w:rPr>
          <w:rFonts w:cs="Segoe UI"/>
          <w:szCs w:val="24"/>
        </w:rPr>
        <w:t xml:space="preserve">independently of </w:t>
      </w:r>
      <w:r>
        <w:rPr>
          <w:rFonts w:cs="Segoe UI"/>
          <w:szCs w:val="24"/>
        </w:rPr>
        <w:t>M</w:t>
      </w:r>
      <w:r w:rsidRPr="00D26D22">
        <w:rPr>
          <w:rFonts w:cs="Segoe UI"/>
          <w:szCs w:val="24"/>
        </w:rPr>
        <w:t xml:space="preserve">inisters. </w:t>
      </w:r>
      <w:r>
        <w:rPr>
          <w:rFonts w:cs="Segoe UI"/>
          <w:szCs w:val="24"/>
        </w:rPr>
        <w:t xml:space="preserve">LTIBs </w:t>
      </w:r>
      <w:r w:rsidRPr="00D26D22">
        <w:rPr>
          <w:rFonts w:cs="Segoe UI"/>
          <w:szCs w:val="24"/>
        </w:rPr>
        <w:t xml:space="preserve">differ from the advice that the public service provides </w:t>
      </w:r>
      <w:r>
        <w:rPr>
          <w:rFonts w:cs="Segoe UI"/>
          <w:szCs w:val="24"/>
        </w:rPr>
        <w:t>M</w:t>
      </w:r>
      <w:r w:rsidRPr="00D26D22">
        <w:rPr>
          <w:rFonts w:cs="Segoe UI"/>
          <w:szCs w:val="24"/>
        </w:rPr>
        <w:t>inisters, and from the accountability and planning documents</w:t>
      </w:r>
      <w:r>
        <w:rPr>
          <w:rFonts w:cs="Segoe UI"/>
          <w:szCs w:val="24"/>
        </w:rPr>
        <w:t xml:space="preserve"> it</w:t>
      </w:r>
      <w:r w:rsidRPr="00D26D22">
        <w:rPr>
          <w:rFonts w:cs="Segoe UI"/>
          <w:szCs w:val="24"/>
        </w:rPr>
        <w:t xml:space="preserve"> prepare</w:t>
      </w:r>
      <w:r>
        <w:rPr>
          <w:rFonts w:cs="Segoe UI"/>
          <w:szCs w:val="24"/>
        </w:rPr>
        <w:t>s</w:t>
      </w:r>
      <w:r w:rsidRPr="00D26D22">
        <w:rPr>
          <w:rFonts w:cs="Segoe UI"/>
          <w:szCs w:val="24"/>
        </w:rPr>
        <w:t xml:space="preserve"> for Parliament. They are not government policy.</w:t>
      </w:r>
    </w:p>
    <w:p w14:paraId="39098106" w14:textId="77777777" w:rsidR="00F14D9B" w:rsidRPr="00D26D22" w:rsidRDefault="00F14D9B" w:rsidP="00F14D9B">
      <w:pPr>
        <w:rPr>
          <w:rFonts w:cs="Segoe UI"/>
          <w:szCs w:val="24"/>
        </w:rPr>
      </w:pPr>
    </w:p>
    <w:p w14:paraId="3CA78544" w14:textId="77777777" w:rsidR="00F14D9B" w:rsidRPr="00D26D22" w:rsidRDefault="00F14D9B" w:rsidP="00F14D9B">
      <w:pPr>
        <w:rPr>
          <w:rFonts w:cs="Segoe UI"/>
          <w:szCs w:val="24"/>
        </w:rPr>
      </w:pPr>
      <w:r w:rsidRPr="00D26D22">
        <w:rPr>
          <w:rFonts w:cs="Segoe UI"/>
          <w:szCs w:val="24"/>
        </w:rPr>
        <w:t xml:space="preserve">Instead, </w:t>
      </w:r>
      <w:r>
        <w:rPr>
          <w:rFonts w:cs="Segoe UI"/>
          <w:szCs w:val="24"/>
        </w:rPr>
        <w:t xml:space="preserve">LTIBs </w:t>
      </w:r>
      <w:r w:rsidRPr="00D26D22">
        <w:rPr>
          <w:rFonts w:cs="Segoe UI"/>
          <w:szCs w:val="24"/>
        </w:rPr>
        <w:t>are ‘think-pieces’ on the future. Their purpose is to strengthen the public service’s focus on the long</w:t>
      </w:r>
      <w:r>
        <w:rPr>
          <w:rFonts w:cs="Segoe UI"/>
          <w:szCs w:val="24"/>
        </w:rPr>
        <w:t>-</w:t>
      </w:r>
      <w:r w:rsidRPr="00D26D22">
        <w:rPr>
          <w:rFonts w:cs="Segoe UI"/>
          <w:szCs w:val="24"/>
        </w:rPr>
        <w:t>term, by making available:</w:t>
      </w:r>
    </w:p>
    <w:p w14:paraId="01B0637D" w14:textId="77777777" w:rsidR="00F14D9B" w:rsidRPr="00D26D22" w:rsidRDefault="00F14D9B" w:rsidP="00F14D9B">
      <w:pPr>
        <w:pStyle w:val="Bullet"/>
        <w:tabs>
          <w:tab w:val="num" w:pos="284"/>
        </w:tabs>
      </w:pPr>
      <w:r w:rsidRPr="00D26D22">
        <w:t xml:space="preserve">information about medium- and long-term trends, </w:t>
      </w:r>
      <w:r>
        <w:t xml:space="preserve">and </w:t>
      </w:r>
      <w:r w:rsidRPr="00D26D22">
        <w:t>risks and opportunities that affect</w:t>
      </w:r>
      <w:r>
        <w:t>,</w:t>
      </w:r>
      <w:r w:rsidRPr="00D26D22">
        <w:t xml:space="preserve"> or may affect</w:t>
      </w:r>
      <w:r>
        <w:t>,</w:t>
      </w:r>
      <w:r w:rsidRPr="00D26D22">
        <w:t xml:space="preserve"> Aotearoa</w:t>
      </w:r>
      <w:r>
        <w:t xml:space="preserve"> New Zealand</w:t>
      </w:r>
    </w:p>
    <w:p w14:paraId="66E56775" w14:textId="77777777" w:rsidR="00F14D9B" w:rsidRPr="00D26D22" w:rsidRDefault="00F14D9B" w:rsidP="00F14D9B">
      <w:pPr>
        <w:pStyle w:val="Bullet"/>
        <w:tabs>
          <w:tab w:val="num" w:pos="284"/>
        </w:tabs>
      </w:pPr>
      <w:r w:rsidRPr="00D26D22">
        <w:t>information and impartial analysis, including on policy options for responding to these matters.</w:t>
      </w:r>
    </w:p>
    <w:p w14:paraId="09BEE46D" w14:textId="77777777" w:rsidR="00F14D9B" w:rsidRDefault="00F14D9B" w:rsidP="00F14D9B">
      <w:pPr>
        <w:rPr>
          <w:rFonts w:cs="Segoe UI"/>
          <w:szCs w:val="24"/>
        </w:rPr>
      </w:pPr>
    </w:p>
    <w:p w14:paraId="7B4DE9CF" w14:textId="77777777" w:rsidR="00F14D9B" w:rsidRPr="00D26D22" w:rsidRDefault="00F14D9B" w:rsidP="00F14D9B">
      <w:pPr>
        <w:rPr>
          <w:rFonts w:cs="Segoe UI"/>
          <w:szCs w:val="24"/>
        </w:rPr>
      </w:pPr>
      <w:r w:rsidRPr="00D26D22">
        <w:rPr>
          <w:rFonts w:cs="Segoe UI"/>
          <w:szCs w:val="24"/>
        </w:rPr>
        <w:lastRenderedPageBreak/>
        <w:t>The Department of the Prime Minister and Cabinet</w:t>
      </w:r>
      <w:r>
        <w:rPr>
          <w:rFonts w:cs="Segoe UI"/>
          <w:szCs w:val="24"/>
        </w:rPr>
        <w:t>’s</w:t>
      </w:r>
      <w:r w:rsidRPr="00D26D22" w:rsidDel="00046849">
        <w:rPr>
          <w:rFonts w:cs="Segoe UI"/>
          <w:szCs w:val="24"/>
        </w:rPr>
        <w:t xml:space="preserve"> </w:t>
      </w:r>
      <w:r w:rsidRPr="00D26D22">
        <w:rPr>
          <w:rFonts w:cs="Segoe UI"/>
          <w:szCs w:val="24"/>
        </w:rPr>
        <w:t>guidance</w:t>
      </w:r>
      <w:r>
        <w:rPr>
          <w:rFonts w:cs="Segoe UI"/>
          <w:szCs w:val="24"/>
        </w:rPr>
        <w:t xml:space="preserve"> </w:t>
      </w:r>
      <w:r w:rsidRPr="00D26D22">
        <w:rPr>
          <w:rFonts w:cs="Segoe UI"/>
          <w:szCs w:val="24"/>
        </w:rPr>
        <w:t>recommends th</w:t>
      </w:r>
      <w:r>
        <w:rPr>
          <w:rFonts w:cs="Segoe UI"/>
          <w:szCs w:val="24"/>
        </w:rPr>
        <w:t>at</w:t>
      </w:r>
      <w:r w:rsidRPr="00D26D22">
        <w:rPr>
          <w:rFonts w:cs="Segoe UI"/>
          <w:szCs w:val="24"/>
        </w:rPr>
        <w:t xml:space="preserve"> </w:t>
      </w:r>
      <w:r>
        <w:rPr>
          <w:rFonts w:cs="Segoe UI"/>
          <w:szCs w:val="24"/>
        </w:rPr>
        <w:t>LTIBs</w:t>
      </w:r>
      <w:r w:rsidRPr="00D26D22">
        <w:rPr>
          <w:rFonts w:cs="Segoe UI"/>
          <w:szCs w:val="24"/>
        </w:rPr>
        <w:t xml:space="preserve"> look at least 10 years into the future. </w:t>
      </w:r>
      <w:r>
        <w:rPr>
          <w:rFonts w:cs="Segoe UI"/>
          <w:szCs w:val="24"/>
        </w:rPr>
        <w:t>T</w:t>
      </w:r>
      <w:r w:rsidRPr="00D26D22">
        <w:rPr>
          <w:rFonts w:cs="Segoe UI"/>
          <w:szCs w:val="24"/>
        </w:rPr>
        <w:t xml:space="preserve">o learn more about </w:t>
      </w:r>
      <w:r>
        <w:rPr>
          <w:rFonts w:cs="Segoe UI"/>
          <w:szCs w:val="24"/>
        </w:rPr>
        <w:t>LTIBs</w:t>
      </w:r>
      <w:r w:rsidRPr="00D26D22">
        <w:rPr>
          <w:rFonts w:cs="Segoe UI"/>
          <w:szCs w:val="24"/>
        </w:rPr>
        <w:t xml:space="preserve">, please visit the </w:t>
      </w:r>
      <w:r>
        <w:rPr>
          <w:rFonts w:cs="Segoe UI"/>
          <w:szCs w:val="24"/>
        </w:rPr>
        <w:t xml:space="preserve">Department of the Prime Minister and Cabinet’s </w:t>
      </w:r>
      <w:hyperlink r:id="rId28" w:history="1">
        <w:r w:rsidRPr="0056736E">
          <w:rPr>
            <w:rStyle w:val="Hyperlink"/>
            <w:rFonts w:cs="Segoe UI"/>
            <w:szCs w:val="24"/>
          </w:rPr>
          <w:t>Long-term Insights Briefing webpage.</w:t>
        </w:r>
      </w:hyperlink>
    </w:p>
    <w:p w14:paraId="770F9D96" w14:textId="77777777" w:rsidR="00F14D9B" w:rsidRPr="00657266" w:rsidRDefault="00F14D9B" w:rsidP="00F14D9B">
      <w:pPr>
        <w:pStyle w:val="Heading2"/>
      </w:pPr>
      <w:bookmarkStart w:id="15" w:name="_Toc180663962"/>
      <w:bookmarkStart w:id="16" w:name="_Toc181273805"/>
      <w:bookmarkStart w:id="17" w:name="_Toc181362033"/>
      <w:bookmarkStart w:id="18" w:name="_Toc181362212"/>
      <w:r w:rsidRPr="00657266">
        <w:t>Opportunities to contribute to this Long-term Insights Briefing</w:t>
      </w:r>
      <w:bookmarkEnd w:id="15"/>
      <w:bookmarkEnd w:id="16"/>
      <w:bookmarkEnd w:id="17"/>
      <w:bookmarkEnd w:id="18"/>
    </w:p>
    <w:p w14:paraId="2D1D7935" w14:textId="77777777" w:rsidR="00F14D9B" w:rsidRDefault="00F14D9B" w:rsidP="00F14D9B">
      <w:pPr>
        <w:rPr>
          <w:rFonts w:cs="Segoe UI"/>
          <w:szCs w:val="24"/>
        </w:rPr>
      </w:pPr>
      <w:r w:rsidRPr="00D26D22">
        <w:rPr>
          <w:rFonts w:cs="Segoe UI"/>
          <w:szCs w:val="24"/>
        </w:rPr>
        <w:t>This</w:t>
      </w:r>
      <w:r>
        <w:rPr>
          <w:rFonts w:cs="Segoe UI"/>
          <w:szCs w:val="24"/>
        </w:rPr>
        <w:t xml:space="preserve"> consultation</w:t>
      </w:r>
      <w:r w:rsidRPr="00D26D22">
        <w:rPr>
          <w:rFonts w:cs="Segoe UI"/>
          <w:szCs w:val="24"/>
        </w:rPr>
        <w:t xml:space="preserve"> document is your first opportunity to contribute to </w:t>
      </w:r>
      <w:r>
        <w:rPr>
          <w:rFonts w:cs="Segoe UI"/>
          <w:szCs w:val="24"/>
        </w:rPr>
        <w:t>the Ministry’s</w:t>
      </w:r>
      <w:r w:rsidRPr="00D26D22">
        <w:rPr>
          <w:rFonts w:cs="Segoe UI"/>
          <w:szCs w:val="24"/>
        </w:rPr>
        <w:t xml:space="preserve"> </w:t>
      </w:r>
      <w:r>
        <w:rPr>
          <w:rFonts w:cs="Segoe UI"/>
          <w:szCs w:val="24"/>
        </w:rPr>
        <w:t>LTIB</w:t>
      </w:r>
      <w:r w:rsidRPr="00D26D22">
        <w:rPr>
          <w:rFonts w:cs="Segoe UI"/>
          <w:szCs w:val="24"/>
        </w:rPr>
        <w:t xml:space="preserve">. Feedback we receive will help us better shape the topic and questions we explore </w:t>
      </w:r>
      <w:r>
        <w:rPr>
          <w:rFonts w:cs="Segoe UI"/>
          <w:szCs w:val="24"/>
        </w:rPr>
        <w:t>while we draft the LTIB.</w:t>
      </w:r>
    </w:p>
    <w:p w14:paraId="5EBFA784" w14:textId="77777777" w:rsidR="00F14D9B" w:rsidRPr="00D26D22" w:rsidRDefault="00F14D9B" w:rsidP="00F14D9B">
      <w:pPr>
        <w:rPr>
          <w:rFonts w:cs="Segoe UI"/>
          <w:szCs w:val="24"/>
        </w:rPr>
      </w:pPr>
    </w:p>
    <w:p w14:paraId="798A54CE" w14:textId="77777777" w:rsidR="00F14D9B" w:rsidRPr="00D26D22" w:rsidRDefault="00F14D9B" w:rsidP="00F14D9B">
      <w:pPr>
        <w:rPr>
          <w:rFonts w:cs="Segoe UI"/>
          <w:szCs w:val="24"/>
        </w:rPr>
      </w:pPr>
      <w:r w:rsidRPr="00D26D22">
        <w:rPr>
          <w:rFonts w:cs="Segoe UI"/>
          <w:szCs w:val="24"/>
        </w:rPr>
        <w:t xml:space="preserve">You will have </w:t>
      </w:r>
      <w:r>
        <w:rPr>
          <w:rFonts w:cs="Segoe UI"/>
          <w:szCs w:val="24"/>
        </w:rPr>
        <w:t>other</w:t>
      </w:r>
      <w:r w:rsidRPr="00D26D22">
        <w:rPr>
          <w:rFonts w:cs="Segoe UI"/>
          <w:szCs w:val="24"/>
        </w:rPr>
        <w:t xml:space="preserve"> opportunities to provide feedback as we develop </w:t>
      </w:r>
      <w:r>
        <w:rPr>
          <w:rFonts w:cs="Segoe UI"/>
          <w:szCs w:val="24"/>
        </w:rPr>
        <w:t>the</w:t>
      </w:r>
      <w:r w:rsidDel="00C9174A">
        <w:rPr>
          <w:rFonts w:cs="Segoe UI"/>
          <w:szCs w:val="24"/>
        </w:rPr>
        <w:t xml:space="preserve"> </w:t>
      </w:r>
      <w:r>
        <w:rPr>
          <w:rFonts w:cs="Segoe UI"/>
          <w:szCs w:val="24"/>
        </w:rPr>
        <w:t>LTIB. We aim to complete the LTIB by mid-2025. Key timeframes are:</w:t>
      </w:r>
    </w:p>
    <w:p w14:paraId="4AE46B94" w14:textId="39FD9FA3" w:rsidR="00F14D9B" w:rsidRPr="00D26D22" w:rsidRDefault="003D133A" w:rsidP="00F14D9B">
      <w:pPr>
        <w:pStyle w:val="Bullet"/>
        <w:tabs>
          <w:tab w:val="num" w:pos="284"/>
        </w:tabs>
      </w:pPr>
      <w:r>
        <w:rPr>
          <w:b/>
          <w:bCs/>
        </w:rPr>
        <w:t>Until</w:t>
      </w:r>
      <w:r w:rsidR="00F14D9B" w:rsidRPr="00D26D22">
        <w:rPr>
          <w:b/>
          <w:bCs/>
        </w:rPr>
        <w:t xml:space="preserve"> </w:t>
      </w:r>
      <w:r w:rsidR="00F14D9B">
        <w:rPr>
          <w:b/>
          <w:bCs/>
        </w:rPr>
        <w:t>2 December</w:t>
      </w:r>
      <w:r w:rsidR="00F14D9B">
        <w:rPr>
          <w:b/>
        </w:rPr>
        <w:t xml:space="preserve"> 2024 </w:t>
      </w:r>
      <w:r w:rsidR="00F14D9B" w:rsidRPr="00D26D22">
        <w:t xml:space="preserve">— </w:t>
      </w:r>
      <w:r w:rsidR="00F14D9B">
        <w:t xml:space="preserve">for </w:t>
      </w:r>
      <w:r w:rsidR="00F14D9B" w:rsidRPr="00D26D22">
        <w:t xml:space="preserve">this public consultation on the proposed topic and areas you want us to explore </w:t>
      </w:r>
      <w:r w:rsidR="00F14D9B">
        <w:t xml:space="preserve">within the topic subject </w:t>
      </w:r>
      <w:proofErr w:type="gramStart"/>
      <w:r w:rsidR="00F14D9B">
        <w:t>matter</w:t>
      </w:r>
      <w:proofErr w:type="gramEnd"/>
    </w:p>
    <w:p w14:paraId="37FFF9A3" w14:textId="77777777" w:rsidR="00F14D9B" w:rsidRPr="00D26D22" w:rsidRDefault="00F14D9B" w:rsidP="00F14D9B">
      <w:pPr>
        <w:pStyle w:val="Bullet"/>
        <w:tabs>
          <w:tab w:val="num" w:pos="284"/>
        </w:tabs>
      </w:pPr>
      <w:r>
        <w:rPr>
          <w:b/>
          <w:bCs/>
        </w:rPr>
        <w:t>February</w:t>
      </w:r>
      <w:r w:rsidRPr="00D26D22">
        <w:rPr>
          <w:b/>
          <w:bCs/>
        </w:rPr>
        <w:t xml:space="preserve"> to </w:t>
      </w:r>
      <w:r>
        <w:rPr>
          <w:b/>
          <w:bCs/>
        </w:rPr>
        <w:t>April 2025</w:t>
      </w:r>
      <w:r w:rsidRPr="00D26D22">
        <w:t xml:space="preserve"> — targeted engagement as we </w:t>
      </w:r>
      <w:r>
        <w:t xml:space="preserve">develop </w:t>
      </w:r>
      <w:r w:rsidRPr="00D26D22">
        <w:t xml:space="preserve">the </w:t>
      </w:r>
      <w:proofErr w:type="gramStart"/>
      <w:r>
        <w:t>LTIB</w:t>
      </w:r>
      <w:proofErr w:type="gramEnd"/>
    </w:p>
    <w:p w14:paraId="7218B921" w14:textId="77777777" w:rsidR="00F14D9B" w:rsidRPr="00D26D22" w:rsidRDefault="00F14D9B" w:rsidP="00F14D9B">
      <w:pPr>
        <w:pStyle w:val="Bullet"/>
        <w:tabs>
          <w:tab w:val="num" w:pos="284"/>
        </w:tabs>
      </w:pPr>
      <w:r>
        <w:rPr>
          <w:b/>
          <w:bCs/>
        </w:rPr>
        <w:t>May 2025</w:t>
      </w:r>
      <w:r w:rsidRPr="00D26D22">
        <w:t xml:space="preserve"> — public consultation on the draft </w:t>
      </w:r>
      <w:r>
        <w:t>LTIB.</w:t>
      </w:r>
    </w:p>
    <w:p w14:paraId="39831BCD" w14:textId="77777777" w:rsidR="00F14D9B" w:rsidRDefault="00F14D9B" w:rsidP="00F14D9B">
      <w:pPr>
        <w:rPr>
          <w:rFonts w:eastAsia="Arial Unicode MS"/>
        </w:rPr>
      </w:pPr>
    </w:p>
    <w:p w14:paraId="75CE6834" w14:textId="77777777" w:rsidR="00F14D9B" w:rsidRDefault="00F14D9B" w:rsidP="00F14D9B">
      <w:pPr>
        <w:rPr>
          <w:rFonts w:eastAsia="Arial Unicode MS"/>
        </w:rPr>
      </w:pPr>
    </w:p>
    <w:p w14:paraId="0A807FD7" w14:textId="77777777" w:rsidR="00F14D9B" w:rsidRDefault="00F14D9B" w:rsidP="00F14D9B">
      <w:pPr>
        <w:rPr>
          <w:rFonts w:eastAsia="Arial Unicode MS"/>
        </w:rPr>
      </w:pPr>
    </w:p>
    <w:p w14:paraId="710823EF" w14:textId="77777777" w:rsidR="00F14D9B" w:rsidRDefault="00F14D9B" w:rsidP="003A5FEA">
      <w:pPr>
        <w:sectPr w:rsidR="00F14D9B" w:rsidSect="00F14D9B">
          <w:footerReference w:type="even" r:id="rId29"/>
          <w:pgSz w:w="11907" w:h="16840" w:code="9"/>
          <w:pgMar w:top="1418" w:right="1701" w:bottom="1134" w:left="1843" w:header="284" w:footer="425" w:gutter="284"/>
          <w:pgNumType w:start="1"/>
          <w:cols w:space="720"/>
        </w:sectPr>
      </w:pPr>
    </w:p>
    <w:p w14:paraId="6C613EA8" w14:textId="77777777" w:rsidR="00F14D9B" w:rsidRPr="00800759" w:rsidRDefault="00F14D9B" w:rsidP="00B44E09">
      <w:pPr>
        <w:pStyle w:val="Heading1"/>
        <w:spacing w:before="0"/>
        <w:rPr>
          <w:sz w:val="60"/>
          <w:szCs w:val="60"/>
        </w:rPr>
      </w:pPr>
      <w:bookmarkStart w:id="19" w:name="_Toc181273806"/>
      <w:bookmarkStart w:id="20" w:name="_Toc181362034"/>
      <w:bookmarkStart w:id="21" w:name="_Toc181362213"/>
      <w:r w:rsidRPr="00800759">
        <w:rPr>
          <w:sz w:val="60"/>
          <w:szCs w:val="60"/>
        </w:rPr>
        <w:lastRenderedPageBreak/>
        <w:t xml:space="preserve">Part Two: </w:t>
      </w:r>
      <w:r>
        <w:rPr>
          <w:sz w:val="60"/>
          <w:szCs w:val="60"/>
        </w:rPr>
        <w:t>Our proposed topic</w:t>
      </w:r>
      <w:bookmarkEnd w:id="19"/>
      <w:bookmarkEnd w:id="20"/>
      <w:bookmarkEnd w:id="21"/>
    </w:p>
    <w:p w14:paraId="69AD94E3" w14:textId="77777777" w:rsidR="00F14D9B" w:rsidRPr="00377660" w:rsidRDefault="00F14D9B" w:rsidP="00B44E09">
      <w:r w:rsidRPr="00377660">
        <w:t xml:space="preserve">Our proposed </w:t>
      </w:r>
      <w:r>
        <w:t xml:space="preserve">Long-term Insights Briefing </w:t>
      </w:r>
      <w:r w:rsidRPr="00377660">
        <w:t xml:space="preserve">topic is: </w:t>
      </w:r>
    </w:p>
    <w:p w14:paraId="4335AAFF" w14:textId="77777777" w:rsidR="00F14D9B" w:rsidRPr="00377660" w:rsidRDefault="00F14D9B" w:rsidP="00F14D9B">
      <w:pPr>
        <w:rPr>
          <w:rFonts w:cs="Segoe UI"/>
          <w:szCs w:val="21"/>
        </w:rPr>
      </w:pPr>
    </w:p>
    <w:p w14:paraId="7CEDCD01" w14:textId="23723BEA" w:rsidR="00F14D9B" w:rsidRPr="00081FF2" w:rsidRDefault="00F14D9B" w:rsidP="00F14D9B">
      <w:pPr>
        <w:ind w:left="720" w:right="737"/>
        <w:rPr>
          <w:rFonts w:cs="Segoe UI"/>
          <w:b/>
          <w:bCs/>
          <w:color w:val="244061" w:themeColor="accent1" w:themeShade="80"/>
          <w:sz w:val="24"/>
          <w:szCs w:val="24"/>
        </w:rPr>
      </w:pPr>
      <w:r>
        <w:rPr>
          <w:rFonts w:cs="Segoe UI"/>
          <w:b/>
          <w:color w:val="244061" w:themeColor="accent1" w:themeShade="80"/>
          <w:sz w:val="24"/>
          <w:szCs w:val="24"/>
        </w:rPr>
        <w:t>Unlocking the potential of active ageing – c</w:t>
      </w:r>
      <w:r w:rsidRPr="00081FF2">
        <w:rPr>
          <w:rFonts w:cs="Segoe UI"/>
          <w:b/>
          <w:color w:val="244061" w:themeColor="accent1" w:themeShade="80"/>
          <w:sz w:val="24"/>
          <w:szCs w:val="24"/>
        </w:rPr>
        <w:t>reating health</w:t>
      </w:r>
      <w:r w:rsidR="0071036C">
        <w:rPr>
          <w:rFonts w:cs="Segoe UI"/>
          <w:b/>
          <w:color w:val="244061" w:themeColor="accent1" w:themeShade="80"/>
          <w:sz w:val="24"/>
          <w:szCs w:val="24"/>
        </w:rPr>
        <w:t>-</w:t>
      </w:r>
      <w:r w:rsidRPr="00081FF2">
        <w:rPr>
          <w:rFonts w:cs="Segoe UI"/>
          <w:b/>
          <w:color w:val="244061" w:themeColor="accent1" w:themeShade="80"/>
          <w:sz w:val="24"/>
          <w:szCs w:val="24"/>
        </w:rPr>
        <w:t>promoting and supportive environments to empower older people and enhance their contributions</w:t>
      </w:r>
      <w:r>
        <w:rPr>
          <w:rFonts w:cs="Segoe UI"/>
          <w:b/>
          <w:color w:val="244061" w:themeColor="accent1" w:themeShade="80"/>
          <w:sz w:val="24"/>
          <w:szCs w:val="24"/>
        </w:rPr>
        <w:t xml:space="preserve"> to society</w:t>
      </w:r>
      <w:r w:rsidRPr="00081FF2">
        <w:rPr>
          <w:rFonts w:cs="Segoe UI"/>
          <w:b/>
          <w:color w:val="244061" w:themeColor="accent1" w:themeShade="80"/>
          <w:sz w:val="24"/>
          <w:szCs w:val="24"/>
        </w:rPr>
        <w:t>.</w:t>
      </w:r>
    </w:p>
    <w:p w14:paraId="49DE8D6F" w14:textId="77777777" w:rsidR="00F14D9B" w:rsidRDefault="00F14D9B" w:rsidP="00F14D9B">
      <w:pPr>
        <w:rPr>
          <w:rFonts w:cs="Segoe UI"/>
        </w:rPr>
      </w:pPr>
    </w:p>
    <w:p w14:paraId="79E4AEB7" w14:textId="77777777" w:rsidR="00F14D9B" w:rsidRPr="00377660" w:rsidRDefault="00F14D9B" w:rsidP="00F14D9B">
      <w:pPr>
        <w:rPr>
          <w:rFonts w:cs="Segoe UI"/>
        </w:rPr>
      </w:pPr>
      <w:r>
        <w:rPr>
          <w:rFonts w:cs="Segoe UI"/>
        </w:rPr>
        <w:t>A number of important trends and drivers are likely to impact future wellbeing of New Zealanders. Some key areas are</w:t>
      </w:r>
      <w:r w:rsidRPr="55C69564">
        <w:rPr>
          <w:rFonts w:cs="Segoe UI"/>
        </w:rPr>
        <w:t xml:space="preserve"> population and demographic change, resource stress, </w:t>
      </w:r>
      <w:r>
        <w:rPr>
          <w:rFonts w:cs="Segoe UI"/>
        </w:rPr>
        <w:t xml:space="preserve">citizens’ changing </w:t>
      </w:r>
      <w:r w:rsidRPr="55C69564">
        <w:rPr>
          <w:rFonts w:cs="Segoe UI"/>
        </w:rPr>
        <w:t xml:space="preserve">expectations </w:t>
      </w:r>
      <w:r>
        <w:rPr>
          <w:rFonts w:cs="Segoe UI"/>
        </w:rPr>
        <w:t>about government and services</w:t>
      </w:r>
      <w:r w:rsidRPr="55C69564">
        <w:rPr>
          <w:rFonts w:cs="Segoe UI"/>
        </w:rPr>
        <w:t>, emerging</w:t>
      </w:r>
      <w:r w:rsidRPr="55C69564" w:rsidDel="004A1CF1">
        <w:rPr>
          <w:rFonts w:cs="Segoe UI"/>
        </w:rPr>
        <w:t xml:space="preserve"> </w:t>
      </w:r>
      <w:r w:rsidRPr="55C69564">
        <w:rPr>
          <w:rFonts w:cs="Segoe UI"/>
        </w:rPr>
        <w:t>technolog</w:t>
      </w:r>
      <w:r>
        <w:rPr>
          <w:rFonts w:cs="Segoe UI"/>
        </w:rPr>
        <w:t>y</w:t>
      </w:r>
      <w:r w:rsidRPr="55C69564">
        <w:rPr>
          <w:rFonts w:cs="Segoe UI"/>
        </w:rPr>
        <w:t>, the changing workforce</w:t>
      </w:r>
      <w:r>
        <w:rPr>
          <w:rFonts w:cs="Segoe UI"/>
        </w:rPr>
        <w:t>,</w:t>
      </w:r>
      <w:r w:rsidRPr="55C69564">
        <w:rPr>
          <w:rFonts w:cs="Segoe UI"/>
        </w:rPr>
        <w:t xml:space="preserve"> and climate change.</w:t>
      </w:r>
    </w:p>
    <w:p w14:paraId="550FA90D" w14:textId="77777777" w:rsidR="00F14D9B" w:rsidRDefault="00F14D9B" w:rsidP="00F14D9B">
      <w:pPr>
        <w:rPr>
          <w:rFonts w:cs="Segoe UI"/>
        </w:rPr>
      </w:pPr>
    </w:p>
    <w:p w14:paraId="54D53A41" w14:textId="77777777" w:rsidR="00F14D9B" w:rsidRDefault="00F14D9B" w:rsidP="00F14D9B">
      <w:pPr>
        <w:rPr>
          <w:rFonts w:cs="Segoe UI"/>
          <w:szCs w:val="21"/>
        </w:rPr>
      </w:pPr>
      <w:r w:rsidRPr="00377660">
        <w:rPr>
          <w:rFonts w:cs="Segoe UI"/>
          <w:szCs w:val="21"/>
        </w:rPr>
        <w:t xml:space="preserve">We have chosen our proposed topic </w:t>
      </w:r>
      <w:r>
        <w:rPr>
          <w:rFonts w:cs="Segoe UI"/>
          <w:szCs w:val="21"/>
        </w:rPr>
        <w:t>after considering</w:t>
      </w:r>
      <w:r w:rsidRPr="00377660">
        <w:rPr>
          <w:rFonts w:cs="Segoe UI"/>
          <w:szCs w:val="21"/>
        </w:rPr>
        <w:t xml:space="preserve"> these </w:t>
      </w:r>
      <w:r>
        <w:rPr>
          <w:rFonts w:cs="Segoe UI"/>
          <w:szCs w:val="21"/>
        </w:rPr>
        <w:t>drivers,</w:t>
      </w:r>
      <w:r w:rsidRPr="00377660">
        <w:rPr>
          <w:rFonts w:cs="Segoe UI"/>
          <w:szCs w:val="21"/>
        </w:rPr>
        <w:t xml:space="preserve"> and </w:t>
      </w:r>
      <w:r>
        <w:rPr>
          <w:rFonts w:cs="Segoe UI"/>
          <w:szCs w:val="21"/>
        </w:rPr>
        <w:t xml:space="preserve">the </w:t>
      </w:r>
      <w:r w:rsidRPr="00377660">
        <w:rPr>
          <w:rFonts w:cs="Segoe UI"/>
          <w:szCs w:val="21"/>
        </w:rPr>
        <w:t>opportunities</w:t>
      </w:r>
      <w:r>
        <w:rPr>
          <w:rFonts w:cs="Segoe UI"/>
          <w:szCs w:val="21"/>
        </w:rPr>
        <w:t xml:space="preserve"> that arise</w:t>
      </w:r>
      <w:r w:rsidRPr="00377660">
        <w:rPr>
          <w:rFonts w:cs="Segoe UI"/>
          <w:szCs w:val="21"/>
        </w:rPr>
        <w:t xml:space="preserve"> </w:t>
      </w:r>
      <w:r>
        <w:rPr>
          <w:rFonts w:cs="Segoe UI"/>
          <w:szCs w:val="21"/>
        </w:rPr>
        <w:t>from responding to them</w:t>
      </w:r>
      <w:r w:rsidRPr="00377660">
        <w:rPr>
          <w:rFonts w:cs="Segoe UI"/>
          <w:szCs w:val="21"/>
        </w:rPr>
        <w:t xml:space="preserve">. </w:t>
      </w:r>
      <w:r>
        <w:rPr>
          <w:rFonts w:cs="Segoe UI"/>
          <w:szCs w:val="21"/>
        </w:rPr>
        <w:t xml:space="preserve">The proposed topic relates to the impact </w:t>
      </w:r>
      <w:r w:rsidDel="00B069C6">
        <w:rPr>
          <w:rFonts w:cs="Segoe UI"/>
          <w:szCs w:val="21"/>
        </w:rPr>
        <w:t>of</w:t>
      </w:r>
      <w:r>
        <w:rPr>
          <w:rFonts w:cs="Segoe UI"/>
          <w:szCs w:val="21"/>
        </w:rPr>
        <w:t xml:space="preserve"> an ageing population, and the opportunities that arise from this long-term trend. It also responds to future demographic changes within the older population group. The </w:t>
      </w:r>
      <w:r>
        <w:rPr>
          <w:rFonts w:cstheme="minorHAnsi"/>
        </w:rPr>
        <w:t>activities and contributions of older people have been changing over generations, as a result of their generally better health, technology changes, along with societal changes that especially affect</w:t>
      </w:r>
      <w:r w:rsidDel="00B97A68">
        <w:rPr>
          <w:rFonts w:cstheme="minorHAnsi"/>
        </w:rPr>
        <w:t xml:space="preserve"> </w:t>
      </w:r>
      <w:r>
        <w:rPr>
          <w:rFonts w:cstheme="minorHAnsi"/>
        </w:rPr>
        <w:t xml:space="preserve">women. </w:t>
      </w:r>
    </w:p>
    <w:p w14:paraId="1328A3FC" w14:textId="77777777" w:rsidR="00F14D9B" w:rsidRDefault="00F14D9B" w:rsidP="00F14D9B">
      <w:pPr>
        <w:rPr>
          <w:rFonts w:cs="Segoe UI"/>
          <w:szCs w:val="21"/>
        </w:rPr>
      </w:pPr>
    </w:p>
    <w:p w14:paraId="1927C242" w14:textId="77777777" w:rsidR="00F14D9B" w:rsidRDefault="00F14D9B" w:rsidP="00F14D9B">
      <w:pPr>
        <w:rPr>
          <w:rFonts w:cstheme="minorHAnsi"/>
        </w:rPr>
      </w:pPr>
      <w:r w:rsidRPr="00785D79">
        <w:rPr>
          <w:rFonts w:cs="Segoe UI"/>
          <w:shd w:val="clear" w:color="auto" w:fill="FFFFFF"/>
        </w:rPr>
        <w:t>Globally, people are living longer. Every developed country in the world is experiencing growth in both the size and the proportion of older people in its population. C</w:t>
      </w:r>
      <w:r w:rsidRPr="009007F9">
        <w:rPr>
          <w:rFonts w:cs="Segoe UI"/>
        </w:rPr>
        <w:t xml:space="preserve">ountries face major challenges in </w:t>
      </w:r>
      <w:r>
        <w:rPr>
          <w:rFonts w:cs="Segoe UI"/>
        </w:rPr>
        <w:t xml:space="preserve">adjusting to these demographic shifts as they will change the population’s needs for services and supports, which in turn will require major changes to areas such as the built environment (for example, the neighbourhoods people live in). Reflecting these global trends and needs, the United Nations Decade of Healthy Ageing (2021–2030) fosters global collaboration towards an aim of improving the lives of older people by enabling them to participate in, and contribute to, their communities and societies. It includes a focus on age-friendly environments (for example, age-friendly cities), and combatting ageism. </w:t>
      </w:r>
    </w:p>
    <w:p w14:paraId="25540AEF" w14:textId="77777777" w:rsidR="00F14D9B" w:rsidRDefault="00F14D9B" w:rsidP="00F14D9B">
      <w:pPr>
        <w:rPr>
          <w:rFonts w:cstheme="minorHAnsi"/>
        </w:rPr>
      </w:pPr>
    </w:p>
    <w:p w14:paraId="24344C11" w14:textId="77777777" w:rsidR="00F14D9B" w:rsidRDefault="00F14D9B" w:rsidP="00F14D9B">
      <w:pPr>
        <w:rPr>
          <w:rFonts w:cstheme="minorHAnsi"/>
        </w:rPr>
      </w:pPr>
      <w:r>
        <w:rPr>
          <w:rFonts w:cstheme="minorHAnsi"/>
        </w:rPr>
        <w:t xml:space="preserve">Aotearoa New Zealand is affected by this global trend of population ageing. </w:t>
      </w:r>
      <w:r w:rsidRPr="00F5224E">
        <w:rPr>
          <w:rFonts w:cstheme="minorHAnsi"/>
        </w:rPr>
        <w:t xml:space="preserve">Over </w:t>
      </w:r>
      <w:r>
        <w:rPr>
          <w:rFonts w:cstheme="minorHAnsi"/>
        </w:rPr>
        <w:t>the last 70 years</w:t>
      </w:r>
      <w:r w:rsidRPr="00F5224E">
        <w:rPr>
          <w:rFonts w:cstheme="minorHAnsi"/>
        </w:rPr>
        <w:t xml:space="preserve">, </w:t>
      </w:r>
      <w:r>
        <w:rPr>
          <w:rFonts w:cstheme="minorHAnsi"/>
        </w:rPr>
        <w:t>significant</w:t>
      </w:r>
      <w:r w:rsidRPr="00F5224E">
        <w:rPr>
          <w:rFonts w:cstheme="minorHAnsi"/>
        </w:rPr>
        <w:t xml:space="preserve"> </w:t>
      </w:r>
      <w:r>
        <w:rPr>
          <w:rFonts w:cstheme="minorHAnsi"/>
        </w:rPr>
        <w:t>improvements in living standards and health care have</w:t>
      </w:r>
      <w:r w:rsidRPr="00F5224E">
        <w:rPr>
          <w:rFonts w:cstheme="minorHAnsi"/>
        </w:rPr>
        <w:t xml:space="preserve"> increase</w:t>
      </w:r>
      <w:r>
        <w:rPr>
          <w:rFonts w:cstheme="minorHAnsi"/>
        </w:rPr>
        <w:t>d</w:t>
      </w:r>
      <w:r w:rsidRPr="00F5224E">
        <w:rPr>
          <w:rFonts w:cstheme="minorHAnsi"/>
        </w:rPr>
        <w:t xml:space="preserve"> life expectancy. </w:t>
      </w:r>
      <w:r>
        <w:rPr>
          <w:rFonts w:cstheme="minorHAnsi"/>
        </w:rPr>
        <w:t xml:space="preserve">This trend, along with falling birth rates, has contributed to an </w:t>
      </w:r>
      <w:r w:rsidRPr="00545539">
        <w:rPr>
          <w:rFonts w:cstheme="minorHAnsi"/>
        </w:rPr>
        <w:t>ageing population.</w:t>
      </w:r>
      <w:r w:rsidRPr="00545539" w:rsidDel="006A3619">
        <w:rPr>
          <w:rFonts w:cstheme="minorHAnsi"/>
        </w:rPr>
        <w:t xml:space="preserve"> </w:t>
      </w:r>
      <w:r w:rsidRPr="00545539">
        <w:rPr>
          <w:rFonts w:cstheme="minorHAnsi"/>
        </w:rPr>
        <w:t>In 1953 the median age of death was 68 years for males and 71 years for females, which means 50% of people died prior to these ages.</w:t>
      </w:r>
      <w:r w:rsidRPr="00545539">
        <w:rPr>
          <w:rStyle w:val="FootnoteReference"/>
          <w:rFonts w:cstheme="minorHAnsi"/>
        </w:rPr>
        <w:footnoteReference w:id="1"/>
      </w:r>
      <w:r w:rsidRPr="00545539">
        <w:rPr>
          <w:rFonts w:cstheme="minorHAnsi"/>
        </w:rPr>
        <w:t xml:space="preserve"> By 2023, the median age at death had risen to 79 years for males and 83 years for females. In 2023, </w:t>
      </w:r>
      <w:r w:rsidRPr="00545539" w:rsidDel="00AF6CCE">
        <w:rPr>
          <w:rFonts w:cstheme="minorHAnsi"/>
        </w:rPr>
        <w:t>42</w:t>
      </w:r>
      <w:r w:rsidRPr="00545539">
        <w:rPr>
          <w:rFonts w:cstheme="minorHAnsi"/>
        </w:rPr>
        <w:t>-year-old females born in 1981 (first year of the ‘Millennials’ generation) are expected to live to 88.6 years, and males in this same age group are expected to live to 85.9 years.</w:t>
      </w:r>
      <w:r w:rsidRPr="00545539">
        <w:rPr>
          <w:rStyle w:val="FootnoteReference"/>
          <w:rFonts w:cstheme="minorHAnsi"/>
        </w:rPr>
        <w:footnoteReference w:id="2"/>
      </w:r>
      <w:r>
        <w:rPr>
          <w:rFonts w:cstheme="minorHAnsi"/>
        </w:rPr>
        <w:t xml:space="preserve"> </w:t>
      </w:r>
    </w:p>
    <w:p w14:paraId="0556E878" w14:textId="77777777" w:rsidR="00F14D9B" w:rsidRDefault="00F14D9B" w:rsidP="00F14D9B">
      <w:pPr>
        <w:rPr>
          <w:rFonts w:cstheme="minorHAnsi"/>
        </w:rPr>
      </w:pPr>
    </w:p>
    <w:p w14:paraId="7220F139" w14:textId="77777777" w:rsidR="00F14D9B" w:rsidRDefault="00F14D9B" w:rsidP="00F14D9B">
      <w:pPr>
        <w:rPr>
          <w:rFonts w:cs="Segoe UI"/>
        </w:rPr>
      </w:pPr>
      <w:r w:rsidRPr="00E1311A">
        <w:rPr>
          <w:rFonts w:cs="Segoe UI"/>
        </w:rPr>
        <w:lastRenderedPageBreak/>
        <w:t xml:space="preserve">Health loss </w:t>
      </w:r>
      <w:r>
        <w:rPr>
          <w:rFonts w:cs="Segoe UI"/>
        </w:rPr>
        <w:t xml:space="preserve">(from death or living with poor health) </w:t>
      </w:r>
      <w:r w:rsidRPr="00E1311A">
        <w:rPr>
          <w:rFonts w:cs="Segoe UI"/>
        </w:rPr>
        <w:t>generally increases with age.</w:t>
      </w:r>
      <w:r w:rsidRPr="00E1311A">
        <w:rPr>
          <w:rStyle w:val="FootnoteReference"/>
          <w:rFonts w:cs="Segoe UI"/>
        </w:rPr>
        <w:footnoteReference w:id="3"/>
      </w:r>
      <w:r w:rsidRPr="00E1311A">
        <w:rPr>
          <w:rFonts w:cs="Segoe UI"/>
        </w:rPr>
        <w:t xml:space="preserve"> </w:t>
      </w:r>
      <w:r>
        <w:rPr>
          <w:rFonts w:cs="Segoe UI"/>
        </w:rPr>
        <w:t>Many d</w:t>
      </w:r>
      <w:r w:rsidRPr="00E1311A">
        <w:rPr>
          <w:rFonts w:cs="Segoe UI"/>
        </w:rPr>
        <w:t xml:space="preserve">iseases </w:t>
      </w:r>
      <w:r>
        <w:rPr>
          <w:rFonts w:cs="Segoe UI"/>
        </w:rPr>
        <w:t xml:space="preserve">that contribute to health loss in older age are preventable or able to be postponed. </w:t>
      </w:r>
      <w:r>
        <w:t>As our population ages, we can expect more people to live longer with more complex conditions and with multiple and more complex health conditions. These are health issues that require more specialised care and support, not only to address their health or disability directly, but also to support them to participate in society.</w:t>
      </w:r>
    </w:p>
    <w:p w14:paraId="74D3094C" w14:textId="77777777" w:rsidR="00F14D9B" w:rsidRDefault="00F14D9B" w:rsidP="00F14D9B">
      <w:pPr>
        <w:rPr>
          <w:rFonts w:cs="Segoe UI"/>
        </w:rPr>
      </w:pPr>
    </w:p>
    <w:p w14:paraId="5F189089" w14:textId="3D8897F2" w:rsidR="00F14D9B" w:rsidRDefault="00F14D9B" w:rsidP="00F14D9B">
      <w:pPr>
        <w:rPr>
          <w:rFonts w:cs="Segoe UI"/>
        </w:rPr>
      </w:pPr>
      <w:r>
        <w:rPr>
          <w:rFonts w:cs="Segoe UI"/>
        </w:rPr>
        <w:t xml:space="preserve">Supporting people to live longer, healthier lives and prevent poor health is a focus of current </w:t>
      </w:r>
      <w:r w:rsidR="00926D91">
        <w:rPr>
          <w:rFonts w:cs="Segoe UI"/>
        </w:rPr>
        <w:t>Ministry of Health</w:t>
      </w:r>
      <w:r>
        <w:rPr>
          <w:rFonts w:cs="Segoe UI"/>
        </w:rPr>
        <w:t xml:space="preserve"> work. As</w:t>
      </w:r>
      <w:r w:rsidDel="00360A4A">
        <w:rPr>
          <w:rFonts w:cs="Segoe UI"/>
        </w:rPr>
        <w:t xml:space="preserve"> </w:t>
      </w:r>
      <w:r>
        <w:rPr>
          <w:rFonts w:cs="Segoe UI"/>
        </w:rPr>
        <w:t xml:space="preserve">the </w:t>
      </w:r>
      <w:r w:rsidRPr="00AD1A64">
        <w:rPr>
          <w:rFonts w:cs="Segoe UI"/>
          <w:i/>
          <w:iCs/>
        </w:rPr>
        <w:t>Government Policy Statement on Health 2024–2027</w:t>
      </w:r>
      <w:r>
        <w:rPr>
          <w:rStyle w:val="FootnoteReference"/>
          <w:rFonts w:cs="Segoe UI"/>
          <w:i/>
          <w:iCs/>
        </w:rPr>
        <w:footnoteReference w:id="4"/>
      </w:r>
      <w:r>
        <w:rPr>
          <w:rFonts w:cs="Segoe UI"/>
        </w:rPr>
        <w:t xml:space="preserve"> outlines, health agencies and entities are currently expected to focus on prevention, by decreasing five key health risk factors and reducing the impact of the five leading non-communicable diseases that contribute to health loss. </w:t>
      </w:r>
    </w:p>
    <w:p w14:paraId="4C6DAF36" w14:textId="77777777" w:rsidR="00F14D9B" w:rsidRDefault="00F14D9B" w:rsidP="00F14D9B">
      <w:pPr>
        <w:rPr>
          <w:rFonts w:cs="Segoe UI"/>
        </w:rPr>
      </w:pPr>
    </w:p>
    <w:p w14:paraId="26E7837C" w14:textId="77777777" w:rsidR="00F14D9B" w:rsidRDefault="00F14D9B" w:rsidP="00F14D9B">
      <w:pPr>
        <w:rPr>
          <w:rFonts w:cs="Segoe UI"/>
          <w:szCs w:val="21"/>
        </w:rPr>
      </w:pPr>
      <w:r>
        <w:rPr>
          <w:rFonts w:cs="Segoe UI"/>
        </w:rPr>
        <w:t xml:space="preserve">Alongside the present work to enable people to stay healthier for longer, it is critical that we consider how social and physical environments affect active ageing. This helps prepare for future growing generations of older people and enabling them to thrive in the future. By unlocking active ageing, we can support older people’s participation in society, which will have significant benefits for individuals, whānau, communities and Aotearoa New Zealand as a whole. </w:t>
      </w:r>
    </w:p>
    <w:p w14:paraId="1AABEFDC" w14:textId="77777777" w:rsidR="00F14D9B" w:rsidRPr="0008137F" w:rsidRDefault="00F14D9B" w:rsidP="00F14D9B">
      <w:pPr>
        <w:pStyle w:val="Heading2"/>
      </w:pPr>
      <w:bookmarkStart w:id="22" w:name="_Toc180663964"/>
      <w:bookmarkStart w:id="23" w:name="_Toc181273807"/>
      <w:bookmarkStart w:id="24" w:name="_Toc181362035"/>
      <w:bookmarkStart w:id="25" w:name="_Toc181362214"/>
      <w:r w:rsidRPr="0008137F">
        <w:t>About active ageing</w:t>
      </w:r>
      <w:bookmarkEnd w:id="22"/>
      <w:bookmarkEnd w:id="23"/>
      <w:bookmarkEnd w:id="24"/>
      <w:bookmarkEnd w:id="25"/>
    </w:p>
    <w:p w14:paraId="511D8D28" w14:textId="77777777" w:rsidR="00F14D9B" w:rsidRPr="009F1109" w:rsidRDefault="00F14D9B" w:rsidP="00F14D9B">
      <w:pPr>
        <w:rPr>
          <w:rFonts w:cstheme="minorHAnsi"/>
          <w:color w:val="000000"/>
          <w:shd w:val="clear" w:color="auto" w:fill="FFFFFF"/>
        </w:rPr>
      </w:pPr>
      <w:r>
        <w:rPr>
          <w:rFonts w:cstheme="minorHAnsi"/>
        </w:rPr>
        <w:t>T</w:t>
      </w:r>
      <w:r w:rsidRPr="00F5224E">
        <w:rPr>
          <w:rFonts w:cstheme="minorHAnsi"/>
        </w:rPr>
        <w:t>he W</w:t>
      </w:r>
      <w:r>
        <w:rPr>
          <w:rFonts w:cstheme="minorHAnsi"/>
        </w:rPr>
        <w:t>orld Health Organization</w:t>
      </w:r>
      <w:r w:rsidRPr="00F5224E">
        <w:rPr>
          <w:rFonts w:cstheme="minorHAnsi"/>
        </w:rPr>
        <w:t xml:space="preserve"> </w:t>
      </w:r>
      <w:r>
        <w:rPr>
          <w:rFonts w:cstheme="minorHAnsi"/>
        </w:rPr>
        <w:t>states</w:t>
      </w:r>
      <w:r w:rsidRPr="00F5224E">
        <w:rPr>
          <w:rFonts w:cstheme="minorHAnsi"/>
        </w:rPr>
        <w:t xml:space="preserve"> that </w:t>
      </w:r>
      <w:r>
        <w:rPr>
          <w:rFonts w:cstheme="minorHAnsi"/>
        </w:rPr>
        <w:t>‘</w:t>
      </w:r>
      <w:r w:rsidRPr="00F5224E">
        <w:rPr>
          <w:rFonts w:cstheme="minorHAnsi"/>
        </w:rPr>
        <w:t>if ageing is to be a positive experience, longer life must be accompanied by continuing opportunities for health, participation and security</w:t>
      </w:r>
      <w:r>
        <w:rPr>
          <w:rFonts w:cstheme="minorHAnsi"/>
        </w:rPr>
        <w:t>’.</w:t>
      </w:r>
      <w:r>
        <w:rPr>
          <w:rStyle w:val="FootnoteReference"/>
          <w:rFonts w:cstheme="minorHAnsi"/>
        </w:rPr>
        <w:footnoteReference w:id="5"/>
      </w:r>
    </w:p>
    <w:p w14:paraId="75BD273F" w14:textId="77777777" w:rsidR="00F14D9B" w:rsidRDefault="00F14D9B" w:rsidP="00F14D9B"/>
    <w:p w14:paraId="7497956B" w14:textId="77777777" w:rsidR="00F14D9B" w:rsidRDefault="00F14D9B" w:rsidP="00F14D9B">
      <w:pPr>
        <w:rPr>
          <w:rFonts w:cs="Segoe UI"/>
          <w:szCs w:val="21"/>
        </w:rPr>
      </w:pPr>
      <w:r>
        <w:rPr>
          <w:rFonts w:cstheme="minorHAnsi"/>
        </w:rPr>
        <w:t>To promote such opportunities, the World Health Organization has introduced the concept of ‘active ageing’, which i</w:t>
      </w:r>
      <w:r>
        <w:rPr>
          <w:rFonts w:cstheme="minorHAnsi"/>
          <w:color w:val="000000"/>
          <w:shd w:val="clear" w:color="auto" w:fill="FFFFFF"/>
        </w:rPr>
        <w:t xml:space="preserve">t defines </w:t>
      </w:r>
      <w:r w:rsidRPr="00377660">
        <w:rPr>
          <w:rFonts w:cs="Segoe UI"/>
          <w:szCs w:val="21"/>
        </w:rPr>
        <w:t xml:space="preserve">as </w:t>
      </w:r>
      <w:r>
        <w:rPr>
          <w:rFonts w:cs="Segoe UI"/>
          <w:szCs w:val="21"/>
        </w:rPr>
        <w:t>‘</w:t>
      </w:r>
      <w:r w:rsidRPr="00F74D04">
        <w:rPr>
          <w:rFonts w:cs="Segoe UI"/>
          <w:szCs w:val="21"/>
        </w:rPr>
        <w:t>increasing</w:t>
      </w:r>
      <w:r w:rsidRPr="00377660">
        <w:rPr>
          <w:rFonts w:cs="Segoe UI"/>
          <w:szCs w:val="21"/>
        </w:rPr>
        <w:t xml:space="preserve"> opportunities for participation </w:t>
      </w:r>
      <w:r w:rsidRPr="00F74D04">
        <w:rPr>
          <w:rFonts w:cs="Segoe UI"/>
          <w:szCs w:val="21"/>
        </w:rPr>
        <w:t>so</w:t>
      </w:r>
      <w:r w:rsidRPr="00377660">
        <w:rPr>
          <w:rFonts w:cs="Segoe UI"/>
          <w:szCs w:val="21"/>
        </w:rPr>
        <w:t xml:space="preserve"> people </w:t>
      </w:r>
      <w:r w:rsidRPr="00F74D04">
        <w:rPr>
          <w:rFonts w:cs="Segoe UI"/>
          <w:szCs w:val="21"/>
        </w:rPr>
        <w:t xml:space="preserve">are </w:t>
      </w:r>
      <w:r>
        <w:rPr>
          <w:rFonts w:cs="Segoe UI"/>
          <w:szCs w:val="21"/>
        </w:rPr>
        <w:t xml:space="preserve">contributing to society and taking opportunities to enhance their wellbeing and quality of life </w:t>
      </w:r>
      <w:r w:rsidRPr="00377660">
        <w:rPr>
          <w:rFonts w:cs="Segoe UI"/>
          <w:szCs w:val="21"/>
        </w:rPr>
        <w:t>as they age</w:t>
      </w:r>
      <w:r>
        <w:rPr>
          <w:rFonts w:cs="Segoe UI"/>
          <w:szCs w:val="21"/>
        </w:rPr>
        <w:t>’.</w:t>
      </w:r>
      <w:r w:rsidRPr="00377660">
        <w:rPr>
          <w:rStyle w:val="FootnoteReference"/>
          <w:rFonts w:cs="Segoe UI"/>
          <w:szCs w:val="21"/>
        </w:rPr>
        <w:footnoteReference w:id="6"/>
      </w:r>
      <w:r w:rsidRPr="00377660">
        <w:rPr>
          <w:rFonts w:cs="Segoe UI"/>
          <w:szCs w:val="21"/>
        </w:rPr>
        <w:t xml:space="preserve"> </w:t>
      </w:r>
    </w:p>
    <w:p w14:paraId="764C1BAF" w14:textId="77777777" w:rsidR="00F14D9B" w:rsidRPr="00377660" w:rsidRDefault="00F14D9B" w:rsidP="00F14D9B">
      <w:pPr>
        <w:rPr>
          <w:rFonts w:cs="Segoe UI"/>
          <w:szCs w:val="21"/>
        </w:rPr>
      </w:pPr>
    </w:p>
    <w:p w14:paraId="60CF057A" w14:textId="77777777" w:rsidR="00F14D9B" w:rsidRDefault="00F14D9B" w:rsidP="00F14D9B">
      <w:pPr>
        <w:rPr>
          <w:rFonts w:cs="Segoe UI"/>
        </w:rPr>
      </w:pPr>
      <w:r w:rsidRPr="0D180C80">
        <w:rPr>
          <w:rFonts w:cs="Segoe UI"/>
        </w:rPr>
        <w:t xml:space="preserve">Active ageing acknowledges that </w:t>
      </w:r>
      <w:r>
        <w:rPr>
          <w:rFonts w:cs="Segoe UI"/>
        </w:rPr>
        <w:t xml:space="preserve">broad </w:t>
      </w:r>
      <w:r w:rsidRPr="0D180C80">
        <w:rPr>
          <w:rFonts w:cs="Segoe UI"/>
        </w:rPr>
        <w:t>factors</w:t>
      </w:r>
      <w:r>
        <w:rPr>
          <w:rFonts w:cs="Segoe UI"/>
        </w:rPr>
        <w:t>, including social and physical environments,</w:t>
      </w:r>
      <w:r w:rsidRPr="0D180C80">
        <w:rPr>
          <w:rFonts w:cs="Segoe UI"/>
        </w:rPr>
        <w:t xml:space="preserve"> affect how individuals age</w:t>
      </w:r>
      <w:r>
        <w:rPr>
          <w:rFonts w:cs="Segoe UI"/>
        </w:rPr>
        <w:t xml:space="preserve"> and how they continue to contribute to society. These factors can include</w:t>
      </w:r>
      <w:r w:rsidRPr="0D180C80">
        <w:rPr>
          <w:rFonts w:cs="Segoe UI"/>
        </w:rPr>
        <w:t xml:space="preserve"> housing</w:t>
      </w:r>
      <w:r>
        <w:rPr>
          <w:rFonts w:cs="Segoe UI"/>
        </w:rPr>
        <w:t xml:space="preserve"> and the wider built environment</w:t>
      </w:r>
      <w:r w:rsidRPr="0D180C80">
        <w:rPr>
          <w:rFonts w:cs="Segoe UI"/>
        </w:rPr>
        <w:t xml:space="preserve">, </w:t>
      </w:r>
      <w:r>
        <w:rPr>
          <w:rFonts w:cs="Segoe UI"/>
        </w:rPr>
        <w:t>transportation</w:t>
      </w:r>
      <w:r w:rsidRPr="0D180C80">
        <w:rPr>
          <w:rFonts w:cs="Segoe UI"/>
        </w:rPr>
        <w:t xml:space="preserve">, </w:t>
      </w:r>
      <w:r>
        <w:rPr>
          <w:rFonts w:cs="Segoe UI"/>
        </w:rPr>
        <w:t>the economic resources of their family</w:t>
      </w:r>
      <w:r w:rsidRPr="0D180C80">
        <w:rPr>
          <w:rFonts w:cs="Segoe UI"/>
        </w:rPr>
        <w:t>,</w:t>
      </w:r>
      <w:r w:rsidRPr="0D180C80" w:rsidDel="00AF37E8">
        <w:rPr>
          <w:rFonts w:cs="Segoe UI"/>
        </w:rPr>
        <w:t xml:space="preserve"> </w:t>
      </w:r>
      <w:r w:rsidRPr="3C9F71F9">
        <w:rPr>
          <w:rFonts w:cs="Segoe UI"/>
        </w:rPr>
        <w:t>civic</w:t>
      </w:r>
      <w:r w:rsidRPr="0D180C80">
        <w:rPr>
          <w:rFonts w:cs="Segoe UI"/>
        </w:rPr>
        <w:t xml:space="preserve"> participation, employment</w:t>
      </w:r>
      <w:r>
        <w:rPr>
          <w:rFonts w:cs="Segoe UI"/>
        </w:rPr>
        <w:t xml:space="preserve"> and</w:t>
      </w:r>
      <w:r w:rsidRPr="0D180C80">
        <w:rPr>
          <w:rFonts w:cs="Segoe UI"/>
        </w:rPr>
        <w:t xml:space="preserve"> social </w:t>
      </w:r>
      <w:r>
        <w:rPr>
          <w:rFonts w:cs="Segoe UI"/>
        </w:rPr>
        <w:t>connectedness</w:t>
      </w:r>
      <w:r w:rsidRPr="0D180C80">
        <w:rPr>
          <w:rFonts w:cs="Segoe UI"/>
        </w:rPr>
        <w:t>.</w:t>
      </w:r>
      <w:bookmarkStart w:id="26" w:name="_Toc119924244"/>
      <w:r>
        <w:rPr>
          <w:rFonts w:cs="Segoe UI"/>
        </w:rPr>
        <w:t xml:space="preserve"> The proposed LTIB topic will explore some of the impacts from social and physical environments that can support or hold back efforts to unlock active ageing and support wellbeing in older age. </w:t>
      </w:r>
    </w:p>
    <w:p w14:paraId="011211BC" w14:textId="77777777" w:rsidR="00F14D9B" w:rsidRDefault="00F14D9B" w:rsidP="00F14D9B">
      <w:pPr>
        <w:rPr>
          <w:rFonts w:cs="Segoe UI"/>
          <w:szCs w:val="21"/>
        </w:rPr>
      </w:pPr>
    </w:p>
    <w:p w14:paraId="2D3F08CE" w14:textId="77777777" w:rsidR="00F14D9B" w:rsidRDefault="00F14D9B" w:rsidP="00F14D9B">
      <w:pPr>
        <w:rPr>
          <w:rFonts w:cs="Segoe UI"/>
          <w:szCs w:val="21"/>
        </w:rPr>
      </w:pPr>
      <w:r>
        <w:rPr>
          <w:rFonts w:cs="Segoe UI"/>
          <w:szCs w:val="21"/>
        </w:rPr>
        <w:lastRenderedPageBreak/>
        <w:t>The Government has a strategy focused on supporting people to age, which will continue over the next 10 years:</w:t>
      </w:r>
      <w:r w:rsidDel="000D3C24">
        <w:rPr>
          <w:rFonts w:cs="Segoe UI"/>
          <w:szCs w:val="21"/>
        </w:rPr>
        <w:t xml:space="preserve"> </w:t>
      </w:r>
      <w:hyperlink r:id="rId30" w:history="1">
        <w:r w:rsidRPr="00B63B04">
          <w:rPr>
            <w:rStyle w:val="Hyperlink"/>
            <w:rFonts w:cs="Segoe UI"/>
            <w:i/>
            <w:iCs/>
            <w:szCs w:val="21"/>
          </w:rPr>
          <w:t xml:space="preserve">Better Later Life – He </w:t>
        </w:r>
        <w:proofErr w:type="spellStart"/>
        <w:r w:rsidRPr="00B63B04">
          <w:rPr>
            <w:rStyle w:val="Hyperlink"/>
            <w:rFonts w:cs="Segoe UI"/>
            <w:i/>
            <w:iCs/>
            <w:szCs w:val="21"/>
          </w:rPr>
          <w:t>Oranga</w:t>
        </w:r>
        <w:proofErr w:type="spellEnd"/>
        <w:r w:rsidRPr="00B63B04">
          <w:rPr>
            <w:rStyle w:val="Hyperlink"/>
            <w:rFonts w:cs="Segoe UI"/>
            <w:i/>
            <w:iCs/>
            <w:szCs w:val="21"/>
          </w:rPr>
          <w:t xml:space="preserve"> Kaumātua 2019 to 2034</w:t>
        </w:r>
      </w:hyperlink>
      <w:r w:rsidRPr="00D36835">
        <w:rPr>
          <w:rStyle w:val="FootnoteReference"/>
        </w:rPr>
        <w:footnoteReference w:id="7"/>
      </w:r>
      <w:r>
        <w:rPr>
          <w:rFonts w:cs="Segoe UI"/>
          <w:i/>
          <w:iCs/>
          <w:szCs w:val="21"/>
        </w:rPr>
        <w:t xml:space="preserve">. </w:t>
      </w:r>
      <w:r>
        <w:rPr>
          <w:rFonts w:cs="Segoe UI"/>
          <w:szCs w:val="21"/>
        </w:rPr>
        <w:t>This aims to</w:t>
      </w:r>
      <w:r w:rsidRPr="003D3992">
        <w:rPr>
          <w:rFonts w:cs="Segoe UI"/>
          <w:szCs w:val="21"/>
        </w:rPr>
        <w:t xml:space="preserve"> help ensure </w:t>
      </w:r>
      <w:r>
        <w:rPr>
          <w:rFonts w:cs="Segoe UI"/>
          <w:szCs w:val="21"/>
        </w:rPr>
        <w:t>there are</w:t>
      </w:r>
      <w:r w:rsidRPr="003D3992">
        <w:rPr>
          <w:rFonts w:cs="Segoe UI"/>
          <w:szCs w:val="21"/>
        </w:rPr>
        <w:t xml:space="preserve"> opportunities </w:t>
      </w:r>
      <w:r>
        <w:rPr>
          <w:rFonts w:cs="Segoe UI"/>
          <w:szCs w:val="21"/>
        </w:rPr>
        <w:t xml:space="preserve">created </w:t>
      </w:r>
      <w:r w:rsidRPr="003D3992">
        <w:rPr>
          <w:rFonts w:cs="Segoe UI"/>
          <w:szCs w:val="21"/>
        </w:rPr>
        <w:t xml:space="preserve">for everybody to participate, contribute and be valued as </w:t>
      </w:r>
      <w:r>
        <w:rPr>
          <w:rFonts w:cs="Segoe UI"/>
          <w:szCs w:val="21"/>
        </w:rPr>
        <w:t>people</w:t>
      </w:r>
      <w:r w:rsidRPr="003D3992">
        <w:rPr>
          <w:rFonts w:cs="Segoe UI"/>
          <w:szCs w:val="21"/>
        </w:rPr>
        <w:t xml:space="preserve"> age.</w:t>
      </w:r>
      <w:bookmarkEnd w:id="26"/>
      <w:r>
        <w:rPr>
          <w:sz w:val="60"/>
          <w:szCs w:val="60"/>
        </w:rPr>
        <w:br w:type="page"/>
      </w:r>
    </w:p>
    <w:p w14:paraId="66418074" w14:textId="77777777" w:rsidR="00F14D9B" w:rsidRPr="00800759" w:rsidRDefault="00F14D9B" w:rsidP="00F14D9B">
      <w:pPr>
        <w:pStyle w:val="Heading1"/>
        <w:spacing w:before="0"/>
        <w:rPr>
          <w:sz w:val="60"/>
          <w:szCs w:val="60"/>
        </w:rPr>
      </w:pPr>
      <w:bookmarkStart w:id="27" w:name="_Toc180663965"/>
      <w:bookmarkStart w:id="28" w:name="_Toc181273808"/>
      <w:bookmarkStart w:id="29" w:name="_Toc181362036"/>
      <w:bookmarkStart w:id="30" w:name="_Toc181362215"/>
      <w:r w:rsidRPr="00800759">
        <w:rPr>
          <w:sz w:val="60"/>
          <w:szCs w:val="60"/>
        </w:rPr>
        <w:lastRenderedPageBreak/>
        <w:t xml:space="preserve">Part Three: Why our proposed topic </w:t>
      </w:r>
      <w:r>
        <w:rPr>
          <w:sz w:val="60"/>
          <w:szCs w:val="60"/>
        </w:rPr>
        <w:t xml:space="preserve">is </w:t>
      </w:r>
      <w:proofErr w:type="gramStart"/>
      <w:r w:rsidRPr="00800759">
        <w:rPr>
          <w:sz w:val="60"/>
          <w:szCs w:val="60"/>
        </w:rPr>
        <w:t>important</w:t>
      </w:r>
      <w:bookmarkEnd w:id="27"/>
      <w:bookmarkEnd w:id="28"/>
      <w:bookmarkEnd w:id="29"/>
      <w:bookmarkEnd w:id="30"/>
      <w:proofErr w:type="gramEnd"/>
    </w:p>
    <w:p w14:paraId="79E9E1A1" w14:textId="77777777" w:rsidR="00F14D9B" w:rsidRPr="0008137F" w:rsidRDefault="00F14D9B" w:rsidP="00F14D9B">
      <w:pPr>
        <w:pStyle w:val="Heading2"/>
      </w:pPr>
      <w:bookmarkStart w:id="31" w:name="_Toc181273809"/>
      <w:bookmarkStart w:id="32" w:name="_Toc181362037"/>
      <w:bookmarkStart w:id="33" w:name="_Toc181362216"/>
      <w:r w:rsidRPr="0008137F">
        <w:t xml:space="preserve">Older people make valuable contributions to </w:t>
      </w:r>
      <w:proofErr w:type="gramStart"/>
      <w:r w:rsidRPr="0008137F">
        <w:t>society</w:t>
      </w:r>
      <w:bookmarkEnd w:id="31"/>
      <w:bookmarkEnd w:id="32"/>
      <w:bookmarkEnd w:id="33"/>
      <w:proofErr w:type="gramEnd"/>
    </w:p>
    <w:p w14:paraId="1C81CCD6" w14:textId="77777777" w:rsidR="00F14D9B" w:rsidRDefault="00F14D9B" w:rsidP="00D36835">
      <w:pPr>
        <w:rPr>
          <w:rFonts w:cstheme="minorBidi"/>
          <w:color w:val="000000"/>
          <w:shd w:val="clear" w:color="auto" w:fill="FFFFFF"/>
        </w:rPr>
      </w:pPr>
      <w:r w:rsidRPr="00982EFA">
        <w:t>Society depends on older people for their skills, knowledge</w:t>
      </w:r>
      <w:r>
        <w:t>,</w:t>
      </w:r>
      <w:r w:rsidRPr="00982EFA">
        <w:t xml:space="preserve"> and experiences.</w:t>
      </w:r>
      <w:r>
        <w:rPr>
          <w:rFonts w:cstheme="minorBidi"/>
          <w:color w:val="000000"/>
          <w:shd w:val="clear" w:color="auto" w:fill="FFFFFF"/>
        </w:rPr>
        <w:t xml:space="preserve"> </w:t>
      </w:r>
      <w:r w:rsidRPr="00982EFA">
        <w:t>New Zealander’s are living longer</w:t>
      </w:r>
      <w:r>
        <w:t>, allowing</w:t>
      </w:r>
      <w:r w:rsidRPr="00982EFA">
        <w:t xml:space="preserve"> individuals to contribute significantly to society in many </w:t>
      </w:r>
      <w:r>
        <w:t xml:space="preserve">different ways as they age. For example, these contributions from active ageing can come through </w:t>
      </w:r>
      <w:r w:rsidRPr="00982EFA">
        <w:t>employment, volunteer work, care of family members, community involvement</w:t>
      </w:r>
      <w:r>
        <w:t xml:space="preserve"> and their economic power</w:t>
      </w:r>
      <w:r w:rsidRPr="00982EFA">
        <w:t xml:space="preserve">. </w:t>
      </w:r>
      <w:r>
        <w:rPr>
          <w:rFonts w:cstheme="minorBidi"/>
          <w:color w:val="000000"/>
          <w:shd w:val="clear" w:color="auto" w:fill="FFFFFF"/>
        </w:rPr>
        <w:t xml:space="preserve">As the older population increases to one in four people by 2056, these contributions to society </w:t>
      </w:r>
      <w:r w:rsidRPr="20CF21A3">
        <w:rPr>
          <w:rFonts w:cstheme="minorBidi"/>
          <w:color w:val="000000"/>
          <w:shd w:val="clear" w:color="auto" w:fill="FFFFFF"/>
        </w:rPr>
        <w:t xml:space="preserve">will only </w:t>
      </w:r>
      <w:r>
        <w:rPr>
          <w:rFonts w:cstheme="minorBidi"/>
          <w:color w:val="000000"/>
          <w:shd w:val="clear" w:color="auto" w:fill="FFFFFF"/>
        </w:rPr>
        <w:t>become more important to the overall wellbeing</w:t>
      </w:r>
      <w:r w:rsidRPr="20CF21A3">
        <w:rPr>
          <w:rFonts w:cstheme="minorBidi"/>
          <w:color w:val="000000"/>
          <w:shd w:val="clear" w:color="auto" w:fill="FFFFFF"/>
        </w:rPr>
        <w:t xml:space="preserve"> </w:t>
      </w:r>
      <w:r>
        <w:rPr>
          <w:rFonts w:cstheme="minorBidi"/>
          <w:color w:val="000000"/>
          <w:shd w:val="clear" w:color="auto" w:fill="FFFFFF"/>
        </w:rPr>
        <w:t>and outcomes of New Zealanders</w:t>
      </w:r>
      <w:r w:rsidRPr="20CF21A3">
        <w:rPr>
          <w:rFonts w:cstheme="minorBidi"/>
          <w:color w:val="000000"/>
          <w:shd w:val="clear" w:color="auto" w:fill="FFFFFF"/>
        </w:rPr>
        <w:t xml:space="preserve">. </w:t>
      </w:r>
      <w:r>
        <w:rPr>
          <w:rFonts w:cstheme="minorBidi"/>
          <w:color w:val="000000"/>
          <w:shd w:val="clear" w:color="auto" w:fill="FFFFFF"/>
        </w:rPr>
        <w:t>By creating supportive environments for active ageing, we can empower older people to continue to contribute to our society, making it stronger</w:t>
      </w:r>
      <w:r w:rsidDel="007E5EDB">
        <w:rPr>
          <w:rFonts w:cstheme="minorBidi"/>
          <w:color w:val="000000"/>
          <w:shd w:val="clear" w:color="auto" w:fill="FFFFFF"/>
        </w:rPr>
        <w:t>.</w:t>
      </w:r>
    </w:p>
    <w:p w14:paraId="3A9BDE39" w14:textId="77777777" w:rsidR="00F14D9B" w:rsidRPr="00D36835" w:rsidRDefault="00F14D9B" w:rsidP="00D36835">
      <w:pPr>
        <w:pStyle w:val="Heading2"/>
      </w:pPr>
      <w:bookmarkStart w:id="34" w:name="_Toc181273810"/>
      <w:bookmarkStart w:id="35" w:name="_Toc181362038"/>
      <w:bookmarkStart w:id="36" w:name="_Toc181362217"/>
      <w:r w:rsidRPr="00D36835">
        <w:t xml:space="preserve">Aotearoa New Zealand has an ageing </w:t>
      </w:r>
      <w:proofErr w:type="gramStart"/>
      <w:r w:rsidRPr="00D36835">
        <w:t>population</w:t>
      </w:r>
      <w:bookmarkEnd w:id="34"/>
      <w:bookmarkEnd w:id="35"/>
      <w:bookmarkEnd w:id="36"/>
      <w:proofErr w:type="gramEnd"/>
    </w:p>
    <w:p w14:paraId="08A8F831" w14:textId="77777777" w:rsidR="00F14D9B" w:rsidRPr="00545539" w:rsidRDefault="00F14D9B" w:rsidP="00F14D9B">
      <w:pPr>
        <w:rPr>
          <w:rFonts w:cs="Segoe UI"/>
        </w:rPr>
      </w:pPr>
      <w:r>
        <w:rPr>
          <w:rFonts w:cs="Segoe UI"/>
        </w:rPr>
        <w:t xml:space="preserve">Aotearoa </w:t>
      </w:r>
      <w:r w:rsidRPr="00E2209B">
        <w:rPr>
          <w:rFonts w:cs="Segoe UI"/>
        </w:rPr>
        <w:t>New Zealand’s older population (aged 65</w:t>
      </w:r>
      <w:r>
        <w:rPr>
          <w:rFonts w:cs="Segoe UI"/>
        </w:rPr>
        <w:t xml:space="preserve"> years and over</w:t>
      </w:r>
      <w:r w:rsidRPr="00E2209B">
        <w:rPr>
          <w:rFonts w:cs="Segoe UI"/>
        </w:rPr>
        <w:t xml:space="preserve">) is projected to </w:t>
      </w:r>
      <w:r w:rsidRPr="00545539">
        <w:rPr>
          <w:rFonts w:cs="Segoe UI"/>
        </w:rPr>
        <w:t>increase from 868,700 to 1,850,300 people over the next 50 years. By 2028, one in five people in Aotearoa New Zealand will be aged 65 years or older. By the 2050s, this</w:t>
      </w:r>
      <w:r w:rsidRPr="00545539" w:rsidDel="003F4E65">
        <w:rPr>
          <w:rFonts w:cs="Segoe UI"/>
        </w:rPr>
        <w:t xml:space="preserve"> </w:t>
      </w:r>
      <w:r w:rsidRPr="00545539">
        <w:rPr>
          <w:rFonts w:cs="Segoe UI"/>
        </w:rPr>
        <w:t>could change to one in four people.</w:t>
      </w:r>
      <w:r w:rsidRPr="00545539">
        <w:rPr>
          <w:rStyle w:val="FootnoteReference"/>
          <w:rFonts w:cs="Segoe UI"/>
        </w:rPr>
        <w:footnoteReference w:id="8"/>
      </w:r>
      <w:r w:rsidRPr="00545539">
        <w:rPr>
          <w:rFonts w:cs="Segoe UI"/>
        </w:rPr>
        <w:t xml:space="preserve"> </w:t>
      </w:r>
    </w:p>
    <w:p w14:paraId="55462E37" w14:textId="77777777" w:rsidR="00F14D9B" w:rsidRPr="00545539" w:rsidRDefault="00F14D9B" w:rsidP="00F14D9B">
      <w:pPr>
        <w:rPr>
          <w:rFonts w:cs="Segoe UI"/>
        </w:rPr>
      </w:pPr>
    </w:p>
    <w:p w14:paraId="0067D996" w14:textId="77777777" w:rsidR="00F14D9B" w:rsidRDefault="00F14D9B" w:rsidP="00F14D9B">
      <w:pPr>
        <w:rPr>
          <w:rFonts w:cstheme="minorBidi"/>
          <w:color w:val="000000"/>
          <w:shd w:val="clear" w:color="auto" w:fill="FFFFFF"/>
        </w:rPr>
      </w:pPr>
      <w:r w:rsidRPr="00545539">
        <w:rPr>
          <w:rFonts w:cs="Segoe UI"/>
        </w:rPr>
        <w:t>The proportion of people aged 85 years or older is also increasing. Currently 1 in 50 people are aged 85 years or older. By the 2030s, this ratio could increase to 1 in 30 and by the 2040s, to 1 in 20. By 2048, the age group 85 years and over is expected to be one in five of the population aged over 65</w:t>
      </w:r>
      <w:r>
        <w:rPr>
          <w:rFonts w:cs="Segoe UI"/>
        </w:rPr>
        <w:t xml:space="preserve"> years </w:t>
      </w:r>
      <w:r w:rsidRPr="00E2209B">
        <w:rPr>
          <w:rFonts w:cs="Segoe UI"/>
        </w:rPr>
        <w:t xml:space="preserve">and is projected </w:t>
      </w:r>
      <w:r>
        <w:rPr>
          <w:rFonts w:cs="Segoe UI"/>
        </w:rPr>
        <w:t>maintain that share until 2073</w:t>
      </w:r>
      <w:r w:rsidRPr="00E2209B">
        <w:rPr>
          <w:rFonts w:cs="Segoe UI"/>
        </w:rPr>
        <w:t>.</w:t>
      </w:r>
      <w:r>
        <w:rPr>
          <w:rFonts w:cs="Segoe UI"/>
        </w:rPr>
        <w:t xml:space="preserve"> </w:t>
      </w:r>
    </w:p>
    <w:p w14:paraId="2B130EA9" w14:textId="77777777" w:rsidR="00F14D9B" w:rsidRDefault="00F14D9B" w:rsidP="00F14D9B">
      <w:pPr>
        <w:rPr>
          <w:rFonts w:cs="Segoe UI"/>
        </w:rPr>
      </w:pPr>
    </w:p>
    <w:p w14:paraId="72E38EEB" w14:textId="5D51761E" w:rsidR="00F14D9B" w:rsidRDefault="00F14D9B" w:rsidP="00F14D9B">
      <w:pPr>
        <w:rPr>
          <w:rFonts w:cs="Segoe UI"/>
        </w:rPr>
      </w:pPr>
      <w:r>
        <w:rPr>
          <w:rFonts w:cs="Segoe UI"/>
        </w:rPr>
        <w:t>Figure 1</w:t>
      </w:r>
      <w:r w:rsidDel="00350A61">
        <w:rPr>
          <w:rFonts w:cs="Segoe UI"/>
        </w:rPr>
        <w:t xml:space="preserve"> </w:t>
      </w:r>
      <w:r>
        <w:rPr>
          <w:rFonts w:cs="Segoe UI"/>
        </w:rPr>
        <w:t xml:space="preserve">outlines the growth in the number of people aged over 65 years within Aotearoa New Zealand from 1953 to 2073. This shows how in 2024, the period of ‘Baby Boomers’ entering the older population is nearing the end of the cohort. </w:t>
      </w:r>
      <w:r>
        <w:t>Population ageing</w:t>
      </w:r>
      <w:r w:rsidDel="00C841BD">
        <w:t xml:space="preserve"> </w:t>
      </w:r>
      <w:r>
        <w:t xml:space="preserve">has mainly focussed on </w:t>
      </w:r>
      <w:r w:rsidDel="003D5871">
        <w:t xml:space="preserve">the </w:t>
      </w:r>
      <w:r>
        <w:t xml:space="preserve">‘Baby Boomers’, but in 2046, all of </w:t>
      </w:r>
      <w:r w:rsidDel="00D04BBC">
        <w:rPr>
          <w:rFonts w:cs="Segoe UI"/>
        </w:rPr>
        <w:t>‘</w:t>
      </w:r>
      <w:r>
        <w:rPr>
          <w:rFonts w:cs="Segoe UI"/>
        </w:rPr>
        <w:t>G</w:t>
      </w:r>
      <w:r w:rsidDel="00D04BBC">
        <w:rPr>
          <w:rFonts w:cs="Segoe UI"/>
        </w:rPr>
        <w:t>en X’</w:t>
      </w:r>
      <w:r>
        <w:rPr>
          <w:rFonts w:cs="Segoe UI"/>
        </w:rPr>
        <w:t xml:space="preserve"> will be in the older population, and the first ‘Millennials’ will be entering it</w:t>
      </w:r>
      <w:r>
        <w:rPr>
          <w:rStyle w:val="FootnoteReference"/>
          <w:rFonts w:cs="Segoe UI"/>
        </w:rPr>
        <w:footnoteReference w:id="9"/>
      </w:r>
      <w:r>
        <w:rPr>
          <w:rFonts w:cs="Segoe UI"/>
        </w:rPr>
        <w:t xml:space="preserve">. The ‘Baby Boomers’ are projected </w:t>
      </w:r>
      <w:r w:rsidRPr="00545539">
        <w:rPr>
          <w:rFonts w:cs="Segoe UI"/>
        </w:rPr>
        <w:t xml:space="preserve">to have their highest share of the older population in 2029, around 85%, </w:t>
      </w:r>
      <w:r w:rsidRPr="00545539">
        <w:rPr>
          <w:rFonts w:cs="Segoe UI"/>
        </w:rPr>
        <w:lastRenderedPageBreak/>
        <w:t>and then transition to under half by 2040, and under 5% by 2057.</w:t>
      </w:r>
      <w:r w:rsidRPr="00545539">
        <w:rPr>
          <w:rStyle w:val="FootnoteReference"/>
          <w:rFonts w:cs="Segoe UI"/>
        </w:rPr>
        <w:footnoteReference w:id="10"/>
      </w:r>
      <w:r w:rsidRPr="00545539">
        <w:rPr>
          <w:rFonts w:cs="Segoe UI"/>
        </w:rPr>
        <w:t xml:space="preserve"> ‘Gen X’ are projected to be at their highest share of older people in 2045, around 65%, and then be</w:t>
      </w:r>
      <w:r w:rsidRPr="00545539" w:rsidDel="00D32301">
        <w:rPr>
          <w:rFonts w:cs="Segoe UI"/>
        </w:rPr>
        <w:t xml:space="preserve"> </w:t>
      </w:r>
      <w:r w:rsidRPr="00545539">
        <w:rPr>
          <w:rFonts w:cs="Segoe UI"/>
        </w:rPr>
        <w:t>overtaken by ‘Millennials’ for the highest share of older people in 2056. As these projections show, supporting active ageing in the future will largely be focussed</w:t>
      </w:r>
      <w:r>
        <w:rPr>
          <w:rFonts w:cs="Segoe UI"/>
        </w:rPr>
        <w:t xml:space="preserve"> on the generations after the ‘Baby Boomers’. </w:t>
      </w:r>
    </w:p>
    <w:p w14:paraId="192D32B2" w14:textId="77777777" w:rsidR="00B44E09" w:rsidRDefault="00B44E09" w:rsidP="00F14D9B">
      <w:pPr>
        <w:rPr>
          <w:rFonts w:cs="Segoe UI"/>
        </w:rPr>
      </w:pPr>
    </w:p>
    <w:p w14:paraId="1EEED13F" w14:textId="0B3E2E55" w:rsidR="00F14D9B" w:rsidRPr="0008137F" w:rsidRDefault="00F14D9B" w:rsidP="00B44E09">
      <w:pPr>
        <w:pStyle w:val="Figure"/>
      </w:pPr>
      <w:bookmarkStart w:id="37" w:name="_Toc181353964"/>
      <w:r w:rsidRPr="0008137F">
        <w:t xml:space="preserve">Figure </w:t>
      </w:r>
      <w:r>
        <w:fldChar w:fldCharType="begin"/>
      </w:r>
      <w:r>
        <w:instrText xml:space="preserve"> SEQ Figure \* ARABIC </w:instrText>
      </w:r>
      <w:r>
        <w:fldChar w:fldCharType="separate"/>
      </w:r>
      <w:r w:rsidR="007F3272">
        <w:rPr>
          <w:noProof/>
        </w:rPr>
        <w:t>1</w:t>
      </w:r>
      <w:r>
        <w:fldChar w:fldCharType="end"/>
      </w:r>
      <w:r w:rsidRPr="0008137F">
        <w:t>: Growth in the population of older people (median projection), 65 years and over,</w:t>
      </w:r>
      <w:r w:rsidRPr="0008137F" w:rsidDel="009E683D">
        <w:t xml:space="preserve"> </w:t>
      </w:r>
      <w:r w:rsidRPr="0008137F">
        <w:t>Aotearoa New Zealand, 1953–2073</w:t>
      </w:r>
      <w:bookmarkEnd w:id="37"/>
      <w:r w:rsidRPr="0008137F">
        <w:t xml:space="preserve"> </w:t>
      </w:r>
    </w:p>
    <w:p w14:paraId="4ADE2BBD" w14:textId="5ED29680" w:rsidR="00F14D9B" w:rsidRDefault="00637E2B" w:rsidP="00F14D9B">
      <w:pPr>
        <w:rPr>
          <w:rFonts w:cs="Segoe UI"/>
        </w:rPr>
      </w:pPr>
      <w:r>
        <w:rPr>
          <w:rFonts w:cs="Segoe UI"/>
          <w:noProof/>
        </w:rPr>
        <w:drawing>
          <wp:inline distT="0" distB="0" distL="0" distR="0" wp14:anchorId="4FE49506" wp14:editId="05A26351">
            <wp:extent cx="5130165" cy="372427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130165" cy="3724275"/>
                    </a:xfrm>
                    <a:prstGeom prst="rect">
                      <a:avLst/>
                    </a:prstGeom>
                  </pic:spPr>
                </pic:pic>
              </a:graphicData>
            </a:graphic>
          </wp:inline>
        </w:drawing>
      </w:r>
    </w:p>
    <w:p w14:paraId="4840C0EF" w14:textId="77777777" w:rsidR="00F14D9B" w:rsidRPr="00D7461D" w:rsidRDefault="00F14D9B" w:rsidP="00B44E09">
      <w:pPr>
        <w:pStyle w:val="Source"/>
        <w:rPr>
          <w:lang w:eastAsia="en-NZ"/>
        </w:rPr>
      </w:pPr>
      <w:r w:rsidRPr="00D7461D">
        <w:rPr>
          <w:lang w:eastAsia="en-NZ"/>
        </w:rPr>
        <w:t xml:space="preserve">Source: </w:t>
      </w:r>
      <w:r w:rsidRPr="00D7461D">
        <w:t>Stats NZ. 2022. National population projections: 2022(base)</w:t>
      </w:r>
      <w:r w:rsidRPr="00D7461D">
        <w:rPr>
          <w:rFonts w:cs="Segoe UI"/>
        </w:rPr>
        <w:t>–</w:t>
      </w:r>
      <w:r w:rsidRPr="00D7461D">
        <w:t>2073</w:t>
      </w:r>
    </w:p>
    <w:p w14:paraId="77367167" w14:textId="77777777" w:rsidR="00F14D9B" w:rsidRPr="00C97E8E" w:rsidRDefault="00F14D9B" w:rsidP="00F14D9B">
      <w:pPr>
        <w:rPr>
          <w:rFonts w:cs="Segoe UI"/>
        </w:rPr>
      </w:pPr>
    </w:p>
    <w:p w14:paraId="7EA981C9" w14:textId="77777777" w:rsidR="00F14D9B" w:rsidRDefault="00F14D9B" w:rsidP="00F14D9B">
      <w:r>
        <w:t>Future generations of older people are expected to be more diverse. They will vary more by characteristics, such as ethnicity and family demographics, or life experiences, views of wellbeing and expectations for lives in older age. Such characteristics and views will influence their contribution into older age. These factors will also influence what will enable active ageing or act as barriers to</w:t>
      </w:r>
      <w:r w:rsidDel="00895F87">
        <w:t xml:space="preserve"> </w:t>
      </w:r>
      <w:r>
        <w:t xml:space="preserve">it. </w:t>
      </w:r>
    </w:p>
    <w:p w14:paraId="47E50883" w14:textId="77777777" w:rsidR="00F14D9B" w:rsidRDefault="00F14D9B" w:rsidP="00F14D9B"/>
    <w:p w14:paraId="3884533F" w14:textId="77777777" w:rsidR="00F14D9B" w:rsidRPr="002A1AD7" w:rsidRDefault="00F14D9B" w:rsidP="00F14D9B">
      <w:pPr>
        <w:rPr>
          <w:rFonts w:cs="Segoe UI"/>
        </w:rPr>
      </w:pPr>
      <w:r>
        <w:t>The following are some projected trends in the demographics and activities of older people that have an impact on active ageing.</w:t>
      </w:r>
    </w:p>
    <w:p w14:paraId="477A6091" w14:textId="77777777" w:rsidR="00F14D9B" w:rsidRDefault="00F14D9B" w:rsidP="00F14D9B">
      <w:pPr>
        <w:pStyle w:val="Bullet"/>
        <w:tabs>
          <w:tab w:val="num" w:pos="284"/>
        </w:tabs>
      </w:pPr>
      <w:r w:rsidRPr="001D1E7C">
        <w:rPr>
          <w:b/>
          <w:bCs/>
        </w:rPr>
        <w:t>Ethnicity</w:t>
      </w:r>
      <w:r w:rsidRPr="001C4C70">
        <w:t xml:space="preserve"> –</w:t>
      </w:r>
      <w:r w:rsidRPr="00AE0945">
        <w:rPr>
          <w:i/>
          <w:iCs/>
        </w:rPr>
        <w:t xml:space="preserve"> </w:t>
      </w:r>
      <w:r>
        <w:t xml:space="preserve">Aotearoa </w:t>
      </w:r>
      <w:r w:rsidRPr="00AE0945">
        <w:t>New Zealand is expected to have a more ethnically diverse older population in the future, with Māori, Pacific and Asian populations</w:t>
      </w:r>
      <w:r>
        <w:t xml:space="preserve"> growing faster than the European population as younger generations age.</w:t>
      </w:r>
      <w:r>
        <w:rPr>
          <w:rStyle w:val="FootnoteReference"/>
        </w:rPr>
        <w:footnoteReference w:id="11"/>
      </w:r>
      <w:r w:rsidRPr="00AE0945">
        <w:t xml:space="preserve"> </w:t>
      </w:r>
      <w:r>
        <w:t xml:space="preserve">Growing ethnic </w:t>
      </w:r>
      <w:r>
        <w:lastRenderedPageBreak/>
        <w:t xml:space="preserve">diversity in the ageing population may influence the contributions from active ageing as there are different cultural factors around intergenerational support, values, and roles of older people. </w:t>
      </w:r>
    </w:p>
    <w:p w14:paraId="3CD77BDC" w14:textId="77777777" w:rsidR="00F14D9B" w:rsidRPr="00545539" w:rsidRDefault="00F14D9B" w:rsidP="00F14D9B">
      <w:pPr>
        <w:pStyle w:val="Bullet"/>
        <w:tabs>
          <w:tab w:val="num" w:pos="284"/>
        </w:tabs>
      </w:pPr>
      <w:r w:rsidRPr="00B21D71">
        <w:rPr>
          <w:b/>
          <w:bCs/>
        </w:rPr>
        <w:t>Households</w:t>
      </w:r>
      <w:r>
        <w:rPr>
          <w:i/>
          <w:iCs/>
        </w:rPr>
        <w:t xml:space="preserve"> – </w:t>
      </w:r>
      <w:r>
        <w:t>A more</w:t>
      </w:r>
      <w:r w:rsidRPr="00291647">
        <w:t xml:space="preserve"> ethnic</w:t>
      </w:r>
      <w:r>
        <w:t>ally diverse population in the future</w:t>
      </w:r>
      <w:r w:rsidRPr="00291647">
        <w:t xml:space="preserve"> </w:t>
      </w:r>
      <w:r>
        <w:t>may lead to</w:t>
      </w:r>
      <w:r w:rsidRPr="00291647">
        <w:t xml:space="preserve"> more </w:t>
      </w:r>
      <w:r>
        <w:t xml:space="preserve">households with </w:t>
      </w:r>
      <w:r w:rsidRPr="00291647">
        <w:t xml:space="preserve">inter-generational </w:t>
      </w:r>
      <w:r>
        <w:t>families, which could</w:t>
      </w:r>
      <w:r w:rsidRPr="00291647">
        <w:t xml:space="preserve"> provide more</w:t>
      </w:r>
      <w:r>
        <w:t xml:space="preserve"> two-way support between </w:t>
      </w:r>
      <w:r w:rsidRPr="00291647">
        <w:t>generations. However, there is also a driver for more one</w:t>
      </w:r>
      <w:r>
        <w:t>-</w:t>
      </w:r>
      <w:r w:rsidRPr="00291647">
        <w:t xml:space="preserve">person </w:t>
      </w:r>
      <w:r w:rsidRPr="00545539">
        <w:t>or couple households, including those who have not had children. One-person households are expected to increase by 18% from 2018 to 2043.</w:t>
      </w:r>
      <w:r w:rsidRPr="00545539">
        <w:rPr>
          <w:rStyle w:val="FootnoteReference"/>
        </w:rPr>
        <w:footnoteReference w:id="12"/>
      </w:r>
      <w:r w:rsidRPr="00545539">
        <w:t xml:space="preserve"> The percentage of women aged 45–49 years, who have never had children, grew from 9% in 1981 to 16% in 2018. Therefore, there will be more older people without children. </w:t>
      </w:r>
    </w:p>
    <w:p w14:paraId="31B770F4" w14:textId="77777777" w:rsidR="00F14D9B" w:rsidRPr="00545539" w:rsidRDefault="00F14D9B" w:rsidP="00F14D9B">
      <w:pPr>
        <w:pStyle w:val="Bullet"/>
        <w:tabs>
          <w:tab w:val="num" w:pos="284"/>
        </w:tabs>
        <w:rPr>
          <w:rFonts w:cs="Segoe UI"/>
        </w:rPr>
      </w:pPr>
      <w:r w:rsidRPr="00B21D71">
        <w:rPr>
          <w:b/>
          <w:bCs/>
          <w:iCs/>
        </w:rPr>
        <w:t xml:space="preserve">Disability </w:t>
      </w:r>
      <w:r w:rsidRPr="00545539">
        <w:t xml:space="preserve">– Older people are more likely to have a disability. The Disability Survey 2013 reported </w:t>
      </w:r>
      <w:r w:rsidRPr="00545539">
        <w:rPr>
          <w:rFonts w:cs="Segoe UI"/>
        </w:rPr>
        <w:t>people aged 65 years or over were much more likely to be disabled (59%) than adults under 65 years (21%) or children under 15 years (11%).</w:t>
      </w:r>
      <w:r w:rsidRPr="00545539">
        <w:rPr>
          <w:rStyle w:val="FootnoteReference"/>
          <w:rFonts w:cs="Segoe UI"/>
        </w:rPr>
        <w:footnoteReference w:id="13"/>
      </w:r>
      <w:r w:rsidRPr="00545539">
        <w:rPr>
          <w:rFonts w:cs="Segoe UI"/>
        </w:rPr>
        <w:t xml:space="preserve"> </w:t>
      </w:r>
      <w:r w:rsidRPr="00545539">
        <w:t xml:space="preserve">The type and impact of this disability can affect the supports people need, and barriers they face to active ageing. </w:t>
      </w:r>
    </w:p>
    <w:p w14:paraId="657505CC" w14:textId="77777777" w:rsidR="00F14D9B" w:rsidRDefault="00F14D9B" w:rsidP="00F14D9B">
      <w:pPr>
        <w:pStyle w:val="Bullet"/>
        <w:tabs>
          <w:tab w:val="num" w:pos="284"/>
        </w:tabs>
        <w:rPr>
          <w:rFonts w:cs="Segoe UI"/>
        </w:rPr>
      </w:pPr>
      <w:r w:rsidRPr="00B21D71">
        <w:rPr>
          <w:b/>
          <w:bCs/>
        </w:rPr>
        <w:t>Regions</w:t>
      </w:r>
      <w:r w:rsidRPr="00545539">
        <w:t xml:space="preserve"> – Rural and regional areas currently have higher proportions of their populations aged over 65 years. Population projections for 2048 indicate some areas, such as the cities of Wellington, Hamilton, and Christchurch, will have one in five people aged over 65 years, while Thames-Coromandel district will have two in five people aged over 65 years.</w:t>
      </w:r>
      <w:r w:rsidRPr="00545539">
        <w:rPr>
          <w:rStyle w:val="FootnoteReference"/>
        </w:rPr>
        <w:footnoteReference w:id="14"/>
      </w:r>
      <w:r w:rsidRPr="00545539">
        <w:t xml:space="preserve"> Other districts will have one in three people aged over 65 years, including Buller, Hauraki, </w:t>
      </w:r>
      <w:proofErr w:type="spellStart"/>
      <w:r w:rsidRPr="00545539">
        <w:t>K</w:t>
      </w:r>
      <w:r w:rsidRPr="00545539">
        <w:rPr>
          <w:rFonts w:cs="Segoe UI"/>
        </w:rPr>
        <w:t>ā</w:t>
      </w:r>
      <w:r w:rsidRPr="00545539">
        <w:t>piti</w:t>
      </w:r>
      <w:proofErr w:type="spellEnd"/>
      <w:r w:rsidRPr="00545539">
        <w:t xml:space="preserve"> Coast, Tasman, and South Wairarapa districts. It is important to consider </w:t>
      </w:r>
      <w:r w:rsidRPr="00545539" w:rsidDel="00AA5799">
        <w:t xml:space="preserve">the </w:t>
      </w:r>
      <w:r w:rsidRPr="00545539">
        <w:t>geographic locations of where older people are living, as regions can vary in the options and support for</w:t>
      </w:r>
      <w:r>
        <w:t xml:space="preserve"> active ageing. Older people often move location in retirement, to manage costs or to move closer to family. Some Māori kaum</w:t>
      </w:r>
      <w:r>
        <w:rPr>
          <w:rFonts w:cs="Segoe UI"/>
        </w:rPr>
        <w:t>ā</w:t>
      </w:r>
      <w:r>
        <w:t xml:space="preserve">tua may also choose to move in older age to the whenua they feel connected to. </w:t>
      </w:r>
      <w:r w:rsidRPr="00AE0945">
        <w:t xml:space="preserve"> </w:t>
      </w:r>
    </w:p>
    <w:p w14:paraId="556C560C" w14:textId="77777777" w:rsidR="00F14D9B" w:rsidRDefault="00F14D9B" w:rsidP="00F14D9B">
      <w:pPr>
        <w:pStyle w:val="Bullet"/>
        <w:tabs>
          <w:tab w:val="num" w:pos="284"/>
        </w:tabs>
      </w:pPr>
      <w:r w:rsidRPr="00B21D71">
        <w:rPr>
          <w:b/>
          <w:bCs/>
        </w:rPr>
        <w:t>Activity</w:t>
      </w:r>
      <w:r w:rsidRPr="00291647">
        <w:t xml:space="preserve"> – Older people</w:t>
      </w:r>
      <w:r>
        <w:t xml:space="preserve"> contribute significantly to society through paid and volunteer work, mentorships, community involvement and family support. As different generations age, these contributions have changed, and may continue to do so. </w:t>
      </w:r>
    </w:p>
    <w:p w14:paraId="382DFCA0" w14:textId="77777777" w:rsidR="00F14D9B" w:rsidRPr="00545539" w:rsidRDefault="00F14D9B" w:rsidP="00F14D9B">
      <w:pPr>
        <w:pStyle w:val="Bullet"/>
        <w:tabs>
          <w:tab w:val="num" w:pos="284"/>
        </w:tabs>
      </w:pPr>
      <w:r w:rsidRPr="00B21D71">
        <w:rPr>
          <w:b/>
          <w:bCs/>
        </w:rPr>
        <w:t>Employment</w:t>
      </w:r>
      <w:r>
        <w:t xml:space="preserve"> </w:t>
      </w:r>
      <w:r>
        <w:softHyphen/>
        <w:t>– A higher proportion of</w:t>
      </w:r>
      <w:r w:rsidRPr="00AE0945">
        <w:t xml:space="preserve"> older people are remaining in the workforce</w:t>
      </w:r>
      <w:r>
        <w:t xml:space="preserve">, which may change the way in which older people contribute to society. Employment provides many benefits to support active ageing including from work providing financial security, social connectedness, a sense of purpose and interaction with people from different population group, including younger generations. </w:t>
      </w:r>
      <w:r w:rsidRPr="003B420D">
        <w:rPr>
          <w:rFonts w:cs="Segoe UI"/>
          <w:szCs w:val="24"/>
        </w:rPr>
        <w:t>Currently,</w:t>
      </w:r>
      <w:r w:rsidRPr="003B420D" w:rsidDel="00E36EA2">
        <w:rPr>
          <w:rFonts w:cs="Segoe UI"/>
          <w:szCs w:val="24"/>
        </w:rPr>
        <w:t xml:space="preserve"> </w:t>
      </w:r>
      <w:r w:rsidRPr="00545539">
        <w:rPr>
          <w:rFonts w:cs="Segoe UI"/>
          <w:szCs w:val="24"/>
        </w:rPr>
        <w:t xml:space="preserve">208,300 older people are in the workforce. This number of older people working is projected to nearly double to 392,400 by 2071. </w:t>
      </w:r>
      <w:r w:rsidRPr="00545539">
        <w:t>Wage and salary (remunerated work) earnings by people aged over 65 years are expected to rise (in real terms – inflation-adjusted to 2021) from $5.9 billion in 2021 to around $30.7 billion in 2071. In relative terms, that is an increase from $7,200 per older person in 2021 to $16,900 per older person in 2071. Income from those self-employed is likely to increase from $4.7 billion in 2021 to $24.3 billion by 2071. In relative terms,</w:t>
      </w:r>
      <w:r w:rsidRPr="00011B62">
        <w:t xml:space="preserve"> that is an </w:t>
      </w:r>
      <w:r w:rsidRPr="00545539">
        <w:lastRenderedPageBreak/>
        <w:t>increase from $5,700 per older person in 2021 to $13,400 per older person in 2071.</w:t>
      </w:r>
      <w:r w:rsidRPr="00545539">
        <w:rPr>
          <w:rStyle w:val="FootnoteReference"/>
        </w:rPr>
        <w:footnoteReference w:id="15"/>
      </w:r>
      <w:r w:rsidRPr="00545539">
        <w:t xml:space="preserve"> </w:t>
      </w:r>
    </w:p>
    <w:p w14:paraId="5741600A" w14:textId="77777777" w:rsidR="00F14D9B" w:rsidRPr="00545539" w:rsidRDefault="00F14D9B" w:rsidP="00D36835">
      <w:pPr>
        <w:pStyle w:val="Bullet"/>
        <w:keepNext/>
        <w:tabs>
          <w:tab w:val="num" w:pos="284"/>
        </w:tabs>
      </w:pPr>
      <w:r w:rsidRPr="00545539">
        <w:rPr>
          <w:rFonts w:cs="Segoe UI"/>
          <w:i/>
          <w:iCs/>
          <w:szCs w:val="24"/>
        </w:rPr>
        <w:t xml:space="preserve">Volunteer and unpaid </w:t>
      </w:r>
      <w:r w:rsidRPr="00545539">
        <w:rPr>
          <w:rFonts w:cs="Segoe UI"/>
          <w:szCs w:val="24"/>
        </w:rPr>
        <w:t xml:space="preserve">work </w:t>
      </w:r>
      <w:r w:rsidRPr="00545539">
        <w:t>–</w:t>
      </w:r>
      <w:r w:rsidRPr="00545539">
        <w:rPr>
          <w:rFonts w:cs="Segoe UI"/>
          <w:szCs w:val="24"/>
        </w:rPr>
        <w:t xml:space="preserve"> </w:t>
      </w:r>
      <w:r w:rsidRPr="00545539">
        <w:t>Around 60% of people aged 65</w:t>
      </w:r>
      <w:r w:rsidRPr="00545539">
        <w:rPr>
          <w:rFonts w:cs="Segoe UI"/>
        </w:rPr>
        <w:t>–</w:t>
      </w:r>
      <w:r w:rsidRPr="00545539">
        <w:t>74 years, and over 40% of people aged over 75 years volunteer in their communities semi-regularly (at least once over the last four weeks).</w:t>
      </w:r>
      <w:r w:rsidRPr="00545539">
        <w:rPr>
          <w:rStyle w:val="FootnoteReference"/>
        </w:rPr>
        <w:footnoteReference w:id="16"/>
      </w:r>
      <w:r w:rsidRPr="00545539">
        <w:t xml:space="preserve"> </w:t>
      </w:r>
      <w:r w:rsidRPr="00545539">
        <w:rPr>
          <w:rFonts w:cs="Segoe UI"/>
          <w:szCs w:val="24"/>
        </w:rPr>
        <w:t>The economic value of the unpaid work of older people, such as caring for others, household work and volunteering, is estimated to increase by</w:t>
      </w:r>
      <w:r w:rsidRPr="00545539" w:rsidDel="00205B0F">
        <w:rPr>
          <w:rFonts w:cs="Segoe UI"/>
          <w:szCs w:val="24"/>
        </w:rPr>
        <w:t xml:space="preserve"> </w:t>
      </w:r>
      <w:r w:rsidRPr="00545539">
        <w:rPr>
          <w:rFonts w:cs="Segoe UI"/>
          <w:szCs w:val="24"/>
        </w:rPr>
        <w:t>$83 to $94 billion over the next 50 years.</w:t>
      </w:r>
      <w:r w:rsidRPr="00545539">
        <w:rPr>
          <w:rStyle w:val="FootnoteReference"/>
          <w:rFonts w:cs="Segoe UI"/>
          <w:szCs w:val="24"/>
        </w:rPr>
        <w:footnoteReference w:id="17"/>
      </w:r>
      <w:r w:rsidRPr="00545539">
        <w:rPr>
          <w:rFonts w:cs="Segoe UI"/>
          <w:szCs w:val="24"/>
        </w:rPr>
        <w:t xml:space="preserve"> </w:t>
      </w:r>
    </w:p>
    <w:p w14:paraId="020E3847" w14:textId="77777777" w:rsidR="00F14D9B" w:rsidRDefault="00F14D9B" w:rsidP="00D36835"/>
    <w:p w14:paraId="7691AAB2" w14:textId="77777777" w:rsidR="00F14D9B" w:rsidRDefault="00F14D9B" w:rsidP="00D36835">
      <w:r w:rsidRPr="00DF6D74">
        <w:t xml:space="preserve">Older people play a variety of important roles in their communities in </w:t>
      </w:r>
      <w:r>
        <w:t xml:space="preserve">Aotearoa </w:t>
      </w:r>
      <w:r w:rsidRPr="00DF6D74">
        <w:t xml:space="preserve">New Zealand. They may be involved in </w:t>
      </w:r>
      <w:r w:rsidRPr="00FF0EF0">
        <w:t>caring for family</w:t>
      </w:r>
      <w:r>
        <w:t xml:space="preserve"> members,</w:t>
      </w:r>
      <w:r w:rsidRPr="00DF6D74">
        <w:t xml:space="preserve"> volunteering, </w:t>
      </w:r>
      <w:r>
        <w:t xml:space="preserve">contributing to </w:t>
      </w:r>
      <w:r w:rsidRPr="00DF6D74">
        <w:t>community organisations, or providing informal support to their neighbours and friends</w:t>
      </w:r>
      <w:r>
        <w:t>.</w:t>
      </w:r>
      <w:r>
        <w:rPr>
          <w:rStyle w:val="FootnoteReference"/>
          <w:rFonts w:cs="Segoe UI"/>
          <w:szCs w:val="24"/>
        </w:rPr>
        <w:footnoteReference w:id="18"/>
      </w:r>
      <w:r>
        <w:t xml:space="preserve"> </w:t>
      </w:r>
      <w:r w:rsidRPr="00DF6D74">
        <w:t>Our communities are enriched by older people’s commitment to them.</w:t>
      </w:r>
    </w:p>
    <w:p w14:paraId="5350F6B9" w14:textId="77777777" w:rsidR="00F14D9B" w:rsidRPr="00D36835" w:rsidRDefault="00F14D9B" w:rsidP="00D36835">
      <w:pPr>
        <w:pStyle w:val="Heading2"/>
      </w:pPr>
      <w:bookmarkStart w:id="38" w:name="_Toc181273811"/>
      <w:bookmarkStart w:id="39" w:name="_Toc181362039"/>
      <w:bookmarkStart w:id="40" w:name="_Toc181362218"/>
      <w:r w:rsidRPr="00D36835">
        <w:t xml:space="preserve">Enablers and barriers to unlocking active </w:t>
      </w:r>
      <w:proofErr w:type="gramStart"/>
      <w:r w:rsidRPr="00D36835">
        <w:t>ageing</w:t>
      </w:r>
      <w:bookmarkEnd w:id="38"/>
      <w:bookmarkEnd w:id="39"/>
      <w:bookmarkEnd w:id="40"/>
      <w:proofErr w:type="gramEnd"/>
    </w:p>
    <w:p w14:paraId="3806D3F5" w14:textId="77777777" w:rsidR="00F14D9B" w:rsidRDefault="00F14D9B" w:rsidP="00F14D9B">
      <w:pPr>
        <w:rPr>
          <w:rFonts w:cs="Segoe UI"/>
          <w:szCs w:val="28"/>
        </w:rPr>
      </w:pPr>
      <w:r>
        <w:rPr>
          <w:rFonts w:cs="Segoe UI"/>
          <w:szCs w:val="28"/>
        </w:rPr>
        <w:t>People can continue to contribute to society as they age into older age groups if they are enabled to continue in work and participate in voluntary or unpaid work within the community or their family. Key factors that influence contributions and participation, as can enable people or be a barrier, include:</w:t>
      </w:r>
    </w:p>
    <w:p w14:paraId="78FE20D6" w14:textId="77777777" w:rsidR="00F14D9B" w:rsidRDefault="00F14D9B" w:rsidP="00D36835">
      <w:pPr>
        <w:pStyle w:val="Bullet"/>
      </w:pPr>
      <w:r w:rsidRPr="00E1418B">
        <w:t xml:space="preserve">the </w:t>
      </w:r>
      <w:r>
        <w:t xml:space="preserve">individual </w:t>
      </w:r>
      <w:r w:rsidRPr="00E1418B">
        <w:t xml:space="preserve">person’s attitude, religious or belief systems, health, standard of living, level of social connectedness and expectations for their older age. </w:t>
      </w:r>
    </w:p>
    <w:p w14:paraId="483EB2D8" w14:textId="77777777" w:rsidR="00F14D9B" w:rsidRDefault="00F14D9B" w:rsidP="00D36835">
      <w:pPr>
        <w:pStyle w:val="Bullet"/>
      </w:pPr>
      <w:r>
        <w:t>o</w:t>
      </w:r>
      <w:r w:rsidRPr="00E1418B">
        <w:t xml:space="preserve">ther societal factors </w:t>
      </w:r>
      <w:r>
        <w:t>such as</w:t>
      </w:r>
      <w:r w:rsidRPr="00E1418B">
        <w:t xml:space="preserve"> social connectedness of the community, attitudes in the workplace and community to older people, the level of support or encouragement for actions, policy settings, such as </w:t>
      </w:r>
      <w:r>
        <w:t>to support public transport</w:t>
      </w:r>
      <w:r w:rsidRPr="00E1418B">
        <w:t xml:space="preserve">, or </w:t>
      </w:r>
      <w:r>
        <w:t>activities in the community</w:t>
      </w:r>
      <w:r w:rsidRPr="00E1418B">
        <w:t xml:space="preserve">. </w:t>
      </w:r>
    </w:p>
    <w:p w14:paraId="285FE11C" w14:textId="77777777" w:rsidR="00F14D9B" w:rsidRDefault="00F14D9B" w:rsidP="00D36835">
      <w:pPr>
        <w:pStyle w:val="Bullet"/>
      </w:pPr>
      <w:r w:rsidRPr="00E1418B">
        <w:t>the built environment,</w:t>
      </w:r>
      <w:r>
        <w:t xml:space="preserve"> having community facilities</w:t>
      </w:r>
      <w:r w:rsidRPr="00E1418B">
        <w:t xml:space="preserve"> or transport options</w:t>
      </w:r>
      <w:r>
        <w:t>,</w:t>
      </w:r>
      <w:r w:rsidRPr="00E1418B">
        <w:t xml:space="preserve"> combined with the geographic distances to activities</w:t>
      </w:r>
      <w:r>
        <w:t xml:space="preserve">. </w:t>
      </w:r>
    </w:p>
    <w:p w14:paraId="014BC472" w14:textId="77777777" w:rsidR="00F14D9B" w:rsidRPr="0042794B" w:rsidRDefault="00F14D9B" w:rsidP="00D36835">
      <w:pPr>
        <w:pStyle w:val="Bullet"/>
      </w:pPr>
      <w:r w:rsidRPr="00E1418B">
        <w:t xml:space="preserve">technology </w:t>
      </w:r>
      <w:r>
        <w:t xml:space="preserve">options, such as </w:t>
      </w:r>
      <w:r w:rsidRPr="00E1418B">
        <w:t xml:space="preserve">to overcome distances and to connect people to work, volunteer work, social networks or family is also an enabler, if people have access </w:t>
      </w:r>
      <w:r>
        <w:t xml:space="preserve">to it </w:t>
      </w:r>
      <w:r w:rsidRPr="00E1418B">
        <w:t xml:space="preserve">and use it. </w:t>
      </w:r>
    </w:p>
    <w:p w14:paraId="2BFCB86F" w14:textId="77777777" w:rsidR="00D36835" w:rsidRDefault="00D36835" w:rsidP="00D36835"/>
    <w:p w14:paraId="52BBF1A6" w14:textId="304040A5" w:rsidR="00F14D9B" w:rsidRDefault="00F14D9B" w:rsidP="00D36835">
      <w:r>
        <w:t xml:space="preserve">The LTIB will cover the barriers or enablers for some key activities or contributions related to the focus areas that are chosen (see part four), and how they may vary for different groups of older people in the future. The LTIB may also consider what the </w:t>
      </w:r>
      <w:r>
        <w:lastRenderedPageBreak/>
        <w:t xml:space="preserve">government role is and what options there are to support active ageing through promoting enablers or by addressing barriers. </w:t>
      </w:r>
    </w:p>
    <w:p w14:paraId="0F325BE7" w14:textId="77777777" w:rsidR="00F14D9B" w:rsidRDefault="00F14D9B" w:rsidP="00D36835"/>
    <w:p w14:paraId="19FC6FC2" w14:textId="77777777" w:rsidR="00F14D9B" w:rsidRDefault="00F14D9B" w:rsidP="00D36835">
      <w:pPr>
        <w:rPr>
          <w:rStyle w:val="CommentReference"/>
        </w:rPr>
      </w:pPr>
      <w:r>
        <w:rPr>
          <w:rFonts w:cstheme="minorBidi"/>
        </w:rPr>
        <w:t>Aotearoa New Zealand has an opportunity to benefit from unlocking the valuable contributions an increasing older population can provide</w:t>
      </w:r>
      <w:r w:rsidRPr="55C69564">
        <w:rPr>
          <w:rFonts w:cstheme="minorBidi"/>
        </w:rPr>
        <w:t xml:space="preserve"> to</w:t>
      </w:r>
      <w:r>
        <w:rPr>
          <w:rFonts w:cstheme="minorBidi"/>
        </w:rPr>
        <w:t xml:space="preserve"> our</w:t>
      </w:r>
      <w:r w:rsidRPr="55C69564">
        <w:rPr>
          <w:rFonts w:cstheme="minorBidi"/>
        </w:rPr>
        <w:t xml:space="preserve"> society</w:t>
      </w:r>
      <w:r>
        <w:rPr>
          <w:rFonts w:cstheme="minorBidi"/>
        </w:rPr>
        <w:t>.</w:t>
      </w:r>
    </w:p>
    <w:p w14:paraId="045819DB" w14:textId="77777777" w:rsidR="00F14D9B" w:rsidRDefault="00F14D9B" w:rsidP="00F14D9B">
      <w:pPr>
        <w:rPr>
          <w:rStyle w:val="CommentReference"/>
        </w:rPr>
      </w:pPr>
    </w:p>
    <w:p w14:paraId="42E498C3" w14:textId="77777777" w:rsidR="00F14D9B" w:rsidRDefault="00F14D9B" w:rsidP="00F14D9B">
      <w:pPr>
        <w:ind w:left="624" w:right="624"/>
        <w:rPr>
          <w:rFonts w:cstheme="minorHAnsi"/>
        </w:rPr>
      </w:pPr>
      <w:r w:rsidRPr="00087D6D">
        <w:rPr>
          <w:rFonts w:cstheme="minorHAnsi"/>
        </w:rPr>
        <w:t xml:space="preserve">Active ageing </w:t>
      </w:r>
      <w:r>
        <w:rPr>
          <w:rFonts w:cstheme="minorHAnsi"/>
        </w:rPr>
        <w:t>’</w:t>
      </w:r>
      <w:r w:rsidRPr="00087D6D">
        <w:rPr>
          <w:rFonts w:cstheme="minorHAnsi"/>
        </w:rPr>
        <w:t>allows people to reali</w:t>
      </w:r>
      <w:r>
        <w:rPr>
          <w:rFonts w:cstheme="minorHAnsi"/>
        </w:rPr>
        <w:t>s</w:t>
      </w:r>
      <w:r w:rsidRPr="00087D6D">
        <w:rPr>
          <w:rFonts w:cstheme="minorHAnsi"/>
        </w:rPr>
        <w:t>e their potential for physical, social, and mental wellbeing throughout the life course and to participate in society according to their needs, desires and capacities, while providing them with adequate protection, security and care when they require assistance.</w:t>
      </w:r>
      <w:r>
        <w:rPr>
          <w:rFonts w:cstheme="minorHAnsi"/>
        </w:rPr>
        <w:t>’</w:t>
      </w:r>
      <w:r>
        <w:rPr>
          <w:rStyle w:val="FootnoteReference"/>
          <w:rFonts w:cstheme="minorHAnsi"/>
        </w:rPr>
        <w:footnoteReference w:id="19"/>
      </w:r>
      <w:r w:rsidRPr="00087D6D">
        <w:rPr>
          <w:rFonts w:cstheme="minorHAnsi"/>
        </w:rPr>
        <w:t xml:space="preserve"> </w:t>
      </w:r>
    </w:p>
    <w:p w14:paraId="56C53F24" w14:textId="77777777" w:rsidR="00F14D9B" w:rsidRDefault="00F14D9B" w:rsidP="00F14D9B">
      <w:pPr>
        <w:rPr>
          <w:rFonts w:cstheme="minorHAnsi"/>
        </w:rPr>
      </w:pPr>
    </w:p>
    <w:p w14:paraId="68141ACC" w14:textId="77777777" w:rsidR="00F14D9B" w:rsidRDefault="00F14D9B" w:rsidP="00F14D9B">
      <w:pPr>
        <w:rPr>
          <w:rFonts w:cs="Segoe UI"/>
          <w:szCs w:val="28"/>
        </w:rPr>
      </w:pPr>
      <w:r>
        <w:rPr>
          <w:rFonts w:cs="Segoe UI"/>
          <w:szCs w:val="28"/>
        </w:rPr>
        <w:t>By exploring the enablers and barriers for active ageing in the context of Aotearoa New Zealand and the focus areas, we will understand how to unlock active ageing to best support older people to continue to make valuable contributions, for longer, to their families, communities and society in the future.</w:t>
      </w:r>
    </w:p>
    <w:p w14:paraId="6654F254" w14:textId="77777777" w:rsidR="00F14D9B" w:rsidRDefault="00F14D9B" w:rsidP="00F14D9B">
      <w:pPr>
        <w:rPr>
          <w:rFonts w:cs="Segoe UI"/>
          <w:szCs w:val="28"/>
        </w:rPr>
      </w:pPr>
    </w:p>
    <w:p w14:paraId="63E161C5" w14:textId="77777777" w:rsidR="00F14D9B" w:rsidRDefault="00F14D9B" w:rsidP="00F14D9B">
      <w:pPr>
        <w:rPr>
          <w:rFonts w:cs="Segoe UI"/>
          <w:szCs w:val="28"/>
        </w:rPr>
      </w:pPr>
      <w:r>
        <w:rPr>
          <w:rFonts w:cs="Segoe UI"/>
          <w:szCs w:val="28"/>
        </w:rPr>
        <w:t xml:space="preserve">Barriers and enablers for active ageing do not only exist when a person is older, they can impact across a person’s life. A person’s experiences prior to being an older person can affect their contribution to society as an older person. </w:t>
      </w:r>
    </w:p>
    <w:p w14:paraId="5870B9ED" w14:textId="77777777" w:rsidR="00F14D9B" w:rsidRDefault="00F14D9B" w:rsidP="00F14D9B">
      <w:pPr>
        <w:rPr>
          <w:rFonts w:cs="Segoe UI"/>
          <w:szCs w:val="28"/>
        </w:rPr>
      </w:pPr>
    </w:p>
    <w:tbl>
      <w:tblPr>
        <w:tblStyle w:val="TableGrid"/>
        <w:tblpPr w:leftFromText="180" w:rightFromText="180" w:vertAnchor="text" w:horzAnchor="margin" w:tblpY="110"/>
        <w:tblW w:w="8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626"/>
      </w:tblGrid>
      <w:tr w:rsidR="00F14D9B" w14:paraId="612ADB75" w14:textId="77777777" w:rsidTr="00D36835">
        <w:trPr>
          <w:trHeight w:val="2977"/>
        </w:trPr>
        <w:tc>
          <w:tcPr>
            <w:tcW w:w="8626" w:type="dxa"/>
            <w:shd w:val="clear" w:color="auto" w:fill="D9D9D9" w:themeFill="background1" w:themeFillShade="D9"/>
          </w:tcPr>
          <w:p w14:paraId="7799A07F" w14:textId="77777777" w:rsidR="00F14D9B" w:rsidRPr="00467889" w:rsidRDefault="00F14D9B" w:rsidP="00D36835">
            <w:pPr>
              <w:spacing w:before="120" w:after="120"/>
              <w:rPr>
                <w:rFonts w:cs="Segoe UI"/>
                <w:b/>
                <w:szCs w:val="21"/>
              </w:rPr>
            </w:pPr>
            <w:r w:rsidRPr="00467889">
              <w:rPr>
                <w:rFonts w:cs="Segoe UI"/>
                <w:b/>
                <w:szCs w:val="21"/>
              </w:rPr>
              <w:t xml:space="preserve">Questions for </w:t>
            </w:r>
            <w:r>
              <w:rPr>
                <w:rFonts w:cs="Segoe UI"/>
                <w:b/>
                <w:szCs w:val="21"/>
              </w:rPr>
              <w:t>feedback</w:t>
            </w:r>
            <w:r w:rsidRPr="00467889">
              <w:rPr>
                <w:rFonts w:cs="Segoe UI"/>
                <w:b/>
                <w:szCs w:val="21"/>
              </w:rPr>
              <w:t>:</w:t>
            </w:r>
          </w:p>
          <w:p w14:paraId="5BAF1B73" w14:textId="77777777" w:rsidR="00F14D9B" w:rsidRPr="00467889" w:rsidRDefault="00F14D9B" w:rsidP="00D36835">
            <w:pPr>
              <w:pStyle w:val="ListParagraph"/>
              <w:numPr>
                <w:ilvl w:val="0"/>
                <w:numId w:val="7"/>
              </w:numPr>
              <w:spacing w:before="80" w:after="80"/>
              <w:ind w:left="453" w:hanging="425"/>
              <w:contextualSpacing w:val="0"/>
              <w:rPr>
                <w:rFonts w:cs="Segoe UI"/>
                <w:color w:val="000000"/>
                <w:sz w:val="21"/>
                <w:szCs w:val="21"/>
              </w:rPr>
            </w:pPr>
            <w:r w:rsidRPr="00467889">
              <w:rPr>
                <w:rFonts w:cs="Segoe UI"/>
                <w:color w:val="000000"/>
                <w:sz w:val="21"/>
                <w:szCs w:val="21"/>
              </w:rPr>
              <w:t xml:space="preserve">Do you think ‘active ageing’ is a </w:t>
            </w:r>
            <w:r w:rsidRPr="00467889">
              <w:rPr>
                <w:rFonts w:cs="Segoe UI"/>
                <w:b/>
                <w:color w:val="000000"/>
                <w:sz w:val="21"/>
                <w:szCs w:val="21"/>
              </w:rPr>
              <w:t>critical topic</w:t>
            </w:r>
            <w:r w:rsidRPr="00467889">
              <w:rPr>
                <w:rFonts w:cs="Segoe UI"/>
                <w:color w:val="000000"/>
                <w:sz w:val="21"/>
                <w:szCs w:val="21"/>
              </w:rPr>
              <w:t xml:space="preserve"> to explore in a Long-</w:t>
            </w:r>
            <w:r>
              <w:rPr>
                <w:rFonts w:cs="Segoe UI"/>
                <w:color w:val="000000"/>
                <w:sz w:val="21"/>
                <w:szCs w:val="21"/>
              </w:rPr>
              <w:t>t</w:t>
            </w:r>
            <w:r w:rsidRPr="00467889">
              <w:rPr>
                <w:rFonts w:cs="Segoe UI"/>
                <w:color w:val="000000"/>
                <w:sz w:val="21"/>
                <w:szCs w:val="21"/>
              </w:rPr>
              <w:t>erm Insights Briefing? Why or why not?</w:t>
            </w:r>
          </w:p>
          <w:p w14:paraId="67BCF998" w14:textId="77777777" w:rsidR="00F14D9B" w:rsidRDefault="00F14D9B" w:rsidP="00D36835">
            <w:pPr>
              <w:pStyle w:val="ListParagraph"/>
              <w:numPr>
                <w:ilvl w:val="0"/>
                <w:numId w:val="7"/>
              </w:numPr>
              <w:spacing w:before="80" w:after="80"/>
              <w:ind w:left="453" w:hanging="425"/>
              <w:contextualSpacing w:val="0"/>
              <w:rPr>
                <w:rFonts w:cs="Segoe UI"/>
                <w:color w:val="000000"/>
                <w:sz w:val="21"/>
                <w:szCs w:val="21"/>
              </w:rPr>
            </w:pPr>
            <w:r w:rsidRPr="002076C6">
              <w:rPr>
                <w:rFonts w:cs="Segoe UI"/>
                <w:color w:val="000000"/>
                <w:sz w:val="21"/>
                <w:szCs w:val="21"/>
              </w:rPr>
              <w:t xml:space="preserve">What are the </w:t>
            </w:r>
            <w:r w:rsidRPr="002076C6">
              <w:rPr>
                <w:rFonts w:cs="Segoe UI"/>
                <w:b/>
                <w:color w:val="000000"/>
                <w:sz w:val="21"/>
                <w:szCs w:val="21"/>
              </w:rPr>
              <w:t>main risks</w:t>
            </w:r>
            <w:r w:rsidRPr="002076C6">
              <w:rPr>
                <w:rFonts w:cs="Segoe UI"/>
                <w:color w:val="000000"/>
                <w:sz w:val="21"/>
                <w:szCs w:val="21"/>
              </w:rPr>
              <w:t xml:space="preserve"> of not further enabling ‘active ageing’ over the next 20 years?</w:t>
            </w:r>
          </w:p>
          <w:p w14:paraId="57C02EDC" w14:textId="77777777" w:rsidR="00F14D9B" w:rsidRPr="00467889" w:rsidRDefault="00F14D9B" w:rsidP="00D36835">
            <w:pPr>
              <w:pStyle w:val="ListParagraph"/>
              <w:numPr>
                <w:ilvl w:val="0"/>
                <w:numId w:val="7"/>
              </w:numPr>
              <w:spacing w:before="80" w:after="80"/>
              <w:ind w:left="453" w:hanging="425"/>
              <w:contextualSpacing w:val="0"/>
              <w:rPr>
                <w:rFonts w:cs="Segoe UI"/>
                <w:color w:val="000000"/>
                <w:sz w:val="21"/>
                <w:szCs w:val="21"/>
              </w:rPr>
            </w:pPr>
            <w:r w:rsidRPr="00467889">
              <w:rPr>
                <w:rFonts w:cs="Segoe UI"/>
                <w:color w:val="000000"/>
                <w:sz w:val="21"/>
                <w:szCs w:val="21"/>
              </w:rPr>
              <w:t xml:space="preserve">What </w:t>
            </w:r>
            <w:r w:rsidRPr="00467889">
              <w:rPr>
                <w:rFonts w:cs="Segoe UI"/>
                <w:b/>
                <w:color w:val="000000"/>
                <w:sz w:val="21"/>
                <w:szCs w:val="21"/>
              </w:rPr>
              <w:t>health</w:t>
            </w:r>
            <w:r>
              <w:rPr>
                <w:rFonts w:cs="Segoe UI"/>
                <w:b/>
                <w:color w:val="000000"/>
                <w:sz w:val="21"/>
                <w:szCs w:val="21"/>
              </w:rPr>
              <w:t>-</w:t>
            </w:r>
            <w:r w:rsidRPr="00467889">
              <w:rPr>
                <w:rFonts w:cs="Segoe UI"/>
                <w:b/>
                <w:color w:val="000000"/>
                <w:sz w:val="21"/>
                <w:szCs w:val="21"/>
              </w:rPr>
              <w:t>promoting</w:t>
            </w:r>
            <w:r w:rsidRPr="00467889">
              <w:rPr>
                <w:rFonts w:cs="Segoe UI"/>
                <w:color w:val="000000"/>
                <w:sz w:val="21"/>
                <w:szCs w:val="21"/>
              </w:rPr>
              <w:t xml:space="preserve"> and </w:t>
            </w:r>
            <w:r w:rsidRPr="00467889">
              <w:rPr>
                <w:rFonts w:cs="Segoe UI"/>
                <w:b/>
                <w:color w:val="000000"/>
                <w:sz w:val="21"/>
                <w:szCs w:val="21"/>
              </w:rPr>
              <w:t>supportive environments</w:t>
            </w:r>
            <w:r w:rsidRPr="00467889">
              <w:rPr>
                <w:rFonts w:cs="Segoe UI"/>
                <w:color w:val="000000"/>
                <w:sz w:val="21"/>
                <w:szCs w:val="21"/>
              </w:rPr>
              <w:t xml:space="preserve"> would better enable ‘active ageing’? </w:t>
            </w:r>
          </w:p>
          <w:p w14:paraId="02D28451" w14:textId="77777777" w:rsidR="00F14D9B" w:rsidRPr="00F45089" w:rsidRDefault="00F14D9B" w:rsidP="00D36835">
            <w:pPr>
              <w:pStyle w:val="ListParagraph"/>
              <w:numPr>
                <w:ilvl w:val="0"/>
                <w:numId w:val="7"/>
              </w:numPr>
              <w:spacing w:before="80" w:after="180"/>
              <w:ind w:left="453" w:hanging="425"/>
              <w:contextualSpacing w:val="0"/>
              <w:rPr>
                <w:rFonts w:cs="Segoe UI"/>
                <w:color w:val="000000"/>
                <w:sz w:val="21"/>
                <w:szCs w:val="21"/>
              </w:rPr>
            </w:pPr>
            <w:r w:rsidRPr="00467889">
              <w:rPr>
                <w:rFonts w:cs="Segoe UI"/>
                <w:color w:val="000000"/>
                <w:sz w:val="21"/>
                <w:szCs w:val="21"/>
              </w:rPr>
              <w:t xml:space="preserve">What </w:t>
            </w:r>
            <w:r w:rsidRPr="00467889">
              <w:rPr>
                <w:rFonts w:cs="Segoe UI"/>
                <w:b/>
                <w:color w:val="000000"/>
                <w:sz w:val="21"/>
                <w:szCs w:val="21"/>
              </w:rPr>
              <w:t xml:space="preserve">barriers </w:t>
            </w:r>
            <w:r w:rsidRPr="00467889">
              <w:rPr>
                <w:rFonts w:cs="Segoe UI"/>
                <w:color w:val="000000"/>
                <w:sz w:val="21"/>
                <w:szCs w:val="21"/>
              </w:rPr>
              <w:t>to ‘active ageing’ do you see in our environment</w:t>
            </w:r>
            <w:r>
              <w:rPr>
                <w:rFonts w:cs="Segoe UI"/>
                <w:color w:val="000000"/>
                <w:sz w:val="21"/>
                <w:szCs w:val="21"/>
              </w:rPr>
              <w:t xml:space="preserve"> and society</w:t>
            </w:r>
            <w:r w:rsidRPr="00467889">
              <w:rPr>
                <w:rFonts w:cs="Segoe UI"/>
                <w:color w:val="000000"/>
                <w:sz w:val="21"/>
                <w:szCs w:val="21"/>
              </w:rPr>
              <w:t>?</w:t>
            </w:r>
          </w:p>
        </w:tc>
      </w:tr>
    </w:tbl>
    <w:p w14:paraId="44321503" w14:textId="77777777" w:rsidR="00F14D9B" w:rsidRPr="00B1343F" w:rsidRDefault="00F14D9B" w:rsidP="00F14D9B">
      <w:pPr>
        <w:rPr>
          <w:rFonts w:cs="Segoe UI"/>
          <w:szCs w:val="28"/>
        </w:rPr>
        <w:sectPr w:rsidR="00F14D9B" w:rsidRPr="00B1343F" w:rsidSect="00B44E09">
          <w:headerReference w:type="even" r:id="rId32"/>
          <w:headerReference w:type="default" r:id="rId33"/>
          <w:footerReference w:type="even" r:id="rId34"/>
          <w:footerReference w:type="default" r:id="rId35"/>
          <w:headerReference w:type="first" r:id="rId36"/>
          <w:pgSz w:w="11907" w:h="16840" w:code="9"/>
          <w:pgMar w:top="1418" w:right="1701" w:bottom="1134" w:left="1843" w:header="284" w:footer="425" w:gutter="284"/>
          <w:cols w:space="720"/>
          <w:docGrid w:linePitch="286"/>
        </w:sectPr>
      </w:pPr>
      <w:bookmarkStart w:id="41" w:name="_Toc119924245"/>
    </w:p>
    <w:p w14:paraId="505CE815" w14:textId="77777777" w:rsidR="00F14D9B" w:rsidRPr="00800759" w:rsidRDefault="00F14D9B" w:rsidP="00D36835">
      <w:pPr>
        <w:pStyle w:val="Heading1"/>
        <w:spacing w:before="0"/>
        <w:rPr>
          <w:bCs/>
          <w:sz w:val="60"/>
          <w:szCs w:val="60"/>
        </w:rPr>
      </w:pPr>
      <w:bookmarkStart w:id="42" w:name="_Toc180663966"/>
      <w:bookmarkStart w:id="43" w:name="_Toc181273812"/>
      <w:bookmarkStart w:id="44" w:name="_Toc181362040"/>
      <w:bookmarkStart w:id="45" w:name="_Toc181362219"/>
      <w:r w:rsidRPr="00800759">
        <w:rPr>
          <w:bCs/>
          <w:sz w:val="60"/>
          <w:szCs w:val="60"/>
        </w:rPr>
        <w:lastRenderedPageBreak/>
        <w:t xml:space="preserve">Part Four: </w:t>
      </w:r>
      <w:r>
        <w:rPr>
          <w:bCs/>
          <w:sz w:val="60"/>
          <w:szCs w:val="60"/>
        </w:rPr>
        <w:t>A</w:t>
      </w:r>
      <w:r w:rsidRPr="00800759">
        <w:rPr>
          <w:bCs/>
          <w:sz w:val="60"/>
          <w:szCs w:val="60"/>
        </w:rPr>
        <w:t xml:space="preserve">reas </w:t>
      </w:r>
      <w:r>
        <w:rPr>
          <w:bCs/>
          <w:sz w:val="60"/>
          <w:szCs w:val="60"/>
        </w:rPr>
        <w:t xml:space="preserve">to </w:t>
      </w:r>
      <w:r w:rsidRPr="00800759">
        <w:rPr>
          <w:bCs/>
          <w:sz w:val="60"/>
          <w:szCs w:val="60"/>
        </w:rPr>
        <w:t xml:space="preserve">explore in our </w:t>
      </w:r>
      <w:r>
        <w:rPr>
          <w:bCs/>
          <w:sz w:val="60"/>
          <w:szCs w:val="60"/>
        </w:rPr>
        <w:t>Long-term Insights B</w:t>
      </w:r>
      <w:r w:rsidRPr="00800759">
        <w:rPr>
          <w:bCs/>
          <w:sz w:val="60"/>
          <w:szCs w:val="60"/>
        </w:rPr>
        <w:t>riefing</w:t>
      </w:r>
      <w:bookmarkEnd w:id="41"/>
      <w:bookmarkEnd w:id="42"/>
      <w:bookmarkEnd w:id="43"/>
      <w:bookmarkEnd w:id="44"/>
      <w:bookmarkEnd w:id="45"/>
    </w:p>
    <w:p w14:paraId="17405F39" w14:textId="77777777" w:rsidR="00F14D9B" w:rsidRDefault="00F14D9B" w:rsidP="00F14D9B">
      <w:r w:rsidDel="00377E7A">
        <w:t>There are complex interconnections across people’s lives that contribute</w:t>
      </w:r>
      <w:r>
        <w:t xml:space="preserve"> to creating enablers or barriers </w:t>
      </w:r>
      <w:r w:rsidDel="00492C8A">
        <w:t xml:space="preserve">to </w:t>
      </w:r>
      <w:r>
        <w:t>active ageing. ‘</w:t>
      </w:r>
      <w:r w:rsidRPr="00800759">
        <w:t>Unlocking the potential of active ageing</w:t>
      </w:r>
      <w:r>
        <w:t>’</w:t>
      </w:r>
      <w:r w:rsidRPr="00800759">
        <w:t xml:space="preserve"> </w:t>
      </w:r>
      <w:r>
        <w:t xml:space="preserve">is therefore an extremely broad topic. </w:t>
      </w:r>
    </w:p>
    <w:p w14:paraId="1B91CF46" w14:textId="77777777" w:rsidR="00F14D9B" w:rsidRDefault="00F14D9B" w:rsidP="00F14D9B"/>
    <w:p w14:paraId="43C9616F" w14:textId="77777777" w:rsidR="00F14D9B" w:rsidRDefault="00F14D9B" w:rsidP="00F14D9B">
      <w:r>
        <w:t>This LTIB</w:t>
      </w:r>
      <w:r w:rsidRPr="00800759">
        <w:t xml:space="preserve"> w</w:t>
      </w:r>
      <w:r>
        <w:t>ill</w:t>
      </w:r>
      <w:r w:rsidRPr="00800759">
        <w:t xml:space="preserve"> </w:t>
      </w:r>
      <w:r>
        <w:t xml:space="preserve">have two to three focus areas for unlocking active ageing, which the LTIB could </w:t>
      </w:r>
      <w:r w:rsidRPr="00800759">
        <w:t>explore through case studies or scenarios</w:t>
      </w:r>
      <w:r>
        <w:t xml:space="preserve"> based on research and practices in Aotearoa New Zealand or internationally</w:t>
      </w:r>
      <w:r w:rsidRPr="00800759">
        <w:t xml:space="preserve">. </w:t>
      </w:r>
      <w:r w:rsidRPr="00D26D22">
        <w:rPr>
          <w:rFonts w:cs="Segoe UI"/>
          <w:szCs w:val="24"/>
        </w:rPr>
        <w:t xml:space="preserve">Through these </w:t>
      </w:r>
      <w:r>
        <w:rPr>
          <w:rFonts w:cs="Segoe UI"/>
          <w:szCs w:val="24"/>
        </w:rPr>
        <w:t>focus areas</w:t>
      </w:r>
      <w:r w:rsidRPr="00D26D22">
        <w:rPr>
          <w:rFonts w:cs="Segoe UI"/>
          <w:szCs w:val="24"/>
        </w:rPr>
        <w:t>, we will</w:t>
      </w:r>
      <w:r w:rsidRPr="00D26D22" w:rsidDel="006C242E">
        <w:rPr>
          <w:rFonts w:cs="Segoe UI"/>
          <w:szCs w:val="24"/>
        </w:rPr>
        <w:t xml:space="preserve"> </w:t>
      </w:r>
      <w:r w:rsidRPr="00D26D22">
        <w:rPr>
          <w:rFonts w:cs="Segoe UI"/>
          <w:szCs w:val="24"/>
        </w:rPr>
        <w:t xml:space="preserve">provide an overview of the value of </w:t>
      </w:r>
      <w:r>
        <w:rPr>
          <w:rFonts w:cs="Segoe UI"/>
          <w:szCs w:val="24"/>
        </w:rPr>
        <w:t>active ageing</w:t>
      </w:r>
      <w:r w:rsidRPr="00D26D22">
        <w:rPr>
          <w:rFonts w:cs="Segoe UI"/>
          <w:szCs w:val="24"/>
        </w:rPr>
        <w:t xml:space="preserve"> to Aotearoa</w:t>
      </w:r>
      <w:r>
        <w:rPr>
          <w:rFonts w:cs="Segoe UI"/>
          <w:szCs w:val="24"/>
        </w:rPr>
        <w:t xml:space="preserve"> New Zealand </w:t>
      </w:r>
      <w:r w:rsidRPr="00D26D22">
        <w:rPr>
          <w:rFonts w:cs="Segoe UI"/>
          <w:szCs w:val="24"/>
        </w:rPr>
        <w:t xml:space="preserve">by profiling the opportunities and challenges of </w:t>
      </w:r>
      <w:r>
        <w:rPr>
          <w:rFonts w:cs="Segoe UI"/>
          <w:szCs w:val="24"/>
        </w:rPr>
        <w:t>active ageing</w:t>
      </w:r>
      <w:r w:rsidRPr="00D26D22">
        <w:rPr>
          <w:rFonts w:cs="Segoe UI"/>
          <w:szCs w:val="24"/>
        </w:rPr>
        <w:t>.</w:t>
      </w:r>
    </w:p>
    <w:p w14:paraId="18BA9FA4" w14:textId="77777777" w:rsidR="00F14D9B" w:rsidRPr="00D36835" w:rsidRDefault="00F14D9B" w:rsidP="00D36835">
      <w:pPr>
        <w:pStyle w:val="Heading2"/>
      </w:pPr>
      <w:bookmarkStart w:id="46" w:name="_Toc180663967"/>
      <w:bookmarkStart w:id="47" w:name="_Toc181273813"/>
      <w:bookmarkStart w:id="48" w:name="_Toc181362041"/>
      <w:bookmarkStart w:id="49" w:name="_Toc181362220"/>
      <w:r w:rsidRPr="00D36835">
        <w:t>Using focus areas to identify opportunities and challenges</w:t>
      </w:r>
      <w:r w:rsidRPr="00D36835" w:rsidDel="00F64587">
        <w:t xml:space="preserve"> </w:t>
      </w:r>
      <w:r w:rsidRPr="00D36835">
        <w:t xml:space="preserve">within active </w:t>
      </w:r>
      <w:proofErr w:type="gramStart"/>
      <w:r w:rsidRPr="00D36835">
        <w:t>ageing</w:t>
      </w:r>
      <w:bookmarkEnd w:id="46"/>
      <w:bookmarkEnd w:id="47"/>
      <w:bookmarkEnd w:id="48"/>
      <w:bookmarkEnd w:id="49"/>
      <w:proofErr w:type="gramEnd"/>
    </w:p>
    <w:p w14:paraId="553573ED" w14:textId="77777777" w:rsidR="00F14D9B" w:rsidRPr="00FC66FD" w:rsidRDefault="00F14D9B" w:rsidP="00D36835">
      <w:r>
        <w:t xml:space="preserve">To develop insights into </w:t>
      </w:r>
      <w:r w:rsidRPr="00377660">
        <w:t>th</w:t>
      </w:r>
      <w:r>
        <w:t xml:space="preserve">e opportunities and challenges within </w:t>
      </w:r>
      <w:r w:rsidRPr="00377660">
        <w:t>th</w:t>
      </w:r>
      <w:r>
        <w:t>e topic of unlocking the potential of active ageing</w:t>
      </w:r>
      <w:r w:rsidRPr="00377660">
        <w:t xml:space="preserve">, we could </w:t>
      </w:r>
      <w:r>
        <w:t>explore</w:t>
      </w:r>
      <w:r w:rsidRPr="00377660">
        <w:t>:</w:t>
      </w:r>
    </w:p>
    <w:p w14:paraId="7EAD32DF" w14:textId="77777777" w:rsidR="00F14D9B" w:rsidRDefault="00F14D9B" w:rsidP="00D36835">
      <w:pPr>
        <w:pStyle w:val="Bullet"/>
      </w:pPr>
      <w:r>
        <w:t>h</w:t>
      </w:r>
      <w:r w:rsidRPr="31873662">
        <w:t xml:space="preserve">ow further enabling ‘active ageing’ could improve the </w:t>
      </w:r>
      <w:r w:rsidRPr="6E86D948">
        <w:t>health and</w:t>
      </w:r>
      <w:r w:rsidRPr="650EF2AD">
        <w:t xml:space="preserve"> </w:t>
      </w:r>
      <w:r w:rsidRPr="31873662">
        <w:t xml:space="preserve">wellbeing </w:t>
      </w:r>
      <w:r w:rsidRPr="2B882DE3">
        <w:t xml:space="preserve">of </w:t>
      </w:r>
      <w:r w:rsidRPr="650EF2AD">
        <w:t>New</w:t>
      </w:r>
      <w:r w:rsidRPr="2B882DE3">
        <w:t xml:space="preserve"> Zealanders</w:t>
      </w:r>
    </w:p>
    <w:p w14:paraId="558584CE" w14:textId="77777777" w:rsidR="00F14D9B" w:rsidRPr="00377660" w:rsidRDefault="00F14D9B" w:rsidP="00D36835">
      <w:pPr>
        <w:pStyle w:val="Bullet"/>
      </w:pPr>
      <w:r>
        <w:t>t</w:t>
      </w:r>
      <w:r w:rsidRPr="00377660">
        <w:t xml:space="preserve">he benefits of an active ageing society </w:t>
      </w:r>
      <w:r>
        <w:t>for</w:t>
      </w:r>
      <w:r w:rsidRPr="00377660">
        <w:t xml:space="preserve"> </w:t>
      </w:r>
      <w:r>
        <w:t xml:space="preserve">Aotearoa </w:t>
      </w:r>
      <w:r w:rsidRPr="00377660">
        <w:t>New Zealand</w:t>
      </w:r>
    </w:p>
    <w:p w14:paraId="7E44ACF9" w14:textId="77777777" w:rsidR="00F14D9B" w:rsidRDefault="00F14D9B" w:rsidP="00D36835">
      <w:pPr>
        <w:pStyle w:val="Bullet"/>
      </w:pPr>
      <w:r>
        <w:t>t</w:t>
      </w:r>
      <w:r w:rsidRPr="00377660">
        <w:t xml:space="preserve">he impact of active ageing on </w:t>
      </w:r>
      <w:r>
        <w:t>health needs.</w:t>
      </w:r>
    </w:p>
    <w:p w14:paraId="6A75A637" w14:textId="77777777" w:rsidR="00D36835" w:rsidRDefault="00D36835" w:rsidP="00D36835"/>
    <w:p w14:paraId="2BACBA01" w14:textId="392F6655" w:rsidR="00F14D9B" w:rsidRPr="00FC66FD" w:rsidRDefault="00F14D9B" w:rsidP="00D36835">
      <w:r>
        <w:t xml:space="preserve">We could also look at </w:t>
      </w:r>
      <w:r w:rsidRPr="00FC66FD">
        <w:t xml:space="preserve">focus areas </w:t>
      </w:r>
      <w:r>
        <w:t>that impact active ageing, such as</w:t>
      </w:r>
      <w:r w:rsidRPr="00FC66FD">
        <w:t>:</w:t>
      </w:r>
    </w:p>
    <w:p w14:paraId="1C68816C" w14:textId="77777777" w:rsidR="00F14D9B" w:rsidRPr="00221667" w:rsidRDefault="00F14D9B" w:rsidP="00D36835">
      <w:pPr>
        <w:pStyle w:val="Bullet"/>
      </w:pPr>
      <w:r w:rsidRPr="00221667">
        <w:t xml:space="preserve">social connectedness, including marae-based positive </w:t>
      </w:r>
      <w:proofErr w:type="gramStart"/>
      <w:r w:rsidRPr="00221667">
        <w:t>ageing</w:t>
      </w:r>
      <w:proofErr w:type="gramEnd"/>
    </w:p>
    <w:p w14:paraId="7039C387" w14:textId="77777777" w:rsidR="00F14D9B" w:rsidRDefault="00F14D9B" w:rsidP="00D36835">
      <w:pPr>
        <w:pStyle w:val="Bullet"/>
      </w:pPr>
      <w:r w:rsidRPr="00221667">
        <w:t>age-friendly housing</w:t>
      </w:r>
      <w:r>
        <w:t xml:space="preserve"> and urban development</w:t>
      </w:r>
    </w:p>
    <w:p w14:paraId="730F1431" w14:textId="77777777" w:rsidR="00F14D9B" w:rsidRPr="00221667" w:rsidRDefault="00F14D9B" w:rsidP="00D36835">
      <w:pPr>
        <w:pStyle w:val="Bullet"/>
      </w:pPr>
      <w:r w:rsidRPr="00221667">
        <w:t>age-friendly neighbourhoods</w:t>
      </w:r>
      <w:r>
        <w:t xml:space="preserve"> and </w:t>
      </w:r>
      <w:r w:rsidRPr="00221667">
        <w:t>environments</w:t>
      </w:r>
    </w:p>
    <w:p w14:paraId="24868946" w14:textId="77777777" w:rsidR="00F14D9B" w:rsidRPr="00221667" w:rsidRDefault="00F14D9B" w:rsidP="00D36835">
      <w:pPr>
        <w:pStyle w:val="Bullet"/>
      </w:pPr>
      <w:r w:rsidRPr="00221667">
        <w:t>age-friendly transportation</w:t>
      </w:r>
    </w:p>
    <w:p w14:paraId="584D0471" w14:textId="77777777" w:rsidR="00F14D9B" w:rsidRDefault="00F14D9B" w:rsidP="00D36835">
      <w:pPr>
        <w:pStyle w:val="Bullet"/>
      </w:pPr>
      <w:r w:rsidRPr="00377660">
        <w:t>supporting health</w:t>
      </w:r>
      <w:r>
        <w:t>-</w:t>
      </w:r>
      <w:r w:rsidRPr="00377660">
        <w:t xml:space="preserve">protective factors and </w:t>
      </w:r>
      <w:r w:rsidRPr="00221667">
        <w:t>behaviours</w:t>
      </w:r>
      <w:r w:rsidRPr="00377660">
        <w:t xml:space="preserve"> </w:t>
      </w:r>
    </w:p>
    <w:p w14:paraId="1DB03DDE" w14:textId="77777777" w:rsidR="00F14D9B" w:rsidRPr="00B91C6F" w:rsidRDefault="00F14D9B" w:rsidP="00D36835">
      <w:pPr>
        <w:pStyle w:val="Bullet"/>
      </w:pPr>
      <w:r>
        <w:t>supporting active ageing in the health workforce so that older workers can continue to contribute to it.</w:t>
      </w:r>
    </w:p>
    <w:p w14:paraId="6196FF27" w14:textId="77777777" w:rsidR="00D36835" w:rsidRDefault="00D36835" w:rsidP="00D36835"/>
    <w:p w14:paraId="0D4226D2" w14:textId="3E7675EE" w:rsidR="00F14D9B" w:rsidRPr="00D26D22" w:rsidRDefault="00F14D9B" w:rsidP="00D36835">
      <w:r w:rsidRPr="00D26D22">
        <w:t>The</w:t>
      </w:r>
      <w:r>
        <w:t xml:space="preserve"> following are</w:t>
      </w:r>
      <w:r w:rsidRPr="00D26D22">
        <w:t xml:space="preserve"> </w:t>
      </w:r>
      <w:r>
        <w:t xml:space="preserve">focus areas </w:t>
      </w:r>
      <w:r w:rsidRPr="00D26D22">
        <w:t xml:space="preserve">we might </w:t>
      </w:r>
      <w:r>
        <w:t>explore further.</w:t>
      </w:r>
    </w:p>
    <w:p w14:paraId="3DD81078" w14:textId="77777777" w:rsidR="00F14D9B" w:rsidRPr="00D36835" w:rsidRDefault="00F14D9B" w:rsidP="00D36835">
      <w:pPr>
        <w:pStyle w:val="Bullet"/>
      </w:pPr>
      <w:r w:rsidRPr="00D36835">
        <w:rPr>
          <w:b/>
          <w:bCs/>
        </w:rPr>
        <w:t xml:space="preserve">Social connectedness, including </w:t>
      </w:r>
      <w:bookmarkStart w:id="50" w:name="_Hlk179187401"/>
      <w:r w:rsidRPr="00D36835">
        <w:rPr>
          <w:b/>
          <w:bCs/>
        </w:rPr>
        <w:t>marae-based positive ageing</w:t>
      </w:r>
      <w:bookmarkEnd w:id="50"/>
      <w:r w:rsidRPr="00D36835" w:rsidDel="00694641">
        <w:rPr>
          <w:b/>
          <w:bCs/>
        </w:rPr>
        <w:t>.</w:t>
      </w:r>
      <w:r w:rsidRPr="00D36835">
        <w:t xml:space="preserve"> Older people’s social connectedness and participation in social activities help to protect their health </w:t>
      </w:r>
      <w:r w:rsidRPr="00D36835">
        <w:lastRenderedPageBreak/>
        <w:t>and wellbeing and to prevent social isolation, as well as supporting them to overcome barriers. Community or cultural connections, such as through marae activities, offer one example of this enabler. Intergenerational connections within communities can be mutually enriching and fulfilling for all ages:</w:t>
      </w:r>
      <w:r w:rsidRPr="00D36835" w:rsidDel="00567182">
        <w:t xml:space="preserve"> </w:t>
      </w:r>
      <w:r w:rsidRPr="00D36835">
        <w:t xml:space="preserve">older people pass on knowledge, traditions and experience, while young people may help older people </w:t>
      </w:r>
      <w:r w:rsidRPr="00D36835" w:rsidDel="00FB7731">
        <w:t>with</w:t>
      </w:r>
      <w:r w:rsidRPr="00D36835">
        <w:t xml:space="preserve"> the</w:t>
      </w:r>
      <w:r w:rsidRPr="00D36835" w:rsidDel="00FB7731">
        <w:t xml:space="preserve"> </w:t>
      </w:r>
      <w:r w:rsidRPr="00D36835">
        <w:t>barriers they face, such as with transport needs or using emerging technology.</w:t>
      </w:r>
    </w:p>
    <w:p w14:paraId="24FC9EB1" w14:textId="77777777" w:rsidR="00F14D9B" w:rsidRPr="00480510" w:rsidRDefault="00F14D9B" w:rsidP="00F14D9B">
      <w:pPr>
        <w:pStyle w:val="Bullet"/>
        <w:rPr>
          <w:rFonts w:cs="Segoe UI"/>
          <w:b/>
        </w:rPr>
      </w:pPr>
      <w:r w:rsidRPr="50938C39">
        <w:rPr>
          <w:rFonts w:cs="Segoe UI"/>
          <w:b/>
        </w:rPr>
        <w:t>Age-friendly housing</w:t>
      </w:r>
      <w:r>
        <w:rPr>
          <w:rFonts w:cs="Segoe UI"/>
          <w:b/>
        </w:rPr>
        <w:t xml:space="preserve"> and </w:t>
      </w:r>
      <w:r w:rsidRPr="50938C39">
        <w:rPr>
          <w:rFonts w:cs="Segoe UI"/>
          <w:b/>
          <w:bCs/>
        </w:rPr>
        <w:t>urban development</w:t>
      </w:r>
      <w:r>
        <w:rPr>
          <w:rFonts w:cs="Segoe UI"/>
          <w:b/>
        </w:rPr>
        <w:t>.</w:t>
      </w:r>
      <w:r w:rsidRPr="50938C39">
        <w:rPr>
          <w:rFonts w:cs="Segoe UI"/>
          <w:b/>
        </w:rPr>
        <w:t xml:space="preserve"> </w:t>
      </w:r>
      <w:r w:rsidRPr="50938C39">
        <w:rPr>
          <w:rFonts w:cs="Segoe UI"/>
        </w:rPr>
        <w:t xml:space="preserve">Housing conditions of older people are often linked to their quality of life and whether they are able to age </w:t>
      </w:r>
      <w:r>
        <w:rPr>
          <w:rFonts w:cs="Segoe UI"/>
        </w:rPr>
        <w:t>while living in their own homes or with family</w:t>
      </w:r>
      <w:r w:rsidRPr="50938C39">
        <w:rPr>
          <w:rFonts w:cs="Segoe UI"/>
        </w:rPr>
        <w:t xml:space="preserve">. </w:t>
      </w:r>
      <w:r>
        <w:rPr>
          <w:rFonts w:cs="Segoe UI"/>
        </w:rPr>
        <w:t>Having appropriately designed</w:t>
      </w:r>
      <w:r w:rsidRPr="50938C39">
        <w:rPr>
          <w:rFonts w:cs="Segoe UI"/>
        </w:rPr>
        <w:t xml:space="preserve"> housing </w:t>
      </w:r>
      <w:r>
        <w:rPr>
          <w:rFonts w:cs="Segoe UI"/>
        </w:rPr>
        <w:t xml:space="preserve">that is close </w:t>
      </w:r>
      <w:r w:rsidRPr="50938C39">
        <w:rPr>
          <w:rFonts w:cs="Segoe UI"/>
        </w:rPr>
        <w:t>to</w:t>
      </w:r>
      <w:r>
        <w:rPr>
          <w:rFonts w:cs="Segoe UI"/>
        </w:rPr>
        <w:t xml:space="preserve"> their</w:t>
      </w:r>
      <w:r w:rsidRPr="50938C39">
        <w:rPr>
          <w:rFonts w:cs="Segoe UI"/>
        </w:rPr>
        <w:t xml:space="preserve"> community and social services allow</w:t>
      </w:r>
      <w:r>
        <w:rPr>
          <w:rFonts w:cs="Segoe UI"/>
        </w:rPr>
        <w:t>s</w:t>
      </w:r>
      <w:r w:rsidRPr="50938C39">
        <w:rPr>
          <w:rFonts w:cs="Segoe UI"/>
        </w:rPr>
        <w:t xml:space="preserve"> older residents to live comfortably and safely</w:t>
      </w:r>
      <w:r>
        <w:rPr>
          <w:rFonts w:cs="Segoe UI"/>
        </w:rPr>
        <w:t xml:space="preserve">. Housing that facilitates community connections or inter-generational living, including </w:t>
      </w:r>
      <w:r w:rsidRPr="00B4603A">
        <w:rPr>
          <w:rFonts w:cs="Segoe UI"/>
        </w:rPr>
        <w:t>papak</w:t>
      </w:r>
      <w:r>
        <w:rPr>
          <w:rFonts w:cs="Segoe UI"/>
        </w:rPr>
        <w:t>ā</w:t>
      </w:r>
      <w:r w:rsidRPr="00B4603A">
        <w:rPr>
          <w:rFonts w:cs="Segoe UI"/>
        </w:rPr>
        <w:t xml:space="preserve">inga </w:t>
      </w:r>
      <w:r>
        <w:rPr>
          <w:rFonts w:cs="Segoe UI"/>
        </w:rPr>
        <w:t>housing,</w:t>
      </w:r>
      <w:r w:rsidRPr="00B4603A">
        <w:rPr>
          <w:rFonts w:cs="Segoe UI"/>
        </w:rPr>
        <w:t xml:space="preserve"> </w:t>
      </w:r>
      <w:r>
        <w:rPr>
          <w:rFonts w:cs="Segoe UI"/>
        </w:rPr>
        <w:t xml:space="preserve">can be another important enabler. </w:t>
      </w:r>
    </w:p>
    <w:p w14:paraId="0A60B0A4" w14:textId="77777777" w:rsidR="00F14D9B" w:rsidRPr="00056EBE" w:rsidRDefault="00F14D9B" w:rsidP="00F14D9B">
      <w:pPr>
        <w:pStyle w:val="Bullet"/>
        <w:tabs>
          <w:tab w:val="num" w:pos="284"/>
        </w:tabs>
        <w:rPr>
          <w:rFonts w:cs="Segoe UI"/>
          <w:b/>
          <w:szCs w:val="24"/>
        </w:rPr>
      </w:pPr>
      <w:r>
        <w:rPr>
          <w:rFonts w:cs="Segoe UI"/>
          <w:b/>
          <w:bCs/>
          <w:szCs w:val="24"/>
        </w:rPr>
        <w:t>Ag</w:t>
      </w:r>
      <w:r w:rsidRPr="00B17503">
        <w:rPr>
          <w:rFonts w:cs="Segoe UI"/>
          <w:b/>
          <w:bCs/>
          <w:szCs w:val="24"/>
        </w:rPr>
        <w:t>e-friendly neighbourhoods</w:t>
      </w:r>
      <w:r>
        <w:rPr>
          <w:rFonts w:cs="Segoe UI"/>
          <w:b/>
          <w:bCs/>
          <w:szCs w:val="24"/>
        </w:rPr>
        <w:t xml:space="preserve"> and </w:t>
      </w:r>
      <w:r w:rsidRPr="00B17503">
        <w:rPr>
          <w:rFonts w:cs="Segoe UI"/>
          <w:b/>
          <w:bCs/>
          <w:szCs w:val="24"/>
        </w:rPr>
        <w:t>environments</w:t>
      </w:r>
      <w:r>
        <w:rPr>
          <w:rFonts w:cs="Segoe UI"/>
          <w:b/>
          <w:bCs/>
          <w:szCs w:val="24"/>
        </w:rPr>
        <w:t xml:space="preserve">. </w:t>
      </w:r>
      <w:r w:rsidRPr="12A49BF2">
        <w:rPr>
          <w:rFonts w:cs="Segoe UI"/>
        </w:rPr>
        <w:t>The</w:t>
      </w:r>
      <w:r w:rsidRPr="12A49BF2" w:rsidDel="003747B7">
        <w:rPr>
          <w:rFonts w:cs="Segoe UI"/>
        </w:rPr>
        <w:t xml:space="preserve"> </w:t>
      </w:r>
      <w:r>
        <w:rPr>
          <w:rFonts w:cs="Segoe UI"/>
        </w:rPr>
        <w:t>built</w:t>
      </w:r>
      <w:r w:rsidRPr="12A49BF2">
        <w:rPr>
          <w:rFonts w:cs="Segoe UI"/>
        </w:rPr>
        <w:t xml:space="preserve"> environment has a major impact on the mobility, independence, and quality of life of older people as they go about their daily lives beyond the comfort of their homes. A clean</w:t>
      </w:r>
      <w:r>
        <w:rPr>
          <w:rFonts w:cs="Segoe UI"/>
        </w:rPr>
        <w:t xml:space="preserve"> and safe</w:t>
      </w:r>
      <w:r w:rsidRPr="12A49BF2">
        <w:rPr>
          <w:rFonts w:cs="Segoe UI"/>
        </w:rPr>
        <w:t xml:space="preserve"> </w:t>
      </w:r>
      <w:r>
        <w:rPr>
          <w:rFonts w:cs="Segoe UI"/>
        </w:rPr>
        <w:t>built environment</w:t>
      </w:r>
      <w:r w:rsidRPr="12A49BF2">
        <w:rPr>
          <w:rFonts w:cs="Segoe UI"/>
        </w:rPr>
        <w:t xml:space="preserve"> with well-maintained recreational areas, ample rest areas, well-developed and safe pedestrian </w:t>
      </w:r>
      <w:r>
        <w:rPr>
          <w:rFonts w:cs="Segoe UI"/>
        </w:rPr>
        <w:t xml:space="preserve">paths, and good </w:t>
      </w:r>
      <w:r w:rsidRPr="46A76980">
        <w:rPr>
          <w:rFonts w:cs="Segoe UI"/>
        </w:rPr>
        <w:t>access</w:t>
      </w:r>
      <w:r>
        <w:rPr>
          <w:rFonts w:cs="Segoe UI"/>
        </w:rPr>
        <w:t xml:space="preserve"> to key</w:t>
      </w:r>
      <w:r w:rsidRPr="5FD79A25">
        <w:rPr>
          <w:rFonts w:cs="Segoe UI"/>
        </w:rPr>
        <w:t xml:space="preserve"> </w:t>
      </w:r>
      <w:r w:rsidRPr="5673AA0E">
        <w:rPr>
          <w:rFonts w:cs="Segoe UI"/>
        </w:rPr>
        <w:t>amenit</w:t>
      </w:r>
      <w:r>
        <w:rPr>
          <w:rFonts w:cs="Segoe UI"/>
        </w:rPr>
        <w:t>ies</w:t>
      </w:r>
      <w:r w:rsidRPr="12A49BF2" w:rsidDel="00034D8B">
        <w:rPr>
          <w:rFonts w:cs="Segoe UI"/>
        </w:rPr>
        <w:t xml:space="preserve"> </w:t>
      </w:r>
      <w:r w:rsidRPr="12A49BF2">
        <w:rPr>
          <w:rFonts w:cs="Segoe UI"/>
        </w:rPr>
        <w:t>provides an ideal living environment for older people to age-in-place.</w:t>
      </w:r>
      <w:r>
        <w:rPr>
          <w:rFonts w:cs="Segoe UI"/>
        </w:rPr>
        <w:t xml:space="preserve"> </w:t>
      </w:r>
    </w:p>
    <w:p w14:paraId="3A6529DE" w14:textId="77777777" w:rsidR="00F14D9B" w:rsidRPr="00FB1A95" w:rsidRDefault="00F14D9B" w:rsidP="00F14D9B">
      <w:pPr>
        <w:pStyle w:val="Bullet"/>
        <w:tabs>
          <w:tab w:val="num" w:pos="284"/>
        </w:tabs>
        <w:rPr>
          <w:i/>
          <w:szCs w:val="24"/>
        </w:rPr>
      </w:pPr>
      <w:r>
        <w:rPr>
          <w:b/>
        </w:rPr>
        <w:t>Age-friendly transportation.</w:t>
      </w:r>
      <w:r>
        <w:rPr>
          <w:i/>
          <w:iCs/>
          <w:szCs w:val="24"/>
        </w:rPr>
        <w:t xml:space="preserve"> </w:t>
      </w:r>
      <w:r w:rsidRPr="50938C39">
        <w:t xml:space="preserve">Driving can be an essential transportation option for older people, particularly in suburban and rural areas. Poor road conditions, heavy traffic, </w:t>
      </w:r>
      <w:r w:rsidRPr="7777B4FE">
        <w:t>inadequate accessible parking, inadequate</w:t>
      </w:r>
      <w:r w:rsidRPr="50938C39">
        <w:t xml:space="preserve"> street lighting and poorly positioned signage are some barriers to driving, particularly as older people may face vision difficulties. </w:t>
      </w:r>
      <w:r>
        <w:t>In addition, drivers need to m</w:t>
      </w:r>
      <w:r w:rsidRPr="50938C39">
        <w:t>aintain</w:t>
      </w:r>
      <w:r>
        <w:t xml:space="preserve"> their</w:t>
      </w:r>
      <w:r w:rsidRPr="50938C39">
        <w:t xml:space="preserve"> confidence as </w:t>
      </w:r>
      <w:r>
        <w:t xml:space="preserve">they </w:t>
      </w:r>
      <w:r w:rsidRPr="50938C39">
        <w:t>age</w:t>
      </w:r>
      <w:r>
        <w:t xml:space="preserve"> so that everyone on the road can have</w:t>
      </w:r>
      <w:r w:rsidRPr="50938C39">
        <w:t xml:space="preserve"> a safe driving experience</w:t>
      </w:r>
      <w:r>
        <w:rPr>
          <w:szCs w:val="24"/>
        </w:rPr>
        <w:t>.</w:t>
      </w:r>
    </w:p>
    <w:p w14:paraId="5603FC85" w14:textId="77777777" w:rsidR="00F14D9B" w:rsidRPr="00864AAD" w:rsidRDefault="00F14D9B" w:rsidP="00F14D9B">
      <w:pPr>
        <w:pStyle w:val="Bullet"/>
        <w:numPr>
          <w:ilvl w:val="0"/>
          <w:numId w:val="0"/>
        </w:numPr>
        <w:ind w:left="284"/>
        <w:rPr>
          <w:i/>
          <w:szCs w:val="24"/>
        </w:rPr>
      </w:pPr>
      <w:r>
        <w:rPr>
          <w:szCs w:val="24"/>
        </w:rPr>
        <w:t>Using private driving</w:t>
      </w:r>
      <w:r w:rsidDel="000E7248">
        <w:rPr>
          <w:szCs w:val="24"/>
        </w:rPr>
        <w:t xml:space="preserve"> </w:t>
      </w:r>
      <w:r>
        <w:rPr>
          <w:szCs w:val="24"/>
        </w:rPr>
        <w:t xml:space="preserve">services or more automated vehicles are other options that could provide greater mobility for older people to participate in activities. </w:t>
      </w:r>
    </w:p>
    <w:p w14:paraId="71FB501B" w14:textId="77777777" w:rsidR="00F14D9B" w:rsidRPr="00133FAF" w:rsidRDefault="00F14D9B" w:rsidP="00F14D9B">
      <w:pPr>
        <w:pStyle w:val="Bullet"/>
        <w:numPr>
          <w:ilvl w:val="0"/>
          <w:numId w:val="0"/>
        </w:numPr>
        <w:ind w:left="284"/>
      </w:pPr>
      <w:r>
        <w:t>Affordable and accessible</w:t>
      </w:r>
      <w:r w:rsidRPr="00A70244">
        <w:t xml:space="preserve"> public transport is </w:t>
      </w:r>
      <w:r>
        <w:t>essential</w:t>
      </w:r>
      <w:r w:rsidRPr="00A70244">
        <w:t xml:space="preserve"> to </w:t>
      </w:r>
      <w:r>
        <w:t>enable</w:t>
      </w:r>
      <w:r w:rsidRPr="00A70244">
        <w:t xml:space="preserve"> </w:t>
      </w:r>
      <w:r>
        <w:t>older people</w:t>
      </w:r>
      <w:r w:rsidRPr="00A70244">
        <w:t xml:space="preserve"> to age actively and remain engaged with their community, with access to health</w:t>
      </w:r>
      <w:r>
        <w:t>,</w:t>
      </w:r>
      <w:r w:rsidRPr="00A70244">
        <w:t xml:space="preserve"> social </w:t>
      </w:r>
      <w:r>
        <w:t xml:space="preserve">and other </w:t>
      </w:r>
      <w:r w:rsidRPr="00A70244">
        <w:t xml:space="preserve">facilities. </w:t>
      </w:r>
    </w:p>
    <w:p w14:paraId="513D1B30" w14:textId="77777777" w:rsidR="00F14D9B" w:rsidRPr="00800759" w:rsidRDefault="00F14D9B" w:rsidP="00F14D9B">
      <w:pPr>
        <w:pStyle w:val="Bullet"/>
        <w:rPr>
          <w:rFonts w:cs="Segoe UI"/>
          <w:b/>
        </w:rPr>
      </w:pPr>
      <w:r w:rsidRPr="702D2652">
        <w:rPr>
          <w:rFonts w:cs="Segoe UI"/>
          <w:b/>
        </w:rPr>
        <w:t>Supporting health</w:t>
      </w:r>
      <w:r>
        <w:rPr>
          <w:rFonts w:cs="Segoe UI"/>
          <w:b/>
        </w:rPr>
        <w:t>-</w:t>
      </w:r>
      <w:r w:rsidRPr="702D2652">
        <w:rPr>
          <w:rFonts w:cs="Segoe UI"/>
          <w:b/>
        </w:rPr>
        <w:t>protective factors and behaviours</w:t>
      </w:r>
      <w:r>
        <w:rPr>
          <w:rFonts w:cs="Segoe UI"/>
          <w:b/>
        </w:rPr>
        <w:t>.</w:t>
      </w:r>
      <w:r w:rsidRPr="702D2652">
        <w:rPr>
          <w:rFonts w:cs="Segoe UI"/>
          <w:b/>
        </w:rPr>
        <w:t xml:space="preserve"> </w:t>
      </w:r>
      <w:r w:rsidRPr="702D2652">
        <w:rPr>
          <w:rFonts w:cs="Segoe UI"/>
        </w:rPr>
        <w:t xml:space="preserve">Health behaviour is </w:t>
      </w:r>
      <w:r>
        <w:rPr>
          <w:rFonts w:cs="Segoe UI"/>
        </w:rPr>
        <w:t>a person’s actions that</w:t>
      </w:r>
      <w:r w:rsidRPr="702D2652">
        <w:rPr>
          <w:rFonts w:cs="Segoe UI"/>
        </w:rPr>
        <w:t xml:space="preserve"> positively or negatively affect their own health. </w:t>
      </w:r>
      <w:r w:rsidRPr="00735020">
        <w:rPr>
          <w:rFonts w:cs="Segoe UI"/>
        </w:rPr>
        <w:t>These life</w:t>
      </w:r>
      <w:r>
        <w:rPr>
          <w:rFonts w:cs="Segoe UI"/>
        </w:rPr>
        <w:t>-</w:t>
      </w:r>
      <w:r w:rsidRPr="00735020">
        <w:rPr>
          <w:rFonts w:cs="Segoe UI"/>
        </w:rPr>
        <w:t>course behaviours</w:t>
      </w:r>
      <w:r>
        <w:rPr>
          <w:rFonts w:cs="Segoe UI"/>
        </w:rPr>
        <w:t xml:space="preserve"> can support</w:t>
      </w:r>
      <w:r w:rsidRPr="00735020" w:rsidDel="002E75B8">
        <w:rPr>
          <w:rFonts w:cs="Segoe UI"/>
        </w:rPr>
        <w:t xml:space="preserve"> </w:t>
      </w:r>
      <w:r w:rsidRPr="00735020">
        <w:rPr>
          <w:rFonts w:cs="Segoe UI"/>
        </w:rPr>
        <w:t>individuals to age actively</w:t>
      </w:r>
      <w:r>
        <w:rPr>
          <w:rFonts w:cs="Segoe UI"/>
        </w:rPr>
        <w:t xml:space="preserve"> or make active ageing more difficult</w:t>
      </w:r>
      <w:r w:rsidRPr="00735020">
        <w:rPr>
          <w:rFonts w:cs="Segoe UI"/>
        </w:rPr>
        <w:t>.</w:t>
      </w:r>
      <w:r>
        <w:rPr>
          <w:rFonts w:cs="Segoe UI"/>
        </w:rPr>
        <w:t xml:space="preserve"> </w:t>
      </w:r>
      <w:r w:rsidRPr="702D2652">
        <w:rPr>
          <w:rFonts w:cs="Segoe UI"/>
        </w:rPr>
        <w:t xml:space="preserve">For example, </w:t>
      </w:r>
      <w:r>
        <w:rPr>
          <w:rFonts w:cs="Segoe UI"/>
        </w:rPr>
        <w:t xml:space="preserve">following </w:t>
      </w:r>
      <w:r w:rsidRPr="702D2652">
        <w:rPr>
          <w:rFonts w:cs="Segoe UI"/>
        </w:rPr>
        <w:t>a healthy diet and</w:t>
      </w:r>
      <w:r>
        <w:rPr>
          <w:rFonts w:cs="Segoe UI"/>
        </w:rPr>
        <w:t xml:space="preserve"> getting</w:t>
      </w:r>
      <w:r w:rsidRPr="702D2652">
        <w:rPr>
          <w:rFonts w:cs="Segoe UI"/>
        </w:rPr>
        <w:t xml:space="preserve"> </w:t>
      </w:r>
      <w:r w:rsidRPr="46F3637B">
        <w:rPr>
          <w:rFonts w:cs="Segoe UI"/>
        </w:rPr>
        <w:t>regular physical activity are</w:t>
      </w:r>
      <w:r w:rsidRPr="702D2652">
        <w:rPr>
          <w:rFonts w:cs="Segoe UI"/>
        </w:rPr>
        <w:t xml:space="preserve"> positive health behaviours, </w:t>
      </w:r>
      <w:r>
        <w:rPr>
          <w:rFonts w:cs="Segoe UI"/>
        </w:rPr>
        <w:t>supporting their ability to contribute as they age. N</w:t>
      </w:r>
      <w:r w:rsidRPr="702D2652">
        <w:rPr>
          <w:rFonts w:cs="Segoe UI"/>
        </w:rPr>
        <w:t xml:space="preserve">egative health behaviours </w:t>
      </w:r>
      <w:r>
        <w:rPr>
          <w:rFonts w:cs="Segoe UI"/>
        </w:rPr>
        <w:t>with the opposite impact include</w:t>
      </w:r>
      <w:r w:rsidRPr="702D2652">
        <w:rPr>
          <w:rFonts w:cs="Segoe UI"/>
        </w:rPr>
        <w:t xml:space="preserve"> smoking,</w:t>
      </w:r>
      <w:r>
        <w:rPr>
          <w:rFonts w:cs="Segoe UI"/>
        </w:rPr>
        <w:t xml:space="preserve"> using</w:t>
      </w:r>
      <w:r w:rsidRPr="702D2652">
        <w:rPr>
          <w:rFonts w:cs="Segoe UI"/>
        </w:rPr>
        <w:t xml:space="preserve"> alcohol </w:t>
      </w:r>
      <w:r w:rsidRPr="32E97E5B">
        <w:rPr>
          <w:rFonts w:cs="Segoe UI"/>
        </w:rPr>
        <w:t>and drug</w:t>
      </w:r>
      <w:r>
        <w:rPr>
          <w:rFonts w:cs="Segoe UI"/>
        </w:rPr>
        <w:t>s</w:t>
      </w:r>
      <w:r w:rsidRPr="702D2652">
        <w:rPr>
          <w:rFonts w:cs="Segoe UI"/>
        </w:rPr>
        <w:t xml:space="preserve">, </w:t>
      </w:r>
      <w:r w:rsidRPr="335EF4B2">
        <w:rPr>
          <w:rFonts w:cs="Segoe UI"/>
        </w:rPr>
        <w:t xml:space="preserve">gambling, </w:t>
      </w:r>
      <w:r>
        <w:rPr>
          <w:rFonts w:cs="Segoe UI"/>
        </w:rPr>
        <w:t xml:space="preserve">having </w:t>
      </w:r>
      <w:r w:rsidRPr="335EF4B2">
        <w:rPr>
          <w:rFonts w:cs="Segoe UI"/>
        </w:rPr>
        <w:t xml:space="preserve">poor sleep </w:t>
      </w:r>
      <w:r w:rsidRPr="4F4BCBE8">
        <w:rPr>
          <w:rFonts w:cs="Segoe UI"/>
        </w:rPr>
        <w:t>habits</w:t>
      </w:r>
      <w:r w:rsidRPr="335EF4B2">
        <w:rPr>
          <w:rFonts w:cs="Segoe UI"/>
        </w:rPr>
        <w:t xml:space="preserve"> and</w:t>
      </w:r>
      <w:r w:rsidRPr="702D2652">
        <w:rPr>
          <w:rFonts w:cs="Segoe UI"/>
        </w:rPr>
        <w:t xml:space="preserve"> </w:t>
      </w:r>
      <w:r>
        <w:rPr>
          <w:rFonts w:cs="Segoe UI"/>
        </w:rPr>
        <w:t xml:space="preserve">following a </w:t>
      </w:r>
      <w:r w:rsidRPr="702D2652">
        <w:rPr>
          <w:rFonts w:cs="Segoe UI"/>
        </w:rPr>
        <w:t>sedentary lifestyle.</w:t>
      </w:r>
      <w:r>
        <w:rPr>
          <w:rFonts w:cs="Segoe UI"/>
        </w:rPr>
        <w:t xml:space="preserve"> </w:t>
      </w:r>
    </w:p>
    <w:p w14:paraId="3048D230" w14:textId="77777777" w:rsidR="00F14D9B" w:rsidRPr="0086645D" w:rsidRDefault="00F14D9B" w:rsidP="00F14D9B">
      <w:pPr>
        <w:pStyle w:val="Bullet"/>
        <w:rPr>
          <w:rFonts w:cs="Segoe UI"/>
          <w:b/>
        </w:rPr>
      </w:pPr>
      <w:r w:rsidRPr="0006395D">
        <w:rPr>
          <w:rFonts w:cs="Segoe UI"/>
          <w:b/>
          <w:bCs/>
          <w:szCs w:val="21"/>
        </w:rPr>
        <w:t xml:space="preserve">Supporting active ageing </w:t>
      </w:r>
      <w:r w:rsidRPr="001614F4">
        <w:rPr>
          <w:rFonts w:cs="Segoe UI"/>
          <w:b/>
          <w:bCs/>
          <w:szCs w:val="21"/>
        </w:rPr>
        <w:t>in</w:t>
      </w:r>
      <w:r w:rsidRPr="001614F4">
        <w:rPr>
          <w:rFonts w:cs="Segoe UI"/>
          <w:b/>
          <w:szCs w:val="21"/>
        </w:rPr>
        <w:t xml:space="preserve"> the health workforce so that older workers can continue to contribute to it</w:t>
      </w:r>
      <w:r>
        <w:rPr>
          <w:rFonts w:cs="Segoe UI"/>
          <w:szCs w:val="21"/>
        </w:rPr>
        <w:t>. Older people who have worked in the health workforce have significant skills and experiences. Enabling them to continue to contribute</w:t>
      </w:r>
      <w:r w:rsidDel="00FA28FC">
        <w:rPr>
          <w:rFonts w:cs="Segoe UI"/>
          <w:szCs w:val="21"/>
        </w:rPr>
        <w:t xml:space="preserve"> </w:t>
      </w:r>
      <w:r>
        <w:rPr>
          <w:rFonts w:cs="Segoe UI"/>
          <w:szCs w:val="21"/>
        </w:rPr>
        <w:t xml:space="preserve">can benefit both the individuals and the health system. In exploring this factor, we could look at how people in </w:t>
      </w:r>
      <w:r w:rsidDel="00EC2B4E">
        <w:rPr>
          <w:rFonts w:cs="Segoe UI"/>
          <w:szCs w:val="21"/>
        </w:rPr>
        <w:t xml:space="preserve">the </w:t>
      </w:r>
      <w:r>
        <w:rPr>
          <w:rFonts w:cs="Segoe UI"/>
          <w:szCs w:val="21"/>
        </w:rPr>
        <w:t>health workforce may be interested in contributing to the health sector in their older years (for example, part-time work, mentorship, skill-sharing and volunteering), the support or workplace adaptations they would need, and potential barriers to their participation that exist in the health sector, such as professional registration.</w:t>
      </w:r>
    </w:p>
    <w:p w14:paraId="74B4356E" w14:textId="77777777" w:rsidR="00F14D9B" w:rsidRDefault="00F14D9B" w:rsidP="00F14D9B">
      <w:pPr>
        <w:pStyle w:val="Bullet"/>
        <w:numPr>
          <w:ilvl w:val="0"/>
          <w:numId w:val="0"/>
        </w:numPr>
        <w:rPr>
          <w:rFonts w:cs="Segoe UI"/>
          <w:szCs w:val="24"/>
        </w:rPr>
      </w:pPr>
      <w:r w:rsidRPr="00136C58">
        <w:rPr>
          <w:rFonts w:cs="Segoe UI"/>
          <w:szCs w:val="24"/>
        </w:rPr>
        <w:lastRenderedPageBreak/>
        <w:t>We are seeking your feedback on which of these areas</w:t>
      </w:r>
      <w:r>
        <w:rPr>
          <w:rFonts w:cs="Segoe UI"/>
          <w:szCs w:val="24"/>
        </w:rPr>
        <w:t xml:space="preserve">, </w:t>
      </w:r>
      <w:r w:rsidRPr="00136C58">
        <w:rPr>
          <w:rFonts w:cs="Segoe UI"/>
          <w:szCs w:val="24"/>
        </w:rPr>
        <w:t>or others</w:t>
      </w:r>
      <w:r>
        <w:rPr>
          <w:rFonts w:cs="Segoe UI"/>
          <w:szCs w:val="24"/>
        </w:rPr>
        <w:t>,</w:t>
      </w:r>
      <w:r w:rsidRPr="00136C58">
        <w:rPr>
          <w:rFonts w:cs="Segoe UI"/>
          <w:szCs w:val="24"/>
        </w:rPr>
        <w:t xml:space="preserve"> the </w:t>
      </w:r>
      <w:r>
        <w:rPr>
          <w:rFonts w:cs="Segoe UI"/>
          <w:szCs w:val="24"/>
        </w:rPr>
        <w:t>LTIB</w:t>
      </w:r>
      <w:r w:rsidRPr="00136C58">
        <w:rPr>
          <w:rFonts w:cs="Segoe UI"/>
          <w:szCs w:val="24"/>
        </w:rPr>
        <w:t xml:space="preserve"> should consider.</w:t>
      </w:r>
    </w:p>
    <w:p w14:paraId="4072AD6E" w14:textId="77777777" w:rsidR="00F14D9B" w:rsidRDefault="00F14D9B" w:rsidP="00F14D9B">
      <w:pPr>
        <w:pStyle w:val="Bullet"/>
        <w:numPr>
          <w:ilvl w:val="0"/>
          <w:numId w:val="0"/>
        </w:numPr>
        <w:rPr>
          <w:rFonts w:cs="Segoe U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9"/>
      </w:tblGrid>
      <w:tr w:rsidR="00F14D9B" w14:paraId="577E5CBB" w14:textId="77777777" w:rsidTr="008757AB">
        <w:tc>
          <w:tcPr>
            <w:tcW w:w="8069" w:type="dxa"/>
            <w:shd w:val="clear" w:color="auto" w:fill="D9D9D9" w:themeFill="background1" w:themeFillShade="D9"/>
          </w:tcPr>
          <w:p w14:paraId="0A74212B" w14:textId="77777777" w:rsidR="00F14D9B" w:rsidRPr="00467889" w:rsidRDefault="00F14D9B" w:rsidP="008757AB">
            <w:pPr>
              <w:spacing w:before="60" w:after="60"/>
              <w:rPr>
                <w:rFonts w:cs="Segoe UI"/>
                <w:b/>
                <w:szCs w:val="21"/>
              </w:rPr>
            </w:pPr>
            <w:r w:rsidRPr="00467889">
              <w:rPr>
                <w:rFonts w:cs="Segoe UI"/>
                <w:b/>
                <w:szCs w:val="21"/>
              </w:rPr>
              <w:t xml:space="preserve">Questions for </w:t>
            </w:r>
            <w:r>
              <w:rPr>
                <w:rFonts w:cs="Segoe UI"/>
                <w:b/>
                <w:szCs w:val="21"/>
              </w:rPr>
              <w:t>feedback</w:t>
            </w:r>
            <w:r w:rsidRPr="00467889">
              <w:rPr>
                <w:rFonts w:cs="Segoe UI"/>
                <w:b/>
                <w:szCs w:val="21"/>
              </w:rPr>
              <w:t>:</w:t>
            </w:r>
          </w:p>
          <w:p w14:paraId="242917AF" w14:textId="77777777" w:rsidR="00F14D9B" w:rsidRPr="00171669" w:rsidRDefault="00F14D9B" w:rsidP="006C7E6A">
            <w:pPr>
              <w:pStyle w:val="ListParagraph"/>
              <w:numPr>
                <w:ilvl w:val="0"/>
                <w:numId w:val="7"/>
              </w:numPr>
              <w:spacing w:before="80" w:after="180"/>
              <w:ind w:left="453" w:hanging="425"/>
              <w:contextualSpacing w:val="0"/>
              <w:rPr>
                <w:rFonts w:cs="Segoe UI"/>
                <w:color w:val="000000"/>
                <w:sz w:val="21"/>
                <w:szCs w:val="21"/>
              </w:rPr>
            </w:pPr>
            <w:r w:rsidRPr="00171669">
              <w:rPr>
                <w:rFonts w:cs="Segoe UI"/>
                <w:color w:val="000000"/>
                <w:sz w:val="21"/>
                <w:szCs w:val="21"/>
              </w:rPr>
              <w:t>Do you think these</w:t>
            </w:r>
            <w:r>
              <w:rPr>
                <w:rFonts w:cs="Segoe UI"/>
                <w:color w:val="000000"/>
                <w:sz w:val="21"/>
                <w:szCs w:val="21"/>
              </w:rPr>
              <w:t xml:space="preserve"> focus</w:t>
            </w:r>
            <w:r w:rsidRPr="00171669">
              <w:rPr>
                <w:rFonts w:cs="Segoe UI"/>
                <w:color w:val="000000"/>
                <w:sz w:val="21"/>
                <w:szCs w:val="21"/>
              </w:rPr>
              <w:t xml:space="preserve"> areas are the </w:t>
            </w:r>
            <w:r w:rsidRPr="006C7E6A">
              <w:rPr>
                <w:rFonts w:cs="Segoe UI"/>
                <w:b/>
                <w:bCs/>
                <w:color w:val="000000"/>
                <w:sz w:val="21"/>
                <w:szCs w:val="21"/>
              </w:rPr>
              <w:t>most important</w:t>
            </w:r>
            <w:r w:rsidRPr="00171669">
              <w:rPr>
                <w:rFonts w:cs="Segoe UI"/>
                <w:color w:val="000000"/>
                <w:sz w:val="21"/>
                <w:szCs w:val="21"/>
              </w:rPr>
              <w:t xml:space="preserve"> for enabling or demonstrating the impact of ‘active ageing’? If not, what other areas would you propose?</w:t>
            </w:r>
          </w:p>
        </w:tc>
      </w:tr>
    </w:tbl>
    <w:p w14:paraId="29C9E1E8" w14:textId="77777777" w:rsidR="00F14D9B" w:rsidRPr="001614F4" w:rsidRDefault="00F14D9B" w:rsidP="00F14D9B">
      <w:pPr>
        <w:pStyle w:val="Heading2"/>
      </w:pPr>
      <w:bookmarkStart w:id="51" w:name="_Toc180663968"/>
      <w:bookmarkStart w:id="52" w:name="_Toc181273814"/>
      <w:bookmarkStart w:id="53" w:name="_Toc181362042"/>
      <w:bookmarkStart w:id="54" w:name="_Toc181362221"/>
      <w:r w:rsidRPr="001614F4">
        <w:t>Considering the equity of active ageing</w:t>
      </w:r>
      <w:bookmarkEnd w:id="51"/>
      <w:bookmarkEnd w:id="52"/>
      <w:bookmarkEnd w:id="53"/>
      <w:bookmarkEnd w:id="54"/>
    </w:p>
    <w:p w14:paraId="42F28E27" w14:textId="77777777" w:rsidR="00F14D9B" w:rsidRDefault="00F14D9B" w:rsidP="00F14D9B">
      <w:r w:rsidRPr="00082540">
        <w:t xml:space="preserve">Our </w:t>
      </w:r>
      <w:r>
        <w:t>LTIB</w:t>
      </w:r>
      <w:r w:rsidRPr="00082540">
        <w:t xml:space="preserve"> will need to consider what action is needed to address equity challenges so that active ageing does not perpetuate existing </w:t>
      </w:r>
      <w:r>
        <w:t>in</w:t>
      </w:r>
      <w:r w:rsidRPr="00082540">
        <w:t>equity.</w:t>
      </w:r>
      <w:r>
        <w:t xml:space="preserve"> Using a</w:t>
      </w:r>
      <w:r w:rsidRPr="00082540">
        <w:t>n equity lens</w:t>
      </w:r>
      <w:r>
        <w:t xml:space="preserve"> to develop the LTIB </w:t>
      </w:r>
      <w:r w:rsidRPr="00082540">
        <w:t>would also help</w:t>
      </w:r>
      <w:r>
        <w:t xml:space="preserve"> in</w:t>
      </w:r>
      <w:r w:rsidRPr="00082540" w:rsidDel="00140465">
        <w:t xml:space="preserve"> </w:t>
      </w:r>
      <w:r w:rsidRPr="00082540">
        <w:t>mak</w:t>
      </w:r>
      <w:r>
        <w:t>ing</w:t>
      </w:r>
      <w:r w:rsidRPr="00082540">
        <w:t xml:space="preserve"> decisions on which </w:t>
      </w:r>
      <w:r>
        <w:t xml:space="preserve">focus </w:t>
      </w:r>
      <w:r w:rsidRPr="00082540">
        <w:t>areas of active ageing to prioritise</w:t>
      </w:r>
      <w:r>
        <w:t xml:space="preserve">. In looking at a given focus area, we will need to consider which inequities exist within it and </w:t>
      </w:r>
      <w:proofErr w:type="gramStart"/>
      <w:r>
        <w:t>take into account</w:t>
      </w:r>
      <w:proofErr w:type="gramEnd"/>
      <w:r>
        <w:t xml:space="preserve"> the diverse experiences and perspectives of supports and barriers in active ageing</w:t>
      </w:r>
      <w:r w:rsidRPr="00082540">
        <w:t xml:space="preserve">. </w:t>
      </w:r>
    </w:p>
    <w:p w14:paraId="6E445737" w14:textId="77777777" w:rsidR="00F14D9B" w:rsidRPr="003E2C45" w:rsidRDefault="00F14D9B" w:rsidP="00F14D9B">
      <w:pPr>
        <w:rPr>
          <w:b/>
          <w:bCs/>
        </w:rPr>
      </w:pPr>
    </w:p>
    <w:p w14:paraId="4ED2CC25" w14:textId="77777777" w:rsidR="00F14D9B" w:rsidRDefault="00F14D9B" w:rsidP="00F14D9B">
      <w:r>
        <w:t>In developing our LTIB, we will need to consider how inequities that people may have experienced throughout their lives - such as disparities in wealth, income, housing, health, disability, ability to use technology, geographical location and social connectedness - will affect the potential contribution through active ageing. On the one hand, inequities are likely to lead to additional barriers that make it more difficult for some groups to contribute as older people. On the other hand, they can also drive people experiencing inequity to contribute more.  For example, some older people may be in paid work as they lack financial resources,</w:t>
      </w:r>
      <w:r w:rsidRPr="0002373C">
        <w:t xml:space="preserve"> </w:t>
      </w:r>
      <w:r>
        <w:t>just as they did when they were of working age.</w:t>
      </w:r>
    </w:p>
    <w:p w14:paraId="07EE8854" w14:textId="77777777" w:rsidR="00F14D9B" w:rsidRDefault="00F14D9B" w:rsidP="00F14D9B"/>
    <w:p w14:paraId="64F0ACAB" w14:textId="77777777" w:rsidR="00F14D9B" w:rsidRDefault="00F14D9B" w:rsidP="00F14D9B">
      <w:r>
        <w:t>A significant inequity for active ageing is that a lower percentage of M</w:t>
      </w:r>
      <w:r>
        <w:rPr>
          <w:rFonts w:cs="Segoe UI"/>
        </w:rPr>
        <w:t>ā</w:t>
      </w:r>
      <w:r>
        <w:t xml:space="preserve">ori live to the age of 65 </w:t>
      </w:r>
      <w:r w:rsidRPr="00545539">
        <w:t>years. Among Māori aged 50</w:t>
      </w:r>
      <w:r w:rsidRPr="00545539">
        <w:rPr>
          <w:rFonts w:cs="Segoe UI"/>
        </w:rPr>
        <w:t>–</w:t>
      </w:r>
      <w:r w:rsidRPr="00545539">
        <w:t>65 years, both males and females have</w:t>
      </w:r>
      <w:r w:rsidRPr="00545539" w:rsidDel="00BF5B33">
        <w:t xml:space="preserve"> </w:t>
      </w:r>
      <w:r w:rsidRPr="00545539">
        <w:t>higher death rates than Europeans in this age group.</w:t>
      </w:r>
      <w:r w:rsidRPr="00545539" w:rsidDel="00CC513C">
        <w:t xml:space="preserve"> </w:t>
      </w:r>
      <w:r w:rsidRPr="00545539">
        <w:t xml:space="preserve">At 65 years, </w:t>
      </w:r>
      <w:r w:rsidRPr="00545539" w:rsidDel="00CC513C">
        <w:t xml:space="preserve">Māori </w:t>
      </w:r>
      <w:r w:rsidRPr="00545539">
        <w:t>life expectancy is also lower than that of Europeans for both sexes, by around 4 years for males and 4.5 years for females.</w:t>
      </w:r>
      <w:r w:rsidRPr="00545539">
        <w:rPr>
          <w:rStyle w:val="FootnoteReference"/>
        </w:rPr>
        <w:footnoteReference w:id="20"/>
      </w:r>
      <w:r>
        <w:t xml:space="preserve"> </w:t>
      </w:r>
    </w:p>
    <w:p w14:paraId="001D1822" w14:textId="77777777" w:rsidR="00F14D9B" w:rsidRDefault="00F14D9B" w:rsidP="00F14D9B"/>
    <w:p w14:paraId="77337510" w14:textId="77777777" w:rsidR="00F14D9B" w:rsidRPr="00D6215B" w:rsidRDefault="00F14D9B" w:rsidP="00F14D9B">
      <w:pPr>
        <w:rPr>
          <w:rFonts w:cs="Segoe UI"/>
        </w:rPr>
      </w:pPr>
      <w:r>
        <w:rPr>
          <w:rFonts w:cs="Segoe UI"/>
        </w:rPr>
        <w:t xml:space="preserve">The Ministry of Social Development (MSD) has outlined some of these inequities in its proposed LTIB topic, </w:t>
      </w:r>
      <w:r>
        <w:rPr>
          <w:rFonts w:cs="Segoe UI"/>
          <w:b/>
          <w:bCs/>
        </w:rPr>
        <w:t>current and future disadvantages for older New Zealanders</w:t>
      </w:r>
      <w:r>
        <w:rPr>
          <w:rFonts w:cs="Segoe UI"/>
        </w:rPr>
        <w:t>. MSD’s first round of public consultation</w:t>
      </w:r>
      <w:r w:rsidDel="0015150E">
        <w:rPr>
          <w:rFonts w:cs="Segoe UI"/>
        </w:rPr>
        <w:t xml:space="preserve"> </w:t>
      </w:r>
      <w:r>
        <w:rPr>
          <w:rFonts w:cs="Segoe UI"/>
        </w:rPr>
        <w:t>on the proposed topic has now closed. MSD will undertake a</w:t>
      </w:r>
      <w:r w:rsidRPr="001B536B">
        <w:rPr>
          <w:rFonts w:cs="Segoe UI"/>
        </w:rPr>
        <w:t xml:space="preserve"> second round of consultation on the draft </w:t>
      </w:r>
      <w:r>
        <w:rPr>
          <w:rFonts w:cs="Segoe UI"/>
        </w:rPr>
        <w:t>LTIB</w:t>
      </w:r>
      <w:r w:rsidRPr="001B536B">
        <w:rPr>
          <w:rFonts w:cs="Segoe UI"/>
        </w:rPr>
        <w:t xml:space="preserve"> in early 2025, with the final </w:t>
      </w:r>
      <w:r>
        <w:rPr>
          <w:rFonts w:cs="Segoe UI"/>
        </w:rPr>
        <w:t>LTIB</w:t>
      </w:r>
      <w:r w:rsidRPr="001B536B">
        <w:rPr>
          <w:rFonts w:cs="Segoe UI"/>
        </w:rPr>
        <w:t xml:space="preserve"> due to be published in mid-2025.</w:t>
      </w:r>
      <w:r>
        <w:rPr>
          <w:rFonts w:cs="Segoe UI"/>
        </w:rPr>
        <w:t xml:space="preserve"> Please see </w:t>
      </w:r>
      <w:hyperlink r:id="rId37" w:history="1">
        <w:r w:rsidRPr="00B57A6C">
          <w:rPr>
            <w:rStyle w:val="Hyperlink"/>
            <w:rFonts w:cs="Segoe UI"/>
          </w:rPr>
          <w:t>MSD’s website</w:t>
        </w:r>
      </w:hyperlink>
      <w:r>
        <w:rPr>
          <w:rFonts w:cs="Segoe UI"/>
        </w:rPr>
        <w:t xml:space="preserve"> for further information. </w:t>
      </w:r>
    </w:p>
    <w:p w14:paraId="0C1EE72B" w14:textId="77777777" w:rsidR="00F14D9B" w:rsidRPr="001614F4" w:rsidRDefault="00F14D9B" w:rsidP="00F14D9B">
      <w:pPr>
        <w:pStyle w:val="Heading2"/>
      </w:pPr>
      <w:bookmarkStart w:id="56" w:name="_Toc180663969"/>
      <w:bookmarkStart w:id="57" w:name="_Toc181273815"/>
      <w:bookmarkStart w:id="58" w:name="_Toc181362043"/>
      <w:bookmarkStart w:id="59" w:name="_Toc181362222"/>
      <w:r w:rsidRPr="001614F4">
        <w:lastRenderedPageBreak/>
        <w:t>Considering Te Tiriti o Waitangi</w:t>
      </w:r>
      <w:bookmarkEnd w:id="56"/>
      <w:bookmarkEnd w:id="57"/>
      <w:bookmarkEnd w:id="58"/>
      <w:bookmarkEnd w:id="59"/>
    </w:p>
    <w:p w14:paraId="18972455" w14:textId="77777777" w:rsidR="00F14D9B" w:rsidRDefault="00F14D9B" w:rsidP="006C7E6A">
      <w:r>
        <w:t>When</w:t>
      </w:r>
      <w:r w:rsidRPr="00F56564">
        <w:t xml:space="preserve"> exploring our proposed topic, we will consider how </w:t>
      </w:r>
      <w:r>
        <w:t>active ageing</w:t>
      </w:r>
      <w:r w:rsidRPr="00F56564">
        <w:t xml:space="preserve"> relates to </w:t>
      </w:r>
      <w:r w:rsidRPr="002942B3">
        <w:t xml:space="preserve">the </w:t>
      </w:r>
      <w:r w:rsidRPr="00F56564">
        <w:t>principles</w:t>
      </w:r>
      <w:r>
        <w:t xml:space="preserve"> </w:t>
      </w:r>
      <w:r w:rsidRPr="002942B3">
        <w:t>of Te Tiriti o Waitangi as set out in the Waitangi Tribunal’s Hauora report</w:t>
      </w:r>
      <w:r>
        <w:t>.</w:t>
      </w:r>
      <w:r>
        <w:rPr>
          <w:rStyle w:val="FootnoteReference"/>
          <w:rFonts w:cs="Segoe UI"/>
          <w:szCs w:val="24"/>
        </w:rPr>
        <w:footnoteReference w:id="21"/>
      </w:r>
      <w:r w:rsidRPr="002942B3">
        <w:t xml:space="preserve"> </w:t>
      </w:r>
      <w:r>
        <w:t xml:space="preserve">We will ensure the LTIB </w:t>
      </w:r>
      <w:r w:rsidRPr="00F56564">
        <w:t>reflect</w:t>
      </w:r>
      <w:r>
        <w:t>s</w:t>
      </w:r>
      <w:r w:rsidRPr="00F56564">
        <w:t xml:space="preserve"> the health needs and aspirations of Māori, </w:t>
      </w:r>
      <w:r>
        <w:t xml:space="preserve">as well as </w:t>
      </w:r>
      <w:r w:rsidRPr="00F56564">
        <w:t>hauora Māori</w:t>
      </w:r>
      <w:r>
        <w:t>,</w:t>
      </w:r>
      <w:r w:rsidRPr="00F56564">
        <w:t xml:space="preserve"> </w:t>
      </w:r>
      <w:r>
        <w:t xml:space="preserve">to </w:t>
      </w:r>
      <w:r w:rsidRPr="00F56564">
        <w:t>achieve equitable outcomes.</w:t>
      </w:r>
      <w:r>
        <w:t xml:space="preserve"> </w:t>
      </w:r>
    </w:p>
    <w:p w14:paraId="79597DD5" w14:textId="77777777" w:rsidR="00F14D9B" w:rsidRDefault="00F14D9B" w:rsidP="006C7E6A"/>
    <w:p w14:paraId="793D53FB" w14:textId="76ADEE19" w:rsidR="00F14D9B" w:rsidRPr="00F56564" w:rsidRDefault="00926D91" w:rsidP="006C7E6A">
      <w:r>
        <w:t>The Ministry of Health</w:t>
      </w:r>
      <w:r w:rsidR="00F14D9B">
        <w:t>, under health sector principles of the Pae Ora (Healthy Futures) Act 2022, has an obligation to involve M</w:t>
      </w:r>
      <w:r w:rsidR="00F14D9B">
        <w:rPr>
          <w:rFonts w:cs="Segoe UI"/>
        </w:rPr>
        <w:t>ā</w:t>
      </w:r>
      <w:r w:rsidR="00F14D9B">
        <w:t>ori, and other population groups, so that their needs and aspirations are reflected in services and programmes that aim to support them. Through targeted engagement, we will seek input from M</w:t>
      </w:r>
      <w:r w:rsidR="00F14D9B">
        <w:rPr>
          <w:rFonts w:cs="Segoe UI"/>
        </w:rPr>
        <w:t>ā</w:t>
      </w:r>
      <w:r w:rsidR="00F14D9B">
        <w:t>ori communities, groups supporting older M</w:t>
      </w:r>
      <w:r w:rsidR="00F14D9B">
        <w:rPr>
          <w:rFonts w:cs="Segoe UI"/>
        </w:rPr>
        <w:t>ā</w:t>
      </w:r>
      <w:r w:rsidR="00F14D9B">
        <w:t>ori, and those organisations or community groups that are built on kaumātua and kuia contributions so that we can understand Māori perspectives on active ageing and its supports and barriers. The Public Service Act 2020 also requires public sector agencies to support the Crown with its relationship with Māori, including by having the capability to engage with Māori and understand M</w:t>
      </w:r>
      <w:r w:rsidR="00F14D9B">
        <w:rPr>
          <w:rFonts w:cs="Segoe UI"/>
        </w:rPr>
        <w:t>ā</w:t>
      </w:r>
      <w:r w:rsidR="00F14D9B">
        <w:t>ori perspectives on</w:t>
      </w:r>
      <w:r w:rsidR="00F14D9B" w:rsidDel="000523C0">
        <w:t xml:space="preserve"> </w:t>
      </w:r>
      <w:r w:rsidR="00F14D9B">
        <w:t xml:space="preserve">the areas and outcomes where each agency has responsibility. </w:t>
      </w:r>
    </w:p>
    <w:p w14:paraId="40CBAAE9" w14:textId="77777777" w:rsidR="00F14D9B" w:rsidRPr="00F56564" w:rsidRDefault="00F14D9B" w:rsidP="006C7E6A"/>
    <w:p w14:paraId="606887AE" w14:textId="77777777" w:rsidR="00F14D9B" w:rsidRDefault="00F14D9B" w:rsidP="006C7E6A">
      <w:r>
        <w:t>Some examples of how active ageing</w:t>
      </w:r>
      <w:r w:rsidRPr="00F56564">
        <w:t xml:space="preserve"> </w:t>
      </w:r>
      <w:r>
        <w:t xml:space="preserve">may </w:t>
      </w:r>
      <w:r w:rsidRPr="00F56564">
        <w:t xml:space="preserve">relate </w:t>
      </w:r>
      <w:r>
        <w:t>to the</w:t>
      </w:r>
      <w:r w:rsidRPr="002942B3">
        <w:t xml:space="preserve"> </w:t>
      </w:r>
      <w:r w:rsidRPr="00F56564">
        <w:t>principles</w:t>
      </w:r>
      <w:r>
        <w:t xml:space="preserve"> </w:t>
      </w:r>
      <w:r w:rsidRPr="002942B3">
        <w:t>of Te Tiriti o Waitangi</w:t>
      </w:r>
      <w:r>
        <w:t>, as set out in the Hauora report, are:</w:t>
      </w:r>
    </w:p>
    <w:p w14:paraId="5A1A4E7C" w14:textId="77777777" w:rsidR="00F14D9B" w:rsidRPr="006F52BB" w:rsidRDefault="00F14D9B" w:rsidP="006C7E6A">
      <w:pPr>
        <w:pStyle w:val="Bullet"/>
        <w:rPr>
          <w:rStyle w:val="normaltextrun"/>
          <w:szCs w:val="21"/>
        </w:rPr>
      </w:pPr>
      <w:r>
        <w:rPr>
          <w:rStyle w:val="normaltextrun"/>
          <w:rFonts w:cs="Segoe UI"/>
          <w:b/>
          <w:szCs w:val="21"/>
        </w:rPr>
        <w:t>e</w:t>
      </w:r>
      <w:r w:rsidRPr="006F52BB">
        <w:rPr>
          <w:rStyle w:val="normaltextrun"/>
          <w:rFonts w:cs="Segoe UI"/>
          <w:b/>
          <w:szCs w:val="21"/>
        </w:rPr>
        <w:t>quity</w:t>
      </w:r>
      <w:r w:rsidRPr="006F52BB">
        <w:rPr>
          <w:rStyle w:val="normaltextrun"/>
          <w:rFonts w:cs="Segoe UI"/>
          <w:b/>
          <w:bCs/>
          <w:szCs w:val="21"/>
        </w:rPr>
        <w:t xml:space="preserve"> </w:t>
      </w:r>
      <w:r>
        <w:rPr>
          <w:rStyle w:val="normaltextrun"/>
          <w:rFonts w:cs="Segoe UI"/>
          <w:b/>
          <w:bCs/>
          <w:szCs w:val="21"/>
        </w:rPr>
        <w:t>–</w:t>
      </w:r>
      <w:r w:rsidRPr="006F52BB">
        <w:rPr>
          <w:rStyle w:val="normaltextrun"/>
          <w:rFonts w:cs="Segoe UI"/>
          <w:b/>
          <w:bCs/>
          <w:szCs w:val="21"/>
        </w:rPr>
        <w:t xml:space="preserve"> </w:t>
      </w:r>
      <w:proofErr w:type="spellStart"/>
      <w:r w:rsidRPr="006F52BB">
        <w:rPr>
          <w:rStyle w:val="normaltextrun"/>
          <w:rFonts w:cs="Segoe UI"/>
          <w:b/>
          <w:bCs/>
          <w:szCs w:val="21"/>
        </w:rPr>
        <w:t>ōritetanga</w:t>
      </w:r>
      <w:proofErr w:type="spellEnd"/>
      <w:r w:rsidRPr="006F52BB">
        <w:rPr>
          <w:rStyle w:val="normaltextrun"/>
          <w:rFonts w:cs="Segoe UI"/>
          <w:szCs w:val="21"/>
        </w:rPr>
        <w:t>: achieving equitable outcomes for older Māori. </w:t>
      </w:r>
      <w:r w:rsidRPr="006F52BB">
        <w:rPr>
          <w:rStyle w:val="eop"/>
          <w:rFonts w:cs="Segoe UI"/>
          <w:szCs w:val="21"/>
        </w:rPr>
        <w:t> </w:t>
      </w:r>
    </w:p>
    <w:p w14:paraId="3E41BF44" w14:textId="77777777" w:rsidR="00F14D9B" w:rsidRPr="006F52BB" w:rsidRDefault="00F14D9B" w:rsidP="006C7E6A">
      <w:pPr>
        <w:pStyle w:val="Bullet"/>
        <w:rPr>
          <w:rStyle w:val="normaltextrun"/>
          <w:szCs w:val="21"/>
        </w:rPr>
      </w:pPr>
      <w:r>
        <w:rPr>
          <w:rStyle w:val="normaltextrun"/>
          <w:rFonts w:cs="Segoe UI"/>
          <w:b/>
          <w:szCs w:val="21"/>
        </w:rPr>
        <w:t>d</w:t>
      </w:r>
      <w:r w:rsidRPr="006F52BB">
        <w:rPr>
          <w:rStyle w:val="normaltextrun"/>
          <w:rFonts w:cs="Segoe UI"/>
          <w:b/>
          <w:szCs w:val="21"/>
        </w:rPr>
        <w:t>ecision-making authority</w:t>
      </w:r>
      <w:r>
        <w:rPr>
          <w:rStyle w:val="normaltextrun"/>
          <w:rFonts w:cs="Segoe UI"/>
          <w:b/>
          <w:bCs/>
          <w:szCs w:val="21"/>
        </w:rPr>
        <w:t xml:space="preserve"> –</w:t>
      </w:r>
      <w:r w:rsidRPr="006F52BB" w:rsidDel="00AA6734">
        <w:rPr>
          <w:rStyle w:val="normaltextrun"/>
          <w:rFonts w:cs="Segoe UI"/>
          <w:b/>
          <w:bCs/>
          <w:szCs w:val="21"/>
        </w:rPr>
        <w:t xml:space="preserve"> </w:t>
      </w:r>
      <w:r w:rsidRPr="006F52BB">
        <w:rPr>
          <w:rStyle w:val="normaltextrun"/>
          <w:rFonts w:cs="Segoe UI"/>
          <w:b/>
          <w:bCs/>
          <w:szCs w:val="21"/>
        </w:rPr>
        <w:t>tino rangatiratanga</w:t>
      </w:r>
      <w:r w:rsidRPr="006F52BB">
        <w:rPr>
          <w:rStyle w:val="normaltextrun"/>
          <w:rFonts w:cs="Segoe UI"/>
          <w:szCs w:val="21"/>
        </w:rPr>
        <w:t>: opportunities for people and communities to be self-determining and to exercise decision-making authority on matters of importance to Māori. </w:t>
      </w:r>
      <w:r w:rsidRPr="006F52BB">
        <w:rPr>
          <w:rStyle w:val="eop"/>
          <w:rFonts w:cs="Segoe UI"/>
          <w:szCs w:val="21"/>
        </w:rPr>
        <w:t> </w:t>
      </w:r>
    </w:p>
    <w:p w14:paraId="7B5373D5" w14:textId="77777777" w:rsidR="00F14D9B" w:rsidRPr="006F52BB" w:rsidRDefault="00F14D9B" w:rsidP="006C7E6A">
      <w:pPr>
        <w:pStyle w:val="Bullet"/>
      </w:pPr>
      <w:r>
        <w:rPr>
          <w:rStyle w:val="normaltextrun"/>
          <w:rFonts w:cs="Segoe UI"/>
          <w:b/>
          <w:szCs w:val="21"/>
        </w:rPr>
        <w:t>o</w:t>
      </w:r>
      <w:r w:rsidRPr="006F52BB">
        <w:rPr>
          <w:rStyle w:val="normaltextrun"/>
          <w:rFonts w:cs="Segoe UI"/>
          <w:b/>
          <w:szCs w:val="21"/>
        </w:rPr>
        <w:t>ptions</w:t>
      </w:r>
      <w:r w:rsidRPr="006F52BB">
        <w:rPr>
          <w:rStyle w:val="normaltextrun"/>
          <w:rFonts w:cs="Segoe UI"/>
          <w:b/>
          <w:bCs/>
          <w:szCs w:val="21"/>
        </w:rPr>
        <w:t xml:space="preserve"> </w:t>
      </w:r>
      <w:r>
        <w:rPr>
          <w:rStyle w:val="normaltextrun"/>
          <w:rFonts w:cs="Segoe UI"/>
          <w:b/>
          <w:bCs/>
          <w:szCs w:val="21"/>
        </w:rPr>
        <w:t>–</w:t>
      </w:r>
      <w:r w:rsidRPr="006F52BB" w:rsidDel="00AA6734">
        <w:rPr>
          <w:rStyle w:val="normaltextrun"/>
          <w:rFonts w:cs="Segoe UI"/>
          <w:b/>
          <w:bCs/>
          <w:szCs w:val="21"/>
        </w:rPr>
        <w:t xml:space="preserve"> </w:t>
      </w:r>
      <w:proofErr w:type="spellStart"/>
      <w:r w:rsidRPr="006F52BB">
        <w:rPr>
          <w:rStyle w:val="normaltextrun"/>
          <w:rFonts w:cs="Segoe UI"/>
          <w:b/>
          <w:bCs/>
          <w:szCs w:val="21"/>
        </w:rPr>
        <w:t>kōwhiringa</w:t>
      </w:r>
      <w:proofErr w:type="spellEnd"/>
      <w:r w:rsidRPr="006F52BB">
        <w:rPr>
          <w:rStyle w:val="normaltextrun"/>
          <w:rFonts w:cs="Segoe UI"/>
          <w:szCs w:val="21"/>
        </w:rPr>
        <w:t xml:space="preserve">: having supportive environments </w:t>
      </w:r>
      <w:r>
        <w:rPr>
          <w:rStyle w:val="normaltextrun"/>
          <w:rFonts w:cs="Segoe UI"/>
          <w:szCs w:val="21"/>
        </w:rPr>
        <w:t>that</w:t>
      </w:r>
      <w:r w:rsidRPr="006F52BB">
        <w:rPr>
          <w:rStyle w:val="normaltextrun"/>
          <w:rFonts w:cs="Segoe UI"/>
          <w:szCs w:val="21"/>
        </w:rPr>
        <w:t xml:space="preserve"> enable older people to have choice in a culturally appropriate way </w:t>
      </w:r>
      <w:r w:rsidRPr="006F52BB" w:rsidDel="004316C3">
        <w:rPr>
          <w:rStyle w:val="normaltextrun"/>
          <w:rFonts w:cs="Segoe UI"/>
          <w:szCs w:val="21"/>
        </w:rPr>
        <w:t>that</w:t>
      </w:r>
      <w:r w:rsidRPr="006F52BB">
        <w:rPr>
          <w:rStyle w:val="normaltextrun"/>
          <w:rFonts w:cs="Segoe UI"/>
          <w:szCs w:val="21"/>
        </w:rPr>
        <w:t xml:space="preserve"> recognises and supports the expression of hauora Māori models of care.</w:t>
      </w:r>
      <w:r w:rsidRPr="006F52BB">
        <w:rPr>
          <w:rStyle w:val="eop"/>
          <w:rFonts w:cs="Segoe UI"/>
          <w:szCs w:val="21"/>
        </w:rPr>
        <w:t> </w:t>
      </w:r>
      <w:bookmarkStart w:id="60" w:name="_Toc119924246"/>
    </w:p>
    <w:p w14:paraId="4B8FB44E" w14:textId="77777777" w:rsidR="00F14D9B" w:rsidRDefault="00F14D9B" w:rsidP="00F14D9B">
      <w:pPr>
        <w:pStyle w:val="Heading2"/>
      </w:pPr>
      <w:bookmarkStart w:id="61" w:name="_Toc180663970"/>
      <w:bookmarkStart w:id="62" w:name="_Toc181273816"/>
      <w:bookmarkStart w:id="63" w:name="_Toc181362044"/>
      <w:bookmarkStart w:id="64" w:name="_Toc181362223"/>
      <w:r>
        <w:t xml:space="preserve">The LTIB could consider policy </w:t>
      </w:r>
      <w:proofErr w:type="gramStart"/>
      <w:r>
        <w:t>options</w:t>
      </w:r>
      <w:bookmarkEnd w:id="61"/>
      <w:bookmarkEnd w:id="62"/>
      <w:bookmarkEnd w:id="63"/>
      <w:bookmarkEnd w:id="64"/>
      <w:proofErr w:type="gramEnd"/>
    </w:p>
    <w:p w14:paraId="4F040817" w14:textId="77777777" w:rsidR="00F14D9B" w:rsidRDefault="00F14D9B" w:rsidP="006C7E6A">
      <w:r>
        <w:t>Government agencies have opportunities to influence active ageing in the future.</w:t>
      </w:r>
    </w:p>
    <w:p w14:paraId="68B728F4" w14:textId="77777777" w:rsidR="00F14D9B" w:rsidRDefault="00F14D9B" w:rsidP="006C7E6A"/>
    <w:p w14:paraId="1D416689" w14:textId="09943909" w:rsidR="00F14D9B" w:rsidRDefault="00926D91" w:rsidP="00F14D9B">
      <w:r>
        <w:t>The Ministry of Health</w:t>
      </w:r>
      <w:r w:rsidR="00F14D9B">
        <w:t xml:space="preserve"> does not hold all the levers for change. However, our role as the Government’s primary advisor on health places us </w:t>
      </w:r>
      <w:r w:rsidR="00F14D9B" w:rsidRPr="00B322E6">
        <w:t xml:space="preserve">in a unique position </w:t>
      </w:r>
      <w:r w:rsidR="00F14D9B">
        <w:t>to l</w:t>
      </w:r>
      <w:r w:rsidR="00F14D9B" w:rsidRPr="00B322E6">
        <w:t xml:space="preserve">ook at the intersection of the broad determinants </w:t>
      </w:r>
      <w:r w:rsidR="00F14D9B">
        <w:t>of health and</w:t>
      </w:r>
      <w:r w:rsidR="00F14D9B" w:rsidRPr="00B322E6">
        <w:t xml:space="preserve"> </w:t>
      </w:r>
      <w:r w:rsidR="00F14D9B">
        <w:t xml:space="preserve">ageing, and </w:t>
      </w:r>
      <w:r w:rsidR="00F14D9B" w:rsidRPr="00B322E6">
        <w:t xml:space="preserve">how these can be </w:t>
      </w:r>
      <w:r w:rsidR="00F14D9B">
        <w:t>considered</w:t>
      </w:r>
      <w:r w:rsidR="00F14D9B" w:rsidRPr="00B322E6">
        <w:t xml:space="preserve"> differently across</w:t>
      </w:r>
      <w:r w:rsidR="00F14D9B">
        <w:t xml:space="preserve"> the</w:t>
      </w:r>
      <w:r w:rsidR="00F14D9B" w:rsidRPr="00B322E6">
        <w:t xml:space="preserve"> </w:t>
      </w:r>
      <w:r w:rsidR="00F14D9B">
        <w:t>government sector. Considering policy options</w:t>
      </w:r>
      <w:r w:rsidR="00F14D9B" w:rsidDel="008955BB">
        <w:t xml:space="preserve"> </w:t>
      </w:r>
      <w:r w:rsidR="00F14D9B">
        <w:t>includes a dual focus on:</w:t>
      </w:r>
    </w:p>
    <w:p w14:paraId="71075229" w14:textId="77777777" w:rsidR="00F14D9B" w:rsidRDefault="00F14D9B" w:rsidP="006C7E6A">
      <w:pPr>
        <w:pStyle w:val="Bullet"/>
      </w:pPr>
      <w:r w:rsidRPr="00590FF2">
        <w:rPr>
          <w:b/>
        </w:rPr>
        <w:t>health-led actions</w:t>
      </w:r>
      <w:r w:rsidRPr="00A8132C">
        <w:t xml:space="preserve"> to protect, promote and improve health and wellbeing</w:t>
      </w:r>
      <w:r>
        <w:t xml:space="preserve"> as people </w:t>
      </w:r>
      <w:proofErr w:type="gramStart"/>
      <w:r>
        <w:t>age</w:t>
      </w:r>
      <w:proofErr w:type="gramEnd"/>
    </w:p>
    <w:p w14:paraId="40E7D82B" w14:textId="77777777" w:rsidR="00F14D9B" w:rsidRPr="003215C6" w:rsidRDefault="00F14D9B" w:rsidP="006C7E6A">
      <w:pPr>
        <w:pStyle w:val="Bullet"/>
      </w:pPr>
      <w:r w:rsidRPr="00590FF2">
        <w:rPr>
          <w:b/>
        </w:rPr>
        <w:lastRenderedPageBreak/>
        <w:t>health-partnering actions</w:t>
      </w:r>
      <w:r w:rsidRPr="00590FF2">
        <w:t xml:space="preserve"> (including across </w:t>
      </w:r>
      <w:r>
        <w:t>g</w:t>
      </w:r>
      <w:r w:rsidRPr="00590FF2">
        <w:t xml:space="preserve">overnment and in communities) to </w:t>
      </w:r>
      <w:r>
        <w:t>enable</w:t>
      </w:r>
      <w:r w:rsidRPr="00590FF2">
        <w:t xml:space="preserve"> active ageing </w:t>
      </w:r>
      <w:r>
        <w:t>through influencing</w:t>
      </w:r>
      <w:r w:rsidRPr="00590FF2">
        <w:t xml:space="preserve"> the broader determinants of health</w:t>
      </w:r>
      <w:r>
        <w:t>.</w:t>
      </w:r>
    </w:p>
    <w:p w14:paraId="39A0443C" w14:textId="77777777" w:rsidR="006C7E6A" w:rsidRDefault="006C7E6A" w:rsidP="006C7E6A"/>
    <w:p w14:paraId="17F409D5" w14:textId="5466936D" w:rsidR="00F14D9B" w:rsidRDefault="00F14D9B" w:rsidP="006C7E6A">
      <w:r>
        <w:t xml:space="preserve">The LTIB could consider options for how government agencies enable active ageing into the future. These options could include: </w:t>
      </w:r>
    </w:p>
    <w:p w14:paraId="0829FAF0" w14:textId="77777777" w:rsidR="00F14D9B" w:rsidRPr="00A8132C" w:rsidRDefault="00F14D9B" w:rsidP="006C7E6A">
      <w:pPr>
        <w:pStyle w:val="Bullet"/>
      </w:pPr>
      <w:r>
        <w:t xml:space="preserve">creating </w:t>
      </w:r>
      <w:r w:rsidRPr="003215C6">
        <w:t xml:space="preserve">leadership </w:t>
      </w:r>
      <w:r>
        <w:t>roles</w:t>
      </w:r>
      <w:r w:rsidRPr="00A8132C">
        <w:t xml:space="preserve"> across </w:t>
      </w:r>
      <w:r>
        <w:t>g</w:t>
      </w:r>
      <w:r w:rsidRPr="00A8132C">
        <w:t>overnment, communities</w:t>
      </w:r>
      <w:r>
        <w:t>,</w:t>
      </w:r>
      <w:r w:rsidRPr="00A8132C">
        <w:t xml:space="preserve"> and the private sector</w:t>
      </w:r>
    </w:p>
    <w:p w14:paraId="4D8C7266" w14:textId="77777777" w:rsidR="00F14D9B" w:rsidRPr="001558E0" w:rsidRDefault="00F14D9B" w:rsidP="006C7E6A">
      <w:pPr>
        <w:pStyle w:val="Bullet"/>
      </w:pPr>
      <w:r>
        <w:t xml:space="preserve">making </w:t>
      </w:r>
      <w:r w:rsidRPr="003215C6">
        <w:t>cross</w:t>
      </w:r>
      <w:r>
        <w:t>-</w:t>
      </w:r>
      <w:r w:rsidRPr="003215C6">
        <w:t>sector changes to legislative, regulatory or policy settings</w:t>
      </w:r>
      <w:r>
        <w:t>.</w:t>
      </w:r>
    </w:p>
    <w:p w14:paraId="200D8926" w14:textId="77777777" w:rsidR="00F14D9B" w:rsidRDefault="00F14D9B" w:rsidP="00F14D9B">
      <w:pPr>
        <w:spacing w:after="160" w:line="259" w:lineRule="auto"/>
        <w:rPr>
          <w:b/>
          <w:color w:val="23305D"/>
          <w:spacing w:val="-10"/>
          <w:sz w:val="60"/>
          <w:szCs w:val="60"/>
        </w:rPr>
      </w:pPr>
      <w:r>
        <w:rPr>
          <w:sz w:val="60"/>
          <w:szCs w:val="60"/>
        </w:rPr>
        <w:br w:type="page"/>
      </w:r>
    </w:p>
    <w:p w14:paraId="42534554" w14:textId="77777777" w:rsidR="00F14D9B" w:rsidRPr="00800759" w:rsidRDefault="00F14D9B" w:rsidP="00F14D9B">
      <w:pPr>
        <w:pStyle w:val="Heading1"/>
        <w:spacing w:before="0"/>
        <w:rPr>
          <w:sz w:val="60"/>
          <w:szCs w:val="60"/>
        </w:rPr>
      </w:pPr>
      <w:bookmarkStart w:id="65" w:name="_Toc180663971"/>
      <w:bookmarkStart w:id="66" w:name="_Toc181273817"/>
      <w:bookmarkStart w:id="67" w:name="_Toc181362045"/>
      <w:bookmarkStart w:id="68" w:name="_Toc181362224"/>
      <w:r w:rsidRPr="00800759">
        <w:rPr>
          <w:sz w:val="60"/>
          <w:szCs w:val="60"/>
        </w:rPr>
        <w:lastRenderedPageBreak/>
        <w:t xml:space="preserve">Part Five: How we </w:t>
      </w:r>
      <w:r>
        <w:rPr>
          <w:sz w:val="60"/>
          <w:szCs w:val="60"/>
        </w:rPr>
        <w:t xml:space="preserve">will </w:t>
      </w:r>
      <w:r w:rsidRPr="00800759">
        <w:rPr>
          <w:sz w:val="60"/>
          <w:szCs w:val="60"/>
        </w:rPr>
        <w:t xml:space="preserve">develop the </w:t>
      </w:r>
      <w:r>
        <w:rPr>
          <w:sz w:val="60"/>
          <w:szCs w:val="60"/>
        </w:rPr>
        <w:t xml:space="preserve">Long-term Insights </w:t>
      </w:r>
      <w:bookmarkEnd w:id="60"/>
      <w:bookmarkEnd w:id="65"/>
      <w:r>
        <w:rPr>
          <w:sz w:val="60"/>
          <w:szCs w:val="60"/>
        </w:rPr>
        <w:t>Briefing</w:t>
      </w:r>
      <w:bookmarkEnd w:id="66"/>
      <w:bookmarkEnd w:id="67"/>
      <w:bookmarkEnd w:id="68"/>
    </w:p>
    <w:p w14:paraId="445B39EF" w14:textId="59A2FD92" w:rsidR="00F14D9B" w:rsidRDefault="00F14D9B" w:rsidP="00F14D9B">
      <w:r w:rsidRPr="00653A7E">
        <w:t xml:space="preserve">We will develop our </w:t>
      </w:r>
      <w:r>
        <w:t>LTIB</w:t>
      </w:r>
      <w:r w:rsidRPr="00653A7E">
        <w:t xml:space="preserve"> by:</w:t>
      </w:r>
    </w:p>
    <w:p w14:paraId="7ACA6834" w14:textId="77777777" w:rsidR="00F14D9B" w:rsidRPr="00072EA7" w:rsidRDefault="00F14D9B" w:rsidP="006C7E6A">
      <w:pPr>
        <w:pStyle w:val="Bullet"/>
      </w:pPr>
      <w:r w:rsidRPr="00072EA7">
        <w:t xml:space="preserve">building an evidence base — </w:t>
      </w:r>
      <w:r>
        <w:t xml:space="preserve">by </w:t>
      </w:r>
      <w:r w:rsidRPr="00072EA7">
        <w:t xml:space="preserve">reviewing </w:t>
      </w:r>
      <w:r>
        <w:t>Aotearoa New Zealand</w:t>
      </w:r>
      <w:r w:rsidRPr="00072EA7">
        <w:t xml:space="preserve"> and international literature and research on the </w:t>
      </w:r>
      <w:r>
        <w:t xml:space="preserve">two or three focus areas </w:t>
      </w:r>
      <w:r w:rsidRPr="00072EA7">
        <w:t>within active ageing</w:t>
      </w:r>
      <w:r>
        <w:t xml:space="preserve"> that the LTIB explores further. This will include</w:t>
      </w:r>
      <w:r w:rsidRPr="00072EA7">
        <w:t xml:space="preserve"> </w:t>
      </w:r>
      <w:r>
        <w:t xml:space="preserve">exploring </w:t>
      </w:r>
      <w:r w:rsidRPr="00072EA7">
        <w:t xml:space="preserve">policy options </w:t>
      </w:r>
      <w:r>
        <w:t xml:space="preserve">or practices that Aotearoa New Zealand communities and </w:t>
      </w:r>
      <w:r w:rsidRPr="00072EA7">
        <w:t xml:space="preserve">other countries </w:t>
      </w:r>
      <w:r>
        <w:t xml:space="preserve">have </w:t>
      </w:r>
      <w:r w:rsidRPr="00072EA7">
        <w:t>use</w:t>
      </w:r>
      <w:r>
        <w:t>d</w:t>
      </w:r>
      <w:r w:rsidRPr="00072EA7">
        <w:t xml:space="preserve"> to implement active ageing effectively</w:t>
      </w:r>
      <w:r>
        <w:t>.</w:t>
      </w:r>
    </w:p>
    <w:p w14:paraId="420C7FB0" w14:textId="77777777" w:rsidR="00F14D9B" w:rsidRPr="00072EA7" w:rsidRDefault="00F14D9B" w:rsidP="006C7E6A">
      <w:pPr>
        <w:pStyle w:val="Bullet"/>
      </w:pPr>
      <w:r w:rsidRPr="00072EA7">
        <w:t xml:space="preserve">engaging with stakeholders to </w:t>
      </w:r>
      <w:r>
        <w:t>gain</w:t>
      </w:r>
      <w:r w:rsidRPr="00072EA7">
        <w:t xml:space="preserve"> feedback and insights on:</w:t>
      </w:r>
    </w:p>
    <w:p w14:paraId="748B52E2" w14:textId="77777777" w:rsidR="00F14D9B" w:rsidRPr="00072EA7" w:rsidRDefault="00F14D9B" w:rsidP="006C7E6A">
      <w:pPr>
        <w:pStyle w:val="Dash"/>
      </w:pPr>
      <w:r w:rsidRPr="00072EA7">
        <w:t>the themes selected for case studies and the likely future trends</w:t>
      </w:r>
      <w:r>
        <w:t xml:space="preserve"> within these themes</w:t>
      </w:r>
      <w:r w:rsidRPr="00072EA7">
        <w:t xml:space="preserve">, the opportunities </w:t>
      </w:r>
      <w:r>
        <w:t xml:space="preserve">and risks </w:t>
      </w:r>
      <w:r w:rsidRPr="00072EA7">
        <w:t>the</w:t>
      </w:r>
      <w:r>
        <w:t>se themes</w:t>
      </w:r>
      <w:r w:rsidRPr="00072EA7">
        <w:t xml:space="preserve"> present</w:t>
      </w:r>
      <w:r>
        <w:t>,</w:t>
      </w:r>
      <w:r w:rsidRPr="00072EA7">
        <w:t xml:space="preserve"> and the</w:t>
      </w:r>
      <w:r>
        <w:t>ir</w:t>
      </w:r>
      <w:r w:rsidRPr="00072EA7">
        <w:t xml:space="preserve"> implications for health</w:t>
      </w:r>
      <w:r>
        <w:t>-</w:t>
      </w:r>
      <w:r w:rsidRPr="00072EA7">
        <w:t>promoting and supportive environments in Aotearoa New Zealand</w:t>
      </w:r>
    </w:p>
    <w:p w14:paraId="1FF7A10A" w14:textId="77777777" w:rsidR="00F14D9B" w:rsidRPr="00072EA7" w:rsidRDefault="00F14D9B" w:rsidP="006C7E6A">
      <w:pPr>
        <w:pStyle w:val="Dash"/>
      </w:pPr>
      <w:r w:rsidRPr="00072EA7">
        <w:t>possible solutions to the current challenges related to Te Tiriti</w:t>
      </w:r>
      <w:r>
        <w:t xml:space="preserve"> o Waitangi</w:t>
      </w:r>
      <w:r w:rsidRPr="00072EA7">
        <w:t xml:space="preserve">, </w:t>
      </w:r>
      <w:r>
        <w:t xml:space="preserve">health </w:t>
      </w:r>
      <w:r w:rsidRPr="00072EA7">
        <w:t>equity and other</w:t>
      </w:r>
      <w:r>
        <w:t xml:space="preserve"> health-related</w:t>
      </w:r>
      <w:r w:rsidRPr="00072EA7">
        <w:t xml:space="preserve"> social </w:t>
      </w:r>
      <w:proofErr w:type="gramStart"/>
      <w:r w:rsidRPr="00072EA7">
        <w:t>issues</w:t>
      </w:r>
      <w:proofErr w:type="gramEnd"/>
    </w:p>
    <w:p w14:paraId="79E9B6B3" w14:textId="77777777" w:rsidR="00F14D9B" w:rsidRPr="00072EA7" w:rsidRDefault="00F14D9B" w:rsidP="006C7E6A">
      <w:pPr>
        <w:pStyle w:val="Dash"/>
      </w:pPr>
      <w:r w:rsidRPr="00072EA7">
        <w:t xml:space="preserve">possible </w:t>
      </w:r>
      <w:r>
        <w:t xml:space="preserve">and preferred </w:t>
      </w:r>
      <w:r w:rsidRPr="00072EA7">
        <w:t xml:space="preserve">future scenarios based on </w:t>
      </w:r>
      <w:r>
        <w:t>projected</w:t>
      </w:r>
      <w:r w:rsidRPr="00072EA7">
        <w:t xml:space="preserve"> trends, research</w:t>
      </w:r>
      <w:r>
        <w:t>,</w:t>
      </w:r>
      <w:r w:rsidRPr="00072EA7">
        <w:t xml:space="preserve"> and consultation</w:t>
      </w:r>
      <w:r>
        <w:t>, which we would use</w:t>
      </w:r>
      <w:r w:rsidDel="00A15584">
        <w:t xml:space="preserve"> </w:t>
      </w:r>
      <w:r>
        <w:t>to</w:t>
      </w:r>
      <w:r w:rsidRPr="00072EA7" w:rsidDel="006F481D">
        <w:t xml:space="preserve"> </w:t>
      </w:r>
      <w:r w:rsidRPr="00072EA7">
        <w:t>identify potential implications</w:t>
      </w:r>
      <w:r>
        <w:t xml:space="preserve"> and solutions</w:t>
      </w:r>
      <w:r w:rsidRPr="00072EA7">
        <w:t>.</w:t>
      </w:r>
    </w:p>
    <w:p w14:paraId="1612E877" w14:textId="77777777" w:rsidR="00F14D9B" w:rsidRPr="006C7E6A" w:rsidRDefault="00F14D9B" w:rsidP="006C7E6A">
      <w:pPr>
        <w:pStyle w:val="Heading2"/>
      </w:pPr>
      <w:bookmarkStart w:id="69" w:name="_Toc180663972"/>
      <w:bookmarkStart w:id="70" w:name="_Toc181273818"/>
      <w:bookmarkStart w:id="71" w:name="_Toc181362046"/>
      <w:bookmarkStart w:id="72" w:name="_Toc181362225"/>
      <w:r w:rsidRPr="006C7E6A">
        <w:t>How we will work with others</w:t>
      </w:r>
      <w:bookmarkEnd w:id="69"/>
      <w:bookmarkEnd w:id="70"/>
      <w:bookmarkEnd w:id="71"/>
      <w:bookmarkEnd w:id="72"/>
    </w:p>
    <w:p w14:paraId="6E6CE562" w14:textId="3390C13B" w:rsidR="00F14D9B" w:rsidRDefault="00926D91" w:rsidP="006C7E6A">
      <w:r>
        <w:t>The Ministry of Health</w:t>
      </w:r>
      <w:r w:rsidR="00F14D9B" w:rsidRPr="54AC15C0">
        <w:t xml:space="preserve"> is working with other public service agencies and entities whose priorities align with our proposed topic.</w:t>
      </w:r>
      <w:r w:rsidR="00F14D9B">
        <w:t xml:space="preserve"> </w:t>
      </w:r>
      <w:r w:rsidR="00F14D9B" w:rsidRPr="54AC15C0">
        <w:t xml:space="preserve">We will </w:t>
      </w:r>
      <w:r w:rsidR="00F14D9B">
        <w:t>also</w:t>
      </w:r>
      <w:r w:rsidR="00F14D9B" w:rsidRPr="54AC15C0">
        <w:t xml:space="preserve"> look for opportunities to </w:t>
      </w:r>
      <w:r w:rsidR="00F14D9B">
        <w:t>engage</w:t>
      </w:r>
      <w:r w:rsidR="00F14D9B" w:rsidRPr="54AC15C0">
        <w:t xml:space="preserve"> with non-governmental organisations</w:t>
      </w:r>
      <w:r w:rsidR="00F14D9B">
        <w:t>, academia, and private sector organisations</w:t>
      </w:r>
      <w:r w:rsidR="00F14D9B" w:rsidRPr="54AC15C0">
        <w:t xml:space="preserve"> that can share their insights with us on our topic areas and/or challenge our assumptions.</w:t>
      </w:r>
    </w:p>
    <w:p w14:paraId="62A8DDBB" w14:textId="77777777" w:rsidR="00F14D9B" w:rsidRPr="00D26D22" w:rsidRDefault="00F14D9B" w:rsidP="006C7E6A">
      <w:pPr>
        <w:rPr>
          <w:szCs w:val="24"/>
        </w:rPr>
      </w:pPr>
    </w:p>
    <w:p w14:paraId="034F35F7" w14:textId="77777777" w:rsidR="00F14D9B" w:rsidRDefault="00F14D9B" w:rsidP="006C7E6A">
      <w:pPr>
        <w:rPr>
          <w:szCs w:val="24"/>
        </w:rPr>
      </w:pPr>
      <w:r w:rsidRPr="00D26D22">
        <w:rPr>
          <w:szCs w:val="24"/>
        </w:rPr>
        <w:t>For the first public consultation</w:t>
      </w:r>
      <w:r w:rsidRPr="00D26D22" w:rsidDel="0051155F">
        <w:rPr>
          <w:szCs w:val="24"/>
        </w:rPr>
        <w:t>,</w:t>
      </w:r>
      <w:r w:rsidRPr="00D26D22" w:rsidDel="00D33838">
        <w:rPr>
          <w:szCs w:val="24"/>
        </w:rPr>
        <w:t xml:space="preserve"> </w:t>
      </w:r>
      <w:r w:rsidRPr="00D26D22">
        <w:rPr>
          <w:szCs w:val="24"/>
        </w:rPr>
        <w:t xml:space="preserve">we will be </w:t>
      </w:r>
      <w:r>
        <w:rPr>
          <w:szCs w:val="24"/>
        </w:rPr>
        <w:t>drawing on</w:t>
      </w:r>
      <w:r w:rsidRPr="00D26D22">
        <w:rPr>
          <w:szCs w:val="24"/>
        </w:rPr>
        <w:t xml:space="preserve"> our existing relationships, </w:t>
      </w:r>
      <w:r w:rsidRPr="00D26D22" w:rsidDel="001B284F">
        <w:rPr>
          <w:szCs w:val="24"/>
        </w:rPr>
        <w:t>networks</w:t>
      </w:r>
      <w:r>
        <w:rPr>
          <w:szCs w:val="24"/>
        </w:rPr>
        <w:t>,</w:t>
      </w:r>
      <w:r w:rsidRPr="00D26D22">
        <w:rPr>
          <w:szCs w:val="24"/>
        </w:rPr>
        <w:t xml:space="preserve"> and advisory groups. For example,</w:t>
      </w:r>
      <w:r>
        <w:rPr>
          <w:szCs w:val="24"/>
        </w:rPr>
        <w:t xml:space="preserve"> this could include Iwi-Māori Partnership Boards and aged-care networks. </w:t>
      </w:r>
    </w:p>
    <w:p w14:paraId="10D5EED8" w14:textId="77777777" w:rsidR="00F14D9B" w:rsidRPr="00D26D22" w:rsidRDefault="00F14D9B" w:rsidP="006C7E6A">
      <w:pPr>
        <w:rPr>
          <w:szCs w:val="24"/>
        </w:rPr>
      </w:pPr>
    </w:p>
    <w:p w14:paraId="7A388B17" w14:textId="77777777" w:rsidR="00F14D9B" w:rsidRPr="00247692" w:rsidRDefault="00F14D9B" w:rsidP="006C7E6A">
      <w:pPr>
        <w:rPr>
          <w:szCs w:val="24"/>
        </w:rPr>
      </w:pPr>
      <w:r w:rsidRPr="00D26D22">
        <w:rPr>
          <w:szCs w:val="24"/>
        </w:rPr>
        <w:t xml:space="preserve">For more information on the topics other agencies have chosen for their </w:t>
      </w:r>
      <w:r>
        <w:rPr>
          <w:szCs w:val="24"/>
        </w:rPr>
        <w:t>LTIB</w:t>
      </w:r>
      <w:r w:rsidRPr="00D26D22">
        <w:rPr>
          <w:szCs w:val="24"/>
        </w:rPr>
        <w:t xml:space="preserve">s, see </w:t>
      </w:r>
      <w:hyperlink r:id="rId38" w:history="1">
        <w:r w:rsidRPr="008038FD">
          <w:rPr>
            <w:rStyle w:val="Hyperlink"/>
            <w:rFonts w:cs="Segoe UI"/>
            <w:szCs w:val="24"/>
          </w:rPr>
          <w:t xml:space="preserve">Te Kawa </w:t>
        </w:r>
        <w:proofErr w:type="spellStart"/>
        <w:r w:rsidRPr="008038FD">
          <w:rPr>
            <w:rStyle w:val="Hyperlink"/>
            <w:rFonts w:cs="Segoe UI"/>
            <w:szCs w:val="24"/>
          </w:rPr>
          <w:t>Mataaho</w:t>
        </w:r>
        <w:proofErr w:type="spellEnd"/>
        <w:r w:rsidRPr="008038FD">
          <w:rPr>
            <w:rStyle w:val="Hyperlink"/>
            <w:rFonts w:cs="Segoe UI"/>
            <w:szCs w:val="24"/>
          </w:rPr>
          <w:t xml:space="preserve"> website.</w:t>
        </w:r>
      </w:hyperlink>
    </w:p>
    <w:p w14:paraId="663CF228" w14:textId="77777777" w:rsidR="00F14D9B" w:rsidRDefault="00F14D9B" w:rsidP="00F14D9B">
      <w:pPr>
        <w:spacing w:after="160" w:line="259" w:lineRule="auto"/>
        <w:rPr>
          <w:b/>
          <w:color w:val="23305D"/>
          <w:spacing w:val="-10"/>
          <w:sz w:val="60"/>
          <w:szCs w:val="60"/>
        </w:rPr>
      </w:pPr>
      <w:r>
        <w:rPr>
          <w:sz w:val="60"/>
          <w:szCs w:val="60"/>
        </w:rPr>
        <w:br w:type="page"/>
      </w:r>
    </w:p>
    <w:p w14:paraId="4B22CBA9" w14:textId="77777777" w:rsidR="00F14D9B" w:rsidRPr="00800759" w:rsidRDefault="00F14D9B" w:rsidP="00F14D9B">
      <w:pPr>
        <w:pStyle w:val="Heading1"/>
        <w:rPr>
          <w:sz w:val="60"/>
          <w:szCs w:val="60"/>
        </w:rPr>
      </w:pPr>
      <w:bookmarkStart w:id="73" w:name="_Toc180663973"/>
      <w:bookmarkStart w:id="74" w:name="_Toc181273819"/>
      <w:bookmarkStart w:id="75" w:name="_Toc181362047"/>
      <w:bookmarkStart w:id="76" w:name="_Toc181362226"/>
      <w:r w:rsidRPr="00800759">
        <w:rPr>
          <w:sz w:val="60"/>
          <w:szCs w:val="60"/>
        </w:rPr>
        <w:lastRenderedPageBreak/>
        <w:t>Part Six: How you</w:t>
      </w:r>
      <w:r>
        <w:rPr>
          <w:sz w:val="60"/>
          <w:szCs w:val="60"/>
        </w:rPr>
        <w:t xml:space="preserve"> can</w:t>
      </w:r>
      <w:r w:rsidRPr="00800759">
        <w:rPr>
          <w:sz w:val="60"/>
          <w:szCs w:val="60"/>
        </w:rPr>
        <w:t xml:space="preserve"> provide feedback</w:t>
      </w:r>
      <w:bookmarkEnd w:id="73"/>
      <w:bookmarkEnd w:id="74"/>
      <w:bookmarkEnd w:id="75"/>
      <w:bookmarkEnd w:id="76"/>
    </w:p>
    <w:p w14:paraId="10EBF826" w14:textId="77777777" w:rsidR="00F14D9B" w:rsidRDefault="00F14D9B" w:rsidP="006C7E6A">
      <w:pPr>
        <w:rPr>
          <w:b/>
          <w:bCs/>
        </w:rPr>
      </w:pPr>
      <w:r w:rsidRPr="00D26D22">
        <w:t xml:space="preserve">We want to hear your views on the proposed </w:t>
      </w:r>
      <w:r>
        <w:t xml:space="preserve">Long-term Insights Briefing </w:t>
      </w:r>
      <w:r w:rsidRPr="00D26D22">
        <w:t xml:space="preserve">topic of </w:t>
      </w:r>
      <w:r>
        <w:t>‘unlocking the potential of active ageing’</w:t>
      </w:r>
      <w:r w:rsidRPr="00D26D22">
        <w:t>, and your response</w:t>
      </w:r>
      <w:r>
        <w:t>s</w:t>
      </w:r>
      <w:r w:rsidRPr="00D26D22">
        <w:t xml:space="preserve"> to the specific questions </w:t>
      </w:r>
      <w:r>
        <w:t>on the following page</w:t>
      </w:r>
      <w:r w:rsidRPr="00D26D22">
        <w:t xml:space="preserve">. </w:t>
      </w:r>
    </w:p>
    <w:p w14:paraId="479B96E8" w14:textId="77777777" w:rsidR="00F14D9B" w:rsidRDefault="00F14D9B" w:rsidP="006C7E6A">
      <w:pPr>
        <w:rPr>
          <w:b/>
          <w:bCs/>
        </w:rPr>
      </w:pPr>
    </w:p>
    <w:p w14:paraId="36F91899" w14:textId="77777777" w:rsidR="00F14D9B" w:rsidRPr="00D26D22" w:rsidRDefault="00F14D9B" w:rsidP="006C7E6A">
      <w:r w:rsidRPr="007E2EC1">
        <w:t xml:space="preserve">This is the first </w:t>
      </w:r>
      <w:r>
        <w:t xml:space="preserve">of two </w:t>
      </w:r>
      <w:r w:rsidRPr="007E2EC1">
        <w:t xml:space="preserve">public consultation </w:t>
      </w:r>
      <w:r>
        <w:t xml:space="preserve">periods in </w:t>
      </w:r>
      <w:r w:rsidRPr="007E2EC1">
        <w:t>develop</w:t>
      </w:r>
      <w:r>
        <w:t>ing</w:t>
      </w:r>
      <w:r w:rsidRPr="007E2EC1">
        <w:t xml:space="preserve"> our </w:t>
      </w:r>
      <w:r>
        <w:t>LTIB</w:t>
      </w:r>
      <w:r w:rsidRPr="007E2EC1">
        <w:t>.</w:t>
      </w:r>
      <w:r>
        <w:t xml:space="preserve"> </w:t>
      </w:r>
      <w:r w:rsidRPr="00D26D22">
        <w:t>You can make a submission in any of the following ways</w:t>
      </w:r>
      <w:r>
        <w:t>:</w:t>
      </w:r>
    </w:p>
    <w:p w14:paraId="0D318904" w14:textId="77777777" w:rsidR="00F14D9B" w:rsidRPr="00D26D22" w:rsidRDefault="00F14D9B" w:rsidP="00F14D9B">
      <w:pPr>
        <w:pStyle w:val="Bullet"/>
        <w:tabs>
          <w:tab w:val="num" w:pos="284"/>
        </w:tabs>
      </w:pPr>
      <w:r w:rsidRPr="00D26D22">
        <w:t xml:space="preserve">Complete the online form </w:t>
      </w:r>
      <w:r>
        <w:t xml:space="preserve">on </w:t>
      </w:r>
      <w:hyperlink r:id="rId39" w:history="1">
        <w:r w:rsidRPr="00063004">
          <w:rPr>
            <w:rStyle w:val="Hyperlink"/>
          </w:rPr>
          <w:t>Citizen Space</w:t>
        </w:r>
      </w:hyperlink>
    </w:p>
    <w:p w14:paraId="4062135A" w14:textId="77777777" w:rsidR="00F14D9B" w:rsidRPr="00D26D22" w:rsidRDefault="00F14D9B" w:rsidP="00F14D9B">
      <w:pPr>
        <w:pStyle w:val="Bullet"/>
        <w:tabs>
          <w:tab w:val="num" w:pos="284"/>
        </w:tabs>
      </w:pPr>
      <w:r w:rsidRPr="00D26D22">
        <w:t xml:space="preserve">Email </w:t>
      </w:r>
      <w:hyperlink r:id="rId40" w:history="1">
        <w:r w:rsidRPr="00554594">
          <w:rPr>
            <w:rStyle w:val="Hyperlink"/>
          </w:rPr>
          <w:t>LTIB@health.govt.nz</w:t>
        </w:r>
      </w:hyperlink>
      <w:r>
        <w:t xml:space="preserve"> </w:t>
      </w:r>
      <w:r w:rsidRPr="00D26D22">
        <w:t xml:space="preserve">with your submission, including your response to the consultation </w:t>
      </w:r>
      <w:proofErr w:type="gramStart"/>
      <w:r w:rsidRPr="00D26D22">
        <w:t>questions</w:t>
      </w:r>
      <w:proofErr w:type="gramEnd"/>
    </w:p>
    <w:p w14:paraId="0D8D46AE" w14:textId="77777777" w:rsidR="00F14D9B" w:rsidRPr="00D26D22" w:rsidRDefault="00F14D9B" w:rsidP="00F14D9B">
      <w:pPr>
        <w:pStyle w:val="Bullet"/>
        <w:tabs>
          <w:tab w:val="num" w:pos="284"/>
        </w:tabs>
      </w:pPr>
      <w:r w:rsidRPr="00D26D22">
        <w:t>Write your response and mail it to:</w:t>
      </w:r>
    </w:p>
    <w:p w14:paraId="7FDD32A9" w14:textId="77777777" w:rsidR="00F14D9B" w:rsidRPr="001B3354" w:rsidRDefault="00F14D9B" w:rsidP="00F14D9B">
      <w:pPr>
        <w:pStyle w:val="ListParagraph"/>
        <w:spacing w:before="90"/>
        <w:ind w:left="851"/>
        <w:rPr>
          <w:rFonts w:cs="Segoe UI"/>
          <w:sz w:val="21"/>
          <w:szCs w:val="21"/>
        </w:rPr>
      </w:pPr>
      <w:r w:rsidRPr="001B3354">
        <w:rPr>
          <w:rFonts w:cs="Segoe UI"/>
          <w:sz w:val="21"/>
          <w:szCs w:val="21"/>
        </w:rPr>
        <w:t>Strategy Group</w:t>
      </w:r>
    </w:p>
    <w:p w14:paraId="63ED7919" w14:textId="77777777" w:rsidR="00F14D9B" w:rsidRPr="001B3354" w:rsidRDefault="00F14D9B" w:rsidP="00F14D9B">
      <w:pPr>
        <w:pStyle w:val="ListParagraph"/>
        <w:ind w:left="851"/>
        <w:rPr>
          <w:rFonts w:cs="Segoe UI"/>
          <w:sz w:val="21"/>
          <w:szCs w:val="21"/>
        </w:rPr>
      </w:pPr>
      <w:r w:rsidRPr="001B3354">
        <w:rPr>
          <w:rFonts w:cs="Segoe UI"/>
          <w:sz w:val="21"/>
          <w:szCs w:val="21"/>
        </w:rPr>
        <w:t>Ministry of Health</w:t>
      </w:r>
    </w:p>
    <w:p w14:paraId="284BB017" w14:textId="77777777" w:rsidR="00F14D9B" w:rsidRPr="001B3354" w:rsidRDefault="00F14D9B" w:rsidP="00F14D9B">
      <w:pPr>
        <w:pStyle w:val="ListParagraph"/>
        <w:ind w:left="851"/>
        <w:rPr>
          <w:rFonts w:cs="Segoe UI"/>
          <w:sz w:val="21"/>
          <w:szCs w:val="21"/>
        </w:rPr>
      </w:pPr>
      <w:r w:rsidRPr="001B3354">
        <w:rPr>
          <w:rFonts w:cs="Segoe UI"/>
          <w:sz w:val="21"/>
          <w:szCs w:val="21"/>
        </w:rPr>
        <w:t>PO Box 5013</w:t>
      </w:r>
    </w:p>
    <w:p w14:paraId="7AAF2D6E" w14:textId="77777777" w:rsidR="00F14D9B" w:rsidRPr="001B3354" w:rsidRDefault="00F14D9B" w:rsidP="00F14D9B">
      <w:pPr>
        <w:pStyle w:val="ListParagraph"/>
        <w:spacing w:after="0"/>
        <w:ind w:left="851"/>
        <w:rPr>
          <w:rFonts w:cs="Segoe UI"/>
          <w:sz w:val="21"/>
          <w:szCs w:val="21"/>
        </w:rPr>
      </w:pPr>
      <w:r w:rsidRPr="001B3354">
        <w:rPr>
          <w:rFonts w:cs="Segoe UI"/>
          <w:sz w:val="21"/>
          <w:szCs w:val="21"/>
        </w:rPr>
        <w:t>Wellington 6140</w:t>
      </w:r>
    </w:p>
    <w:p w14:paraId="2D6ED551" w14:textId="77777777" w:rsidR="00F14D9B" w:rsidRDefault="00F14D9B" w:rsidP="006C7E6A"/>
    <w:p w14:paraId="0FFA3DC0" w14:textId="77777777" w:rsidR="00F14D9B" w:rsidRPr="00D26D22" w:rsidRDefault="00F14D9B" w:rsidP="006C7E6A">
      <w:r>
        <w:t>In your submission, p</w:t>
      </w:r>
      <w:r w:rsidRPr="00D26D22">
        <w:t xml:space="preserve">lease indicate if you wish to </w:t>
      </w:r>
      <w:r>
        <w:t>receive updates, including on any further opportunities for feedback</w:t>
      </w:r>
      <w:r w:rsidRPr="00D26D22">
        <w:t xml:space="preserve"> as we develop the</w:t>
      </w:r>
      <w:r>
        <w:t xml:space="preserve"> LTIB</w:t>
      </w:r>
      <w:r w:rsidRPr="00D26D22">
        <w:t>.</w:t>
      </w:r>
    </w:p>
    <w:p w14:paraId="0E1FA081" w14:textId="77777777" w:rsidR="00F14D9B" w:rsidRPr="00D26D22" w:rsidRDefault="00F14D9B" w:rsidP="006C7E6A">
      <w:pPr>
        <w:rPr>
          <w:b/>
          <w:bCs/>
          <w:sz w:val="36"/>
          <w:szCs w:val="36"/>
        </w:rPr>
      </w:pPr>
    </w:p>
    <w:p w14:paraId="6E5D3FB7" w14:textId="77777777" w:rsidR="00F14D9B" w:rsidRDefault="00F14D9B" w:rsidP="00F14D9B">
      <w:pPr>
        <w:pStyle w:val="Heading1"/>
        <w:sectPr w:rsidR="00F14D9B" w:rsidSect="00D533DB">
          <w:pgSz w:w="11907" w:h="16840" w:code="9"/>
          <w:pgMar w:top="1418" w:right="1701" w:bottom="1134" w:left="1843" w:header="284" w:footer="425" w:gutter="284"/>
          <w:cols w:space="720"/>
        </w:sectPr>
      </w:pPr>
      <w:bookmarkStart w:id="77" w:name="_Toc119924247"/>
    </w:p>
    <w:p w14:paraId="0A623AEE" w14:textId="77777777" w:rsidR="00F14D9B" w:rsidRPr="006C7E6A" w:rsidRDefault="00F14D9B" w:rsidP="006C7E6A">
      <w:pPr>
        <w:pStyle w:val="Heading1"/>
        <w:rPr>
          <w:sz w:val="60"/>
          <w:szCs w:val="60"/>
        </w:rPr>
      </w:pPr>
      <w:bookmarkStart w:id="78" w:name="_Toc180663974"/>
      <w:bookmarkStart w:id="79" w:name="_Toc181273820"/>
      <w:bookmarkStart w:id="80" w:name="_Toc181362048"/>
      <w:bookmarkStart w:id="81" w:name="_Toc181362227"/>
      <w:r w:rsidRPr="006C7E6A">
        <w:rPr>
          <w:sz w:val="60"/>
          <w:szCs w:val="60"/>
        </w:rPr>
        <w:lastRenderedPageBreak/>
        <w:t>Questions for your feedback</w:t>
      </w:r>
      <w:bookmarkEnd w:id="77"/>
      <w:bookmarkEnd w:id="78"/>
      <w:bookmarkEnd w:id="79"/>
      <w:bookmarkEnd w:id="80"/>
      <w:bookmarkEnd w:id="81"/>
    </w:p>
    <w:p w14:paraId="1E3F7C4E" w14:textId="1D4D0572" w:rsidR="00F14D9B" w:rsidRPr="006C7E6A" w:rsidRDefault="00F14D9B" w:rsidP="006C7E6A">
      <w:pPr>
        <w:pStyle w:val="Heading2"/>
      </w:pPr>
      <w:bookmarkStart w:id="82" w:name="_Toc180663975"/>
      <w:bookmarkStart w:id="83" w:name="_Toc181273821"/>
      <w:bookmarkStart w:id="84" w:name="_Toc181362049"/>
      <w:bookmarkStart w:id="85" w:name="_Toc181362228"/>
      <w:r w:rsidRPr="006C7E6A">
        <w:t>Unlocking the potential of active ageing</w:t>
      </w:r>
      <w:bookmarkEnd w:id="82"/>
      <w:bookmarkEnd w:id="83"/>
      <w:bookmarkEnd w:id="84"/>
      <w:bookmarkEnd w:id="85"/>
    </w:p>
    <w:p w14:paraId="2216113C" w14:textId="77777777" w:rsidR="006C7E6A" w:rsidRPr="00CF1667" w:rsidRDefault="006C7E6A" w:rsidP="0002324C">
      <w:pPr>
        <w:pStyle w:val="Number"/>
        <w:ind w:left="426" w:hanging="426"/>
      </w:pPr>
      <w:r w:rsidRPr="00CF1667">
        <w:t xml:space="preserve">Do you think ‘active ageing’ is a </w:t>
      </w:r>
      <w:r w:rsidRPr="00CF1667">
        <w:rPr>
          <w:b/>
        </w:rPr>
        <w:t>critical topic</w:t>
      </w:r>
      <w:r w:rsidRPr="00CF1667">
        <w:t xml:space="preserve"> to explore in a Long-</w:t>
      </w:r>
      <w:r>
        <w:t>t</w:t>
      </w:r>
      <w:r w:rsidRPr="00CF1667">
        <w:t>erm Insights Briefing? Why or why not?</w:t>
      </w:r>
    </w:p>
    <w:p w14:paraId="439FE132" w14:textId="77777777" w:rsidR="006C7E6A" w:rsidRPr="00C035E5" w:rsidRDefault="006C7E6A" w:rsidP="0002324C">
      <w:pPr>
        <w:pStyle w:val="Number"/>
        <w:ind w:left="426" w:hanging="426"/>
      </w:pPr>
      <w:r w:rsidRPr="0060711C">
        <w:t xml:space="preserve">What are the </w:t>
      </w:r>
      <w:r w:rsidRPr="0060711C">
        <w:rPr>
          <w:b/>
        </w:rPr>
        <w:t xml:space="preserve">main </w:t>
      </w:r>
      <w:r>
        <w:rPr>
          <w:b/>
        </w:rPr>
        <w:t xml:space="preserve">risks </w:t>
      </w:r>
      <w:r w:rsidRPr="00F04270">
        <w:rPr>
          <w:bCs/>
        </w:rPr>
        <w:t>of</w:t>
      </w:r>
      <w:r w:rsidRPr="0060711C">
        <w:t xml:space="preserve"> not further enabling ‘active ageing’ over the next 20 years?</w:t>
      </w:r>
    </w:p>
    <w:p w14:paraId="678F100E" w14:textId="77777777" w:rsidR="006C7E6A" w:rsidRPr="0060711C" w:rsidRDefault="006C7E6A" w:rsidP="0002324C">
      <w:pPr>
        <w:pStyle w:val="Number"/>
        <w:ind w:left="426" w:hanging="426"/>
      </w:pPr>
      <w:r w:rsidRPr="0060711C">
        <w:t xml:space="preserve">What </w:t>
      </w:r>
      <w:r w:rsidRPr="0060711C">
        <w:rPr>
          <w:b/>
        </w:rPr>
        <w:t>health</w:t>
      </w:r>
      <w:r>
        <w:rPr>
          <w:b/>
        </w:rPr>
        <w:t>-</w:t>
      </w:r>
      <w:r w:rsidRPr="0060711C">
        <w:rPr>
          <w:b/>
        </w:rPr>
        <w:t>promoting</w:t>
      </w:r>
      <w:r w:rsidRPr="0060711C">
        <w:t xml:space="preserve"> and </w:t>
      </w:r>
      <w:r w:rsidRPr="0060711C">
        <w:rPr>
          <w:b/>
        </w:rPr>
        <w:t>supportive environments</w:t>
      </w:r>
      <w:r w:rsidRPr="0060711C">
        <w:t xml:space="preserve"> would better enable ‘active ageing’? </w:t>
      </w:r>
    </w:p>
    <w:p w14:paraId="1FC6A0DD" w14:textId="4C65BDD8" w:rsidR="006C7E6A" w:rsidRPr="006C7E6A" w:rsidRDefault="006C7E6A" w:rsidP="0002324C">
      <w:pPr>
        <w:pStyle w:val="Number"/>
        <w:ind w:left="426" w:hanging="426"/>
      </w:pPr>
      <w:r w:rsidRPr="55C69564">
        <w:rPr>
          <w:color w:val="000000" w:themeColor="text1"/>
        </w:rPr>
        <w:t xml:space="preserve">What </w:t>
      </w:r>
      <w:r w:rsidRPr="55C69564">
        <w:rPr>
          <w:b/>
          <w:color w:val="000000" w:themeColor="text1"/>
        </w:rPr>
        <w:t>barriers</w:t>
      </w:r>
      <w:r w:rsidRPr="55C69564">
        <w:rPr>
          <w:color w:val="000000" w:themeColor="text1"/>
        </w:rPr>
        <w:t xml:space="preserve"> to ‘active ageing’ do you see in our environment and </w:t>
      </w:r>
      <w:r>
        <w:rPr>
          <w:color w:val="000000" w:themeColor="text1"/>
        </w:rPr>
        <w:t>society</w:t>
      </w:r>
      <w:r w:rsidRPr="55C69564">
        <w:rPr>
          <w:color w:val="000000" w:themeColor="text1"/>
        </w:rPr>
        <w:t>?</w:t>
      </w:r>
    </w:p>
    <w:p w14:paraId="1858C325" w14:textId="77777777" w:rsidR="00F14D9B" w:rsidRPr="00503372" w:rsidRDefault="00F14D9B" w:rsidP="00F14D9B">
      <w:pPr>
        <w:pStyle w:val="Heading2"/>
      </w:pPr>
      <w:bookmarkStart w:id="86" w:name="_Toc180663976"/>
      <w:bookmarkStart w:id="87" w:name="_Toc181273822"/>
      <w:bookmarkStart w:id="88" w:name="_Toc181362050"/>
      <w:bookmarkStart w:id="89" w:name="_Toc181362229"/>
      <w:r w:rsidRPr="00503372">
        <w:t>Areas of focus</w:t>
      </w:r>
      <w:bookmarkStart w:id="90" w:name="_Toc119924248"/>
      <w:bookmarkEnd w:id="86"/>
      <w:bookmarkEnd w:id="87"/>
      <w:bookmarkEnd w:id="88"/>
      <w:bookmarkEnd w:id="89"/>
    </w:p>
    <w:p w14:paraId="20433158" w14:textId="77777777" w:rsidR="00F14D9B" w:rsidRDefault="00F14D9B" w:rsidP="0002324C">
      <w:pPr>
        <w:pStyle w:val="Number"/>
        <w:ind w:left="426" w:hanging="426"/>
      </w:pPr>
      <w:r>
        <w:t xml:space="preserve">Considering the list of potential focus areas below, do </w:t>
      </w:r>
      <w:r w:rsidRPr="00E55022">
        <w:t xml:space="preserve">you think these </w:t>
      </w:r>
      <w:r>
        <w:t xml:space="preserve">focus </w:t>
      </w:r>
      <w:r w:rsidRPr="00E55022">
        <w:t xml:space="preserve">areas are the </w:t>
      </w:r>
      <w:r w:rsidRPr="006C7E6A">
        <w:rPr>
          <w:b/>
          <w:bCs/>
        </w:rPr>
        <w:t>most important</w:t>
      </w:r>
      <w:r w:rsidRPr="00E55022">
        <w:t xml:space="preserve"> for enabling or demonstrating the impact of ‘active ageing’? If not, what other areas would you propose?</w:t>
      </w:r>
    </w:p>
    <w:p w14:paraId="4CC8BAB6" w14:textId="77777777" w:rsidR="00F14D9B" w:rsidRPr="00E55022" w:rsidRDefault="00F14D9B" w:rsidP="006C7E6A"/>
    <w:p w14:paraId="2C67EB67" w14:textId="3260A6B0" w:rsidR="00F14D9B" w:rsidRPr="006C7E6A" w:rsidRDefault="00F14D9B" w:rsidP="0002324C">
      <w:pPr>
        <w:ind w:left="426"/>
      </w:pPr>
      <w:r w:rsidRPr="00FC0E43">
        <w:t xml:space="preserve">These are the focus areas </w:t>
      </w:r>
      <w:r>
        <w:t>we may</w:t>
      </w:r>
      <w:r w:rsidRPr="00FC0E43">
        <w:t xml:space="preserve"> consider further in the development of the L</w:t>
      </w:r>
      <w:r>
        <w:t>ong-term Insights Briefing</w:t>
      </w:r>
      <w:r w:rsidRPr="00FC0E43">
        <w:t>:</w:t>
      </w:r>
    </w:p>
    <w:p w14:paraId="29BEA99B" w14:textId="77777777" w:rsidR="00F14D9B" w:rsidRPr="006C7E6A" w:rsidRDefault="00F14D9B" w:rsidP="0002324C">
      <w:pPr>
        <w:pStyle w:val="Bullet"/>
        <w:tabs>
          <w:tab w:val="left" w:pos="851"/>
        </w:tabs>
        <w:ind w:left="851" w:hanging="425"/>
      </w:pPr>
      <w:r w:rsidRPr="006C7E6A">
        <w:t xml:space="preserve">social connectedness, including marae-based positive </w:t>
      </w:r>
      <w:proofErr w:type="gramStart"/>
      <w:r w:rsidRPr="006C7E6A">
        <w:t>ageing</w:t>
      </w:r>
      <w:proofErr w:type="gramEnd"/>
    </w:p>
    <w:p w14:paraId="127D7B53" w14:textId="77777777" w:rsidR="00F14D9B" w:rsidRPr="006C7E6A" w:rsidRDefault="00F14D9B" w:rsidP="0002324C">
      <w:pPr>
        <w:pStyle w:val="Bullet"/>
        <w:tabs>
          <w:tab w:val="left" w:pos="851"/>
        </w:tabs>
        <w:ind w:left="851" w:hanging="425"/>
      </w:pPr>
      <w:r w:rsidRPr="006C7E6A">
        <w:t>age-friendly housing and urban development</w:t>
      </w:r>
    </w:p>
    <w:p w14:paraId="72F0D4B9" w14:textId="77777777" w:rsidR="00F14D9B" w:rsidRPr="006C7E6A" w:rsidRDefault="00F14D9B" w:rsidP="0002324C">
      <w:pPr>
        <w:pStyle w:val="Bullet"/>
        <w:tabs>
          <w:tab w:val="left" w:pos="851"/>
        </w:tabs>
        <w:ind w:left="851" w:hanging="425"/>
      </w:pPr>
      <w:r w:rsidRPr="006C7E6A">
        <w:t>age-friendly neighbourhoods and environments</w:t>
      </w:r>
    </w:p>
    <w:p w14:paraId="1C1DB88B" w14:textId="77777777" w:rsidR="00F14D9B" w:rsidRPr="006C7E6A" w:rsidRDefault="00F14D9B" w:rsidP="0002324C">
      <w:pPr>
        <w:pStyle w:val="Bullet"/>
        <w:tabs>
          <w:tab w:val="left" w:pos="851"/>
        </w:tabs>
        <w:ind w:left="851" w:hanging="425"/>
      </w:pPr>
      <w:r w:rsidRPr="006C7E6A">
        <w:t>age-friendly transportation</w:t>
      </w:r>
    </w:p>
    <w:p w14:paraId="3B3D5F5F" w14:textId="77777777" w:rsidR="00F14D9B" w:rsidRPr="006C7E6A" w:rsidRDefault="00F14D9B" w:rsidP="0002324C">
      <w:pPr>
        <w:pStyle w:val="Bullet"/>
        <w:tabs>
          <w:tab w:val="left" w:pos="851"/>
        </w:tabs>
        <w:ind w:left="851" w:hanging="425"/>
      </w:pPr>
      <w:r w:rsidRPr="006C7E6A">
        <w:t xml:space="preserve">supporting health-protective factors and behaviours </w:t>
      </w:r>
    </w:p>
    <w:p w14:paraId="3C80A62A" w14:textId="77777777" w:rsidR="00F14D9B" w:rsidRPr="006C7E6A" w:rsidRDefault="00F14D9B" w:rsidP="0002324C">
      <w:pPr>
        <w:pStyle w:val="Bullet"/>
        <w:tabs>
          <w:tab w:val="left" w:pos="851"/>
        </w:tabs>
        <w:ind w:left="851" w:hanging="425"/>
      </w:pPr>
      <w:r w:rsidRPr="006C7E6A">
        <w:t>supporting active ageing in the health workforce so that older workers can continue to contribute to it.</w:t>
      </w:r>
    </w:p>
    <w:p w14:paraId="2E736D41" w14:textId="77777777" w:rsidR="00F14D9B" w:rsidRDefault="00F14D9B" w:rsidP="00F14D9B">
      <w:pPr>
        <w:rPr>
          <w:b/>
        </w:rPr>
      </w:pPr>
    </w:p>
    <w:p w14:paraId="1D3321D8" w14:textId="77777777" w:rsidR="00F14D9B" w:rsidRPr="0033528C" w:rsidRDefault="00F14D9B" w:rsidP="00F14D9B">
      <w:pPr>
        <w:rPr>
          <w:b/>
        </w:rPr>
        <w:sectPr w:rsidR="00F14D9B" w:rsidRPr="0033528C" w:rsidSect="00D533DB">
          <w:pgSz w:w="11907" w:h="16840" w:code="9"/>
          <w:pgMar w:top="1418" w:right="1701" w:bottom="1134" w:left="1843" w:header="284" w:footer="425" w:gutter="284"/>
          <w:cols w:space="720"/>
        </w:sectPr>
      </w:pPr>
      <w:r>
        <w:rPr>
          <w:b/>
        </w:rPr>
        <w:t>You are welcome to provide broader feedback on the proposed topic of active ageing that the questions above do not cover.</w:t>
      </w:r>
    </w:p>
    <w:p w14:paraId="4DA61D08" w14:textId="77777777" w:rsidR="00F14D9B" w:rsidRPr="00800759" w:rsidRDefault="00F14D9B" w:rsidP="00F14D9B">
      <w:pPr>
        <w:pStyle w:val="Heading1"/>
        <w:spacing w:before="0"/>
        <w:rPr>
          <w:sz w:val="60"/>
          <w:szCs w:val="60"/>
        </w:rPr>
      </w:pPr>
      <w:bookmarkStart w:id="91" w:name="_Toc180663977"/>
      <w:bookmarkStart w:id="92" w:name="_Toc181273823"/>
      <w:bookmarkStart w:id="93" w:name="_Toc181362051"/>
      <w:bookmarkStart w:id="94" w:name="_Toc181362230"/>
      <w:r w:rsidRPr="00800759">
        <w:rPr>
          <w:sz w:val="60"/>
          <w:szCs w:val="60"/>
        </w:rPr>
        <w:t>Annex 1: Use of information</w:t>
      </w:r>
      <w:bookmarkEnd w:id="90"/>
      <w:bookmarkEnd w:id="91"/>
      <w:bookmarkEnd w:id="92"/>
      <w:bookmarkEnd w:id="93"/>
      <w:bookmarkEnd w:id="94"/>
    </w:p>
    <w:p w14:paraId="78B49345" w14:textId="5351D22B" w:rsidR="00F14D9B" w:rsidRPr="00D26D22" w:rsidRDefault="00F14D9B" w:rsidP="00F14D9B">
      <w:r w:rsidRPr="00D26D22">
        <w:t xml:space="preserve">We will use the information provided in submissions </w:t>
      </w:r>
      <w:r>
        <w:t>to</w:t>
      </w:r>
      <w:r w:rsidRPr="00D26D22">
        <w:t xml:space="preserve"> develo</w:t>
      </w:r>
      <w:r>
        <w:t>p</w:t>
      </w:r>
      <w:r w:rsidRPr="00D26D22">
        <w:t xml:space="preserve"> our </w:t>
      </w:r>
      <w:r>
        <w:t>Long-term Insights Briefing</w:t>
      </w:r>
      <w:r w:rsidRPr="00D26D22">
        <w:t xml:space="preserve">. </w:t>
      </w:r>
      <w:r w:rsidR="00926D91">
        <w:t>The Ministry of Health</w:t>
      </w:r>
      <w:r w:rsidRPr="00D26D22">
        <w:t xml:space="preserve"> may contact you </w:t>
      </w:r>
      <w:r>
        <w:t>about your feedback</w:t>
      </w:r>
      <w:r w:rsidRPr="00D26D22">
        <w:t xml:space="preserve"> if we need to clarify any matters you raise in your submission</w:t>
      </w:r>
      <w:r>
        <w:t>.</w:t>
      </w:r>
    </w:p>
    <w:p w14:paraId="4282B654" w14:textId="77777777" w:rsidR="00F14D9B" w:rsidRPr="001614F4" w:rsidRDefault="00F14D9B" w:rsidP="00F14D9B">
      <w:pPr>
        <w:pStyle w:val="Heading2"/>
      </w:pPr>
      <w:bookmarkStart w:id="95" w:name="_Toc181273824"/>
      <w:bookmarkStart w:id="96" w:name="_Toc181362052"/>
      <w:bookmarkStart w:id="97" w:name="_Toc181362231"/>
      <w:bookmarkStart w:id="98" w:name="_Toc180663978"/>
      <w:r w:rsidRPr="001614F4">
        <w:t>Publishing information</w:t>
      </w:r>
      <w:bookmarkEnd w:id="95"/>
      <w:bookmarkEnd w:id="96"/>
      <w:bookmarkEnd w:id="97"/>
      <w:r w:rsidRPr="001614F4">
        <w:t xml:space="preserve"> </w:t>
      </w:r>
      <w:bookmarkEnd w:id="98"/>
    </w:p>
    <w:p w14:paraId="2B997C86" w14:textId="77777777" w:rsidR="00F14D9B" w:rsidRDefault="00F14D9B" w:rsidP="006C7E6A">
      <w:r w:rsidRPr="00D26D22">
        <w:t xml:space="preserve">We will publish a summary of the feedback we receive through this consultation. </w:t>
      </w:r>
    </w:p>
    <w:p w14:paraId="3A4AE983" w14:textId="77777777" w:rsidR="00F14D9B" w:rsidRPr="00D26D22" w:rsidRDefault="00F14D9B" w:rsidP="006C7E6A"/>
    <w:p w14:paraId="66ED0F58" w14:textId="04F89E61" w:rsidR="00F14D9B" w:rsidRDefault="00926D91" w:rsidP="006C7E6A">
      <w:r>
        <w:t>The Ministry of Health</w:t>
      </w:r>
      <w:r w:rsidR="00F14D9B" w:rsidRPr="00D26D22">
        <w:t xml:space="preserve"> will consider that, by making the submission, you have consented to publication of material contained within your submission, unless you clearly specify otherwise in the submission. If your submission contains any information that is confidential or you </w:t>
      </w:r>
      <w:r w:rsidR="00F14D9B">
        <w:t>do not want</w:t>
      </w:r>
      <w:r w:rsidR="00F14D9B" w:rsidRPr="00D26D22">
        <w:t xml:space="preserve"> </w:t>
      </w:r>
      <w:r w:rsidR="00F14D9B">
        <w:t>it</w:t>
      </w:r>
      <w:r w:rsidR="00F14D9B" w:rsidRPr="00D26D22">
        <w:t xml:space="preserve"> publish</w:t>
      </w:r>
      <w:r w:rsidR="00F14D9B">
        <w:t>ed</w:t>
      </w:r>
      <w:r w:rsidR="00F14D9B" w:rsidRPr="00D26D22">
        <w:t xml:space="preserve"> for another reason, please indicate this at the top of the submission and mark any confidential information clearly within the text.</w:t>
      </w:r>
    </w:p>
    <w:p w14:paraId="2F728B1F" w14:textId="77777777" w:rsidR="00F14D9B" w:rsidRPr="00D26D22" w:rsidRDefault="00F14D9B" w:rsidP="006C7E6A"/>
    <w:p w14:paraId="584FEA2B" w14:textId="77777777" w:rsidR="00F14D9B" w:rsidRDefault="00F14D9B" w:rsidP="006C7E6A">
      <w:r w:rsidRPr="00D26D22">
        <w:t>While we collect submitter</w:t>
      </w:r>
      <w:r>
        <w:t>’</w:t>
      </w:r>
      <w:r w:rsidRPr="00D26D22">
        <w:t xml:space="preserve">s names and contact information, please note that personal contact details and names will </w:t>
      </w:r>
      <w:r w:rsidRPr="00D26D22">
        <w:rPr>
          <w:b/>
          <w:bCs/>
        </w:rPr>
        <w:t>not</w:t>
      </w:r>
      <w:r w:rsidRPr="00D26D22">
        <w:t xml:space="preserve"> be shared or published through the summary of submissions.</w:t>
      </w:r>
    </w:p>
    <w:p w14:paraId="0CD75F85" w14:textId="77777777" w:rsidR="00F14D9B" w:rsidRPr="00D26D22" w:rsidRDefault="00F14D9B" w:rsidP="006C7E6A"/>
    <w:p w14:paraId="3D783A5F" w14:textId="2E9266A8" w:rsidR="00F14D9B" w:rsidRPr="00D26D22" w:rsidRDefault="00F14D9B" w:rsidP="006C7E6A">
      <w:r w:rsidRPr="00D26D22">
        <w:t xml:space="preserve">Submissions remain subject to requests under the Official Information Act 1982. If you have concerns about your response and name being released, please note this in your submission, </w:t>
      </w:r>
      <w:r>
        <w:t xml:space="preserve">along </w:t>
      </w:r>
      <w:r w:rsidRPr="00D26D22">
        <w:t>with</w:t>
      </w:r>
      <w:r>
        <w:t xml:space="preserve"> the</w:t>
      </w:r>
      <w:r w:rsidRPr="00D26D22">
        <w:t xml:space="preserve"> reason why your name or parts of the submission should be withheld from any future request under the Official Information Act 1982. </w:t>
      </w:r>
      <w:r w:rsidR="00926D91">
        <w:t>The Ministry of Health</w:t>
      </w:r>
      <w:r w:rsidR="008221DF">
        <w:t xml:space="preserve"> </w:t>
      </w:r>
      <w:r w:rsidRPr="00D26D22">
        <w:t xml:space="preserve">will take such </w:t>
      </w:r>
      <w:r w:rsidRPr="00D26D22" w:rsidDel="009C5D9A">
        <w:t xml:space="preserve">objections </w:t>
      </w:r>
      <w:r w:rsidRPr="00D26D22">
        <w:t xml:space="preserve">into account and will consult with submitters who have raised objections to the full release of their submission under the Official Information Act 1982. Note that the Official Information Act recognises the privacy of natural persons as a reason for withholding information, such as their contact details. </w:t>
      </w:r>
    </w:p>
    <w:p w14:paraId="48642C2C" w14:textId="77777777" w:rsidR="00F14D9B" w:rsidRPr="002E65F4" w:rsidRDefault="00F14D9B" w:rsidP="00F14D9B">
      <w:pPr>
        <w:pStyle w:val="Heading2"/>
      </w:pPr>
      <w:bookmarkStart w:id="99" w:name="_Toc180663979"/>
      <w:bookmarkStart w:id="100" w:name="_Toc181273825"/>
      <w:bookmarkStart w:id="101" w:name="_Toc181362053"/>
      <w:bookmarkStart w:id="102" w:name="_Toc181362232"/>
      <w:r w:rsidRPr="002E65F4">
        <w:t>Private information</w:t>
      </w:r>
      <w:bookmarkEnd w:id="99"/>
      <w:bookmarkEnd w:id="100"/>
      <w:bookmarkEnd w:id="101"/>
      <w:bookmarkEnd w:id="102"/>
      <w:r w:rsidRPr="002E65F4">
        <w:t xml:space="preserve"> </w:t>
      </w:r>
    </w:p>
    <w:p w14:paraId="45FF6FC6" w14:textId="571F3D83" w:rsidR="00F14D9B" w:rsidRDefault="00F14D9B" w:rsidP="00F14D9B">
      <w:r w:rsidRPr="00D26D22">
        <w:rPr>
          <w:rFonts w:cs="Segoe UI"/>
          <w:szCs w:val="24"/>
        </w:rPr>
        <w:t xml:space="preserve">The Privacy Act 2020 establishes certain principles about how various agencies can collect, use and disclose information about individuals. Any personal information you supply to </w:t>
      </w:r>
      <w:r w:rsidR="00926D91">
        <w:rPr>
          <w:rFonts w:cs="Segoe UI"/>
          <w:szCs w:val="24"/>
        </w:rPr>
        <w:t>the Ministry of Health</w:t>
      </w:r>
      <w:r w:rsidRPr="00D26D22">
        <w:rPr>
          <w:rFonts w:cs="Segoe UI"/>
          <w:szCs w:val="24"/>
        </w:rPr>
        <w:t xml:space="preserve"> in making a submission will be used </w:t>
      </w:r>
      <w:r>
        <w:rPr>
          <w:rFonts w:cs="Segoe UI"/>
          <w:szCs w:val="24"/>
        </w:rPr>
        <w:t xml:space="preserve">only </w:t>
      </w:r>
      <w:r w:rsidRPr="00D26D22">
        <w:rPr>
          <w:rFonts w:cs="Segoe UI"/>
          <w:szCs w:val="24"/>
        </w:rPr>
        <w:t>for the purpose of helping to develop the Long-term Insights Briefing.</w:t>
      </w:r>
    </w:p>
    <w:p w14:paraId="736FC5F5" w14:textId="77777777" w:rsidR="00F14D9B" w:rsidRDefault="00F14D9B" w:rsidP="00F14D9B"/>
    <w:p w14:paraId="0EDA88D2" w14:textId="77777777" w:rsidR="00D662F8" w:rsidRPr="00E53A9F" w:rsidRDefault="00D662F8" w:rsidP="0043478F">
      <w:pPr>
        <w:rPr>
          <w:rStyle w:val="Hyperlink"/>
        </w:rPr>
      </w:pPr>
    </w:p>
    <w:sectPr w:rsidR="00D662F8" w:rsidRPr="00E53A9F" w:rsidSect="00B44E09">
      <w:headerReference w:type="default" r:id="rId41"/>
      <w:footerReference w:type="even" r:id="rId42"/>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56C1" w14:textId="77777777" w:rsidR="0004350B" w:rsidRDefault="0004350B">
      <w:r>
        <w:separator/>
      </w:r>
    </w:p>
    <w:p w14:paraId="18940BAC" w14:textId="77777777" w:rsidR="0004350B" w:rsidRDefault="0004350B"/>
  </w:endnote>
  <w:endnote w:type="continuationSeparator" w:id="0">
    <w:p w14:paraId="7E576630" w14:textId="77777777" w:rsidR="0004350B" w:rsidRDefault="0004350B">
      <w:r>
        <w:continuationSeparator/>
      </w:r>
    </w:p>
    <w:p w14:paraId="79F83440" w14:textId="77777777" w:rsidR="0004350B" w:rsidRDefault="00043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1EDC71E0" w:rsidR="005A79E5" w:rsidRPr="00581136" w:rsidRDefault="005A79E5" w:rsidP="005A79E5">
    <w:pPr>
      <w:pStyle w:val="Footer"/>
      <w:pBdr>
        <w:bottom w:val="single" w:sz="4" w:space="1" w:color="auto"/>
      </w:pBdr>
      <w:tabs>
        <w:tab w:val="right" w:pos="9639"/>
      </w:tabs>
      <w:rPr>
        <w:b/>
      </w:rPr>
    </w:pPr>
    <w:r w:rsidRPr="00581136">
      <w:rPr>
        <w:b/>
      </w:rPr>
      <w:t>Released 20</w:t>
    </w:r>
    <w:r w:rsidR="00651CC6">
      <w:rPr>
        <w:b/>
      </w:rPr>
      <w:t>2</w:t>
    </w:r>
    <w:r w:rsidR="00F14D9B">
      <w:rPr>
        <w:b/>
      </w:rPr>
      <w:t>4</w:t>
    </w:r>
    <w:r w:rsidRPr="00581136">
      <w:rPr>
        <w:b/>
      </w:rPr>
      <w:tab/>
      <w:t>health.govt.nz</w:t>
    </w:r>
  </w:p>
  <w:p w14:paraId="524869F6" w14:textId="77777777" w:rsidR="005A79E5" w:rsidRPr="005A79E5" w:rsidRDefault="005A79E5">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14D9B" w14:paraId="5D1CB910" w14:textId="77777777">
      <w:trPr>
        <w:cantSplit/>
      </w:trPr>
      <w:tc>
        <w:tcPr>
          <w:tcW w:w="8080" w:type="dxa"/>
          <w:vAlign w:val="center"/>
        </w:tcPr>
        <w:p w14:paraId="07709D13" w14:textId="77777777" w:rsidR="00F14D9B" w:rsidRDefault="00F14D9B">
          <w:pPr>
            <w:pStyle w:val="RectoFooter"/>
            <w:jc w:val="left"/>
          </w:pPr>
          <w:r w:rsidRPr="00876BB9">
            <w:t xml:space="preserve">Unlocking the potential of active ageing: </w:t>
          </w:r>
          <w:r w:rsidRPr="00CC3BBD">
            <w:t>Creating</w:t>
          </w:r>
          <w:r w:rsidRPr="00876BB9">
            <w:t xml:space="preserve"> health</w:t>
          </w:r>
          <w:r>
            <w:t>-</w:t>
          </w:r>
          <w:r w:rsidRPr="00876BB9">
            <w:t xml:space="preserve">promoting and supportive environments to </w:t>
          </w:r>
          <w:r w:rsidRPr="00CC3BBD">
            <w:t>empower</w:t>
          </w:r>
          <w:r w:rsidRPr="00876BB9">
            <w:t xml:space="preserve"> older people</w:t>
          </w:r>
          <w:r w:rsidRPr="00CC3BBD">
            <w:t xml:space="preserve"> and enhance</w:t>
          </w:r>
          <w:r w:rsidRPr="00876BB9">
            <w:t xml:space="preserve"> their contributions</w:t>
          </w:r>
          <w:r>
            <w:t xml:space="preserve"> to society</w:t>
          </w:r>
        </w:p>
      </w:tc>
      <w:tc>
        <w:tcPr>
          <w:tcW w:w="709" w:type="dxa"/>
          <w:vAlign w:val="center"/>
        </w:tcPr>
        <w:p w14:paraId="06469708" w14:textId="77777777" w:rsidR="00F14D9B" w:rsidRPr="00931466" w:rsidRDefault="00F14D9B">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31F48CA1" w14:textId="77777777" w:rsidR="00F14D9B" w:rsidRPr="00581EB8" w:rsidRDefault="00F14D9B">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D662F8" w14:paraId="7E34FA6B" w14:textId="77777777" w:rsidTr="00D662F8">
      <w:trPr>
        <w:cantSplit/>
      </w:trPr>
      <w:tc>
        <w:tcPr>
          <w:tcW w:w="675" w:type="dxa"/>
          <w:vAlign w:val="center"/>
        </w:tcPr>
        <w:p w14:paraId="6281C31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26F0F">
            <w:rPr>
              <w:rStyle w:val="PageNumber"/>
              <w:noProof/>
            </w:rPr>
            <w:t>2</w:t>
          </w:r>
          <w:r w:rsidRPr="00931466">
            <w:rPr>
              <w:rStyle w:val="PageNumber"/>
            </w:rPr>
            <w:fldChar w:fldCharType="end"/>
          </w:r>
        </w:p>
      </w:tc>
      <w:tc>
        <w:tcPr>
          <w:tcW w:w="9072" w:type="dxa"/>
          <w:vAlign w:val="center"/>
        </w:tcPr>
        <w:p w14:paraId="27262A64" w14:textId="77777777" w:rsidR="00D662F8" w:rsidRDefault="00D662F8" w:rsidP="000D58DD">
          <w:pPr>
            <w:pStyle w:val="RectoFooter"/>
            <w:jc w:val="left"/>
          </w:pPr>
          <w:r>
            <w:t>[TITLE]</w:t>
          </w:r>
        </w:p>
      </w:tc>
    </w:tr>
  </w:tbl>
  <w:p w14:paraId="5177CEA2" w14:textId="77777777" w:rsidR="00926083" w:rsidRPr="00571223" w:rsidRDefault="00926083"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926083" w:rsidRDefault="0092608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926083" w:rsidRDefault="00926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14D9B" w14:paraId="7C777731" w14:textId="77777777">
      <w:trPr>
        <w:cantSplit/>
        <w:trHeight w:val="568"/>
      </w:trPr>
      <w:tc>
        <w:tcPr>
          <w:tcW w:w="709" w:type="dxa"/>
          <w:vAlign w:val="center"/>
        </w:tcPr>
        <w:p w14:paraId="1E73CE19" w14:textId="77777777" w:rsidR="00F14D9B" w:rsidRPr="00931466" w:rsidRDefault="00F14D9B">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5BB65213" w14:textId="77777777" w:rsidR="00F14D9B" w:rsidRDefault="00F14D9B">
          <w:pPr>
            <w:pStyle w:val="RectoFooter"/>
            <w:jc w:val="left"/>
          </w:pPr>
          <w:r w:rsidRPr="00876BB9">
            <w:t>Unlocking the potential of active ageing: How to create health promoting and supportive environments to unlock the potential of active ageing, empowering older people, at their pinnacle to prolong their significant contributions to society.</w:t>
          </w:r>
        </w:p>
      </w:tc>
    </w:tr>
  </w:tbl>
  <w:p w14:paraId="0E24A045" w14:textId="77777777" w:rsidR="00F14D9B" w:rsidRPr="00571223" w:rsidRDefault="00F14D9B">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14D9B" w14:paraId="712AA1D3" w14:textId="77777777">
      <w:trPr>
        <w:cantSplit/>
      </w:trPr>
      <w:tc>
        <w:tcPr>
          <w:tcW w:w="8080" w:type="dxa"/>
          <w:vAlign w:val="center"/>
        </w:tcPr>
        <w:p w14:paraId="6281EC4E" w14:textId="77777777" w:rsidR="00F14D9B" w:rsidRDefault="00F14D9B">
          <w:pPr>
            <w:pStyle w:val="RectoFooter"/>
            <w:jc w:val="left"/>
          </w:pPr>
          <w:r w:rsidRPr="00876BB9">
            <w:t xml:space="preserve">Unlocking the potential of active ageing: </w:t>
          </w:r>
          <w:r w:rsidRPr="00CC3BBD">
            <w:t>Creating</w:t>
          </w:r>
          <w:r w:rsidRPr="00876BB9">
            <w:t xml:space="preserve"> health</w:t>
          </w:r>
          <w:r>
            <w:t>-</w:t>
          </w:r>
          <w:r w:rsidRPr="00876BB9">
            <w:t xml:space="preserve">promoting and supportive environments to </w:t>
          </w:r>
          <w:r w:rsidRPr="00CC3BBD">
            <w:t>empower</w:t>
          </w:r>
          <w:r w:rsidRPr="00876BB9">
            <w:t xml:space="preserve"> older people</w:t>
          </w:r>
          <w:r w:rsidRPr="00CC3BBD">
            <w:t xml:space="preserve"> and enhance</w:t>
          </w:r>
          <w:r w:rsidRPr="00876BB9">
            <w:t xml:space="preserve"> their contributions</w:t>
          </w:r>
          <w:r>
            <w:t xml:space="preserve"> to society</w:t>
          </w:r>
        </w:p>
      </w:tc>
      <w:tc>
        <w:tcPr>
          <w:tcW w:w="709" w:type="dxa"/>
          <w:vAlign w:val="center"/>
        </w:tcPr>
        <w:p w14:paraId="2D535683" w14:textId="77777777" w:rsidR="00F14D9B" w:rsidRPr="00931466" w:rsidRDefault="00F14D9B">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0B8F0B60" w14:textId="77777777" w:rsidR="00F14D9B" w:rsidRPr="00581EB8" w:rsidRDefault="00F14D9B">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D662F8" w14:paraId="4C3A3BF7" w14:textId="77777777" w:rsidTr="00D662F8">
      <w:trPr>
        <w:cantSplit/>
      </w:trPr>
      <w:tc>
        <w:tcPr>
          <w:tcW w:w="709" w:type="dxa"/>
          <w:vAlign w:val="center"/>
        </w:tcPr>
        <w:p w14:paraId="28F87ED7" w14:textId="77777777" w:rsidR="00D662F8" w:rsidRPr="00931466" w:rsidRDefault="00D662F8"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05BB5">
            <w:rPr>
              <w:rStyle w:val="PageNumber"/>
              <w:noProof/>
            </w:rPr>
            <w:t>vi</w:t>
          </w:r>
          <w:r w:rsidRPr="00931466">
            <w:rPr>
              <w:rStyle w:val="PageNumber"/>
            </w:rPr>
            <w:fldChar w:fldCharType="end"/>
          </w:r>
        </w:p>
      </w:tc>
      <w:tc>
        <w:tcPr>
          <w:tcW w:w="8080" w:type="dxa"/>
          <w:vAlign w:val="center"/>
        </w:tcPr>
        <w:p w14:paraId="6026D159" w14:textId="0FD16BFC" w:rsidR="00D662F8" w:rsidRDefault="00F14D9B" w:rsidP="00926083">
          <w:pPr>
            <w:pStyle w:val="RectoFooter"/>
            <w:jc w:val="left"/>
          </w:pPr>
          <w:r w:rsidRPr="00876BB9">
            <w:t xml:space="preserve">Unlocking the potential of active ageing: </w:t>
          </w:r>
          <w:r w:rsidRPr="00CC3BBD">
            <w:t>Creating</w:t>
          </w:r>
          <w:r w:rsidRPr="00876BB9">
            <w:t xml:space="preserve"> health</w:t>
          </w:r>
          <w:r>
            <w:t>-</w:t>
          </w:r>
          <w:r w:rsidRPr="00876BB9">
            <w:t xml:space="preserve">promoting and supportive environments to </w:t>
          </w:r>
          <w:r w:rsidRPr="00CC3BBD">
            <w:t>empower</w:t>
          </w:r>
          <w:r w:rsidRPr="00876BB9">
            <w:t xml:space="preserve"> older people</w:t>
          </w:r>
          <w:r w:rsidRPr="00CC3BBD">
            <w:t xml:space="preserve"> and enhance</w:t>
          </w:r>
          <w:r w:rsidRPr="00876BB9">
            <w:t xml:space="preserve"> their contributions</w:t>
          </w:r>
          <w:r>
            <w:t xml:space="preserve"> to society</w:t>
          </w:r>
        </w:p>
      </w:tc>
    </w:tr>
  </w:tbl>
  <w:p w14:paraId="711B5D80" w14:textId="77777777" w:rsidR="00926083" w:rsidRPr="00571223" w:rsidRDefault="0092608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14D9B" w14:paraId="566FDD90" w14:textId="77777777" w:rsidTr="008757AB">
      <w:trPr>
        <w:cantSplit/>
      </w:trPr>
      <w:tc>
        <w:tcPr>
          <w:tcW w:w="8080" w:type="dxa"/>
          <w:vAlign w:val="center"/>
        </w:tcPr>
        <w:p w14:paraId="6C800E67" w14:textId="77777777" w:rsidR="00F14D9B" w:rsidRDefault="00F14D9B" w:rsidP="00F14D9B">
          <w:pPr>
            <w:pStyle w:val="RectoFooter"/>
            <w:jc w:val="left"/>
          </w:pPr>
          <w:r w:rsidRPr="00876BB9">
            <w:t xml:space="preserve">Unlocking the potential of active ageing: </w:t>
          </w:r>
          <w:r w:rsidRPr="00CC3BBD">
            <w:t>Creating</w:t>
          </w:r>
          <w:r w:rsidRPr="00876BB9">
            <w:t xml:space="preserve"> health</w:t>
          </w:r>
          <w:r>
            <w:t>-</w:t>
          </w:r>
          <w:r w:rsidRPr="00876BB9">
            <w:t xml:space="preserve">promoting and supportive environments to </w:t>
          </w:r>
          <w:r w:rsidRPr="00CC3BBD">
            <w:t>empower</w:t>
          </w:r>
          <w:r w:rsidRPr="00876BB9">
            <w:t xml:space="preserve"> older people</w:t>
          </w:r>
          <w:r w:rsidRPr="00CC3BBD">
            <w:t xml:space="preserve"> and enhance</w:t>
          </w:r>
          <w:r w:rsidRPr="00876BB9">
            <w:t xml:space="preserve"> their contributions</w:t>
          </w:r>
          <w:r>
            <w:t xml:space="preserve"> to society</w:t>
          </w:r>
        </w:p>
      </w:tc>
      <w:tc>
        <w:tcPr>
          <w:tcW w:w="709" w:type="dxa"/>
          <w:vAlign w:val="center"/>
        </w:tcPr>
        <w:p w14:paraId="07B56EFF" w14:textId="77777777" w:rsidR="00F14D9B" w:rsidRPr="00931466" w:rsidRDefault="00F14D9B" w:rsidP="00F14D9B">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7602107" w14:textId="77777777" w:rsidR="00D05D74" w:rsidRPr="00581EB8" w:rsidRDefault="00D05D74"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14D9B" w14:paraId="1C51A878" w14:textId="77777777" w:rsidTr="008757AB">
      <w:trPr>
        <w:cantSplit/>
      </w:trPr>
      <w:tc>
        <w:tcPr>
          <w:tcW w:w="709" w:type="dxa"/>
          <w:vAlign w:val="center"/>
        </w:tcPr>
        <w:p w14:paraId="08AD39E2" w14:textId="77777777" w:rsidR="00F14D9B" w:rsidRPr="00931466" w:rsidRDefault="00F14D9B" w:rsidP="00F14D9B">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789236EA" w14:textId="77777777" w:rsidR="00F14D9B" w:rsidRDefault="00F14D9B" w:rsidP="00F14D9B">
          <w:pPr>
            <w:pStyle w:val="RectoFooter"/>
            <w:jc w:val="left"/>
          </w:pPr>
          <w:r w:rsidRPr="00876BB9">
            <w:t xml:space="preserve">Unlocking the potential of active ageing: </w:t>
          </w:r>
          <w:r w:rsidRPr="00CC3BBD">
            <w:t>Creating</w:t>
          </w:r>
          <w:r w:rsidRPr="00876BB9">
            <w:t xml:space="preserve"> health</w:t>
          </w:r>
          <w:r>
            <w:t>-</w:t>
          </w:r>
          <w:r w:rsidRPr="00876BB9">
            <w:t xml:space="preserve">promoting and supportive environments to </w:t>
          </w:r>
          <w:r w:rsidRPr="00CC3BBD">
            <w:t>empower</w:t>
          </w:r>
          <w:r w:rsidRPr="00876BB9">
            <w:t xml:space="preserve"> older people</w:t>
          </w:r>
          <w:r w:rsidRPr="00CC3BBD">
            <w:t xml:space="preserve"> and enhance</w:t>
          </w:r>
          <w:r w:rsidRPr="00876BB9">
            <w:t xml:space="preserve"> their contributions</w:t>
          </w:r>
          <w:r>
            <w:t xml:space="preserve"> to society</w:t>
          </w:r>
        </w:p>
      </w:tc>
    </w:tr>
  </w:tbl>
  <w:p w14:paraId="7CA52C00" w14:textId="77777777" w:rsidR="00926083" w:rsidRPr="00571223" w:rsidRDefault="0092608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F14D9B" w14:paraId="7CE84787" w14:textId="77777777">
      <w:trPr>
        <w:cantSplit/>
      </w:trPr>
      <w:tc>
        <w:tcPr>
          <w:tcW w:w="709" w:type="dxa"/>
          <w:vAlign w:val="center"/>
        </w:tcPr>
        <w:p w14:paraId="5C4A9609" w14:textId="77777777" w:rsidR="00F14D9B" w:rsidRPr="00931466" w:rsidRDefault="00F14D9B">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346AB681" w14:textId="07888CDA" w:rsidR="00F14D9B" w:rsidRDefault="00B44E09">
          <w:pPr>
            <w:pStyle w:val="RectoFooter"/>
            <w:jc w:val="left"/>
          </w:pPr>
          <w:r w:rsidRPr="00876BB9">
            <w:t xml:space="preserve">Unlocking the potential of active ageing: </w:t>
          </w:r>
          <w:r w:rsidRPr="00CC3BBD">
            <w:t>Creating</w:t>
          </w:r>
          <w:r w:rsidRPr="00876BB9">
            <w:t xml:space="preserve"> health</w:t>
          </w:r>
          <w:r>
            <w:t>-</w:t>
          </w:r>
          <w:r w:rsidRPr="00876BB9">
            <w:t xml:space="preserve">promoting and supportive environments to </w:t>
          </w:r>
          <w:r w:rsidRPr="00CC3BBD">
            <w:t>empower</w:t>
          </w:r>
          <w:r w:rsidRPr="00876BB9">
            <w:t xml:space="preserve"> older people</w:t>
          </w:r>
          <w:r w:rsidRPr="00CC3BBD">
            <w:t xml:space="preserve"> and enhance</w:t>
          </w:r>
          <w:r w:rsidRPr="00876BB9">
            <w:t xml:space="preserve"> their contributions</w:t>
          </w:r>
          <w:r>
            <w:t xml:space="preserve"> to society</w:t>
          </w:r>
        </w:p>
      </w:tc>
    </w:tr>
  </w:tbl>
  <w:p w14:paraId="760D0FFC" w14:textId="77777777" w:rsidR="00F14D9B" w:rsidRPr="00571223" w:rsidRDefault="00F14D9B">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5E7D" w14:textId="77777777" w:rsidR="0004350B" w:rsidRPr="00A26E6B" w:rsidRDefault="0004350B" w:rsidP="00A26E6B"/>
  </w:footnote>
  <w:footnote w:type="continuationSeparator" w:id="0">
    <w:p w14:paraId="3D7CE0A9" w14:textId="77777777" w:rsidR="0004350B" w:rsidRDefault="0004350B">
      <w:r>
        <w:continuationSeparator/>
      </w:r>
    </w:p>
    <w:p w14:paraId="7AC386A3" w14:textId="77777777" w:rsidR="0004350B" w:rsidRDefault="0004350B"/>
  </w:footnote>
  <w:footnote w:id="1">
    <w:p w14:paraId="23459C6D" w14:textId="77777777" w:rsidR="00F14D9B" w:rsidRPr="005E5B80" w:rsidRDefault="00F14D9B" w:rsidP="00F14D9B">
      <w:pPr>
        <w:pStyle w:val="FootnoteText"/>
        <w:spacing w:before="0" w:line="240" w:lineRule="auto"/>
        <w:rPr>
          <w:lang w:val="mi-NZ"/>
        </w:rPr>
      </w:pPr>
      <w:r>
        <w:rPr>
          <w:rStyle w:val="FootnoteReference"/>
        </w:rPr>
        <w:footnoteRef/>
      </w:r>
      <w:r w:rsidRPr="00D401A8">
        <w:rPr>
          <w:color w:val="595959" w:themeColor="text1" w:themeTint="A6"/>
        </w:rPr>
        <w:t xml:space="preserve"> </w:t>
      </w:r>
      <w:r w:rsidRPr="0008137F">
        <w:t xml:space="preserve">Stats NZ. 2024. </w:t>
      </w:r>
      <w:r w:rsidRPr="0008137F">
        <w:rPr>
          <w:iCs/>
        </w:rPr>
        <w:t>Births and deaths: Year ended December 2023 (including abridged period life table).</w:t>
      </w:r>
      <w:r w:rsidRPr="0008137F">
        <w:t xml:space="preserve"> URL: </w:t>
      </w:r>
      <w:hyperlink r:id="rId1" w:history="1">
        <w:r w:rsidRPr="006965A2">
          <w:rPr>
            <w:rStyle w:val="Hyperlink"/>
            <w:sz w:val="16"/>
            <w:szCs w:val="14"/>
          </w:rPr>
          <w:t>stats.govt.nz/information-releases/births-and-deaths-year-ended-december-2023-including-abridged-period-life-table</w:t>
        </w:r>
      </w:hyperlink>
      <w:r w:rsidRPr="006965A2">
        <w:rPr>
          <w:sz w:val="12"/>
          <w:szCs w:val="14"/>
        </w:rPr>
        <w:t xml:space="preserve"> </w:t>
      </w:r>
      <w:r w:rsidRPr="0008137F">
        <w:t>(accessed October 2024).</w:t>
      </w:r>
    </w:p>
  </w:footnote>
  <w:footnote w:id="2">
    <w:p w14:paraId="408ECACE" w14:textId="77777777" w:rsidR="00F14D9B" w:rsidRPr="00C63109" w:rsidRDefault="00F14D9B" w:rsidP="00F14D9B">
      <w:pPr>
        <w:pStyle w:val="FootnoteText"/>
        <w:spacing w:before="0" w:line="240" w:lineRule="auto"/>
        <w:rPr>
          <w:lang w:val="mi-NZ"/>
        </w:rPr>
      </w:pPr>
      <w:r>
        <w:rPr>
          <w:rStyle w:val="FootnoteReference"/>
        </w:rPr>
        <w:footnoteRef/>
      </w:r>
      <w:r>
        <w:t xml:space="preserve"> </w:t>
      </w:r>
      <w:r w:rsidRPr="0008137F">
        <w:t xml:space="preserve">Stats NZ. 2021. New Zealand cohort life tables, March 2023. URL: </w:t>
      </w:r>
      <w:hyperlink r:id="rId2" w:history="1">
        <w:r w:rsidRPr="008A6EBA">
          <w:rPr>
            <w:rStyle w:val="Hyperlink"/>
          </w:rPr>
          <w:t>stats.govt.nz/information-releases/new-zealand-cohort-life-tables-march-2023-update/</w:t>
        </w:r>
      </w:hyperlink>
      <w:r>
        <w:rPr>
          <w:rStyle w:val="Hyperlink"/>
        </w:rPr>
        <w:t xml:space="preserve"> </w:t>
      </w:r>
      <w:r w:rsidRPr="0008137F">
        <w:t>(accessed October 2024).</w:t>
      </w:r>
    </w:p>
  </w:footnote>
  <w:footnote w:id="3">
    <w:p w14:paraId="41071192" w14:textId="77777777" w:rsidR="00F14D9B" w:rsidRPr="00DC2979" w:rsidRDefault="00F14D9B" w:rsidP="00F14D9B">
      <w:pPr>
        <w:ind w:left="284" w:hanging="284"/>
        <w:rPr>
          <w:color w:val="595959" w:themeColor="text1" w:themeTint="A6"/>
          <w:lang w:val="mi-NZ"/>
        </w:rPr>
      </w:pPr>
      <w:r w:rsidRPr="0008137F">
        <w:rPr>
          <w:rStyle w:val="FootnoteReference"/>
          <w:rFonts w:cs="Segoe UI"/>
          <w:sz w:val="17"/>
          <w:szCs w:val="17"/>
        </w:rPr>
        <w:footnoteRef/>
      </w:r>
      <w:r>
        <w:rPr>
          <w:color w:val="595959" w:themeColor="text1" w:themeTint="A6"/>
          <w:sz w:val="17"/>
          <w:szCs w:val="17"/>
        </w:rPr>
        <w:t xml:space="preserve"> </w:t>
      </w:r>
      <w:r w:rsidRPr="0008137F">
        <w:rPr>
          <w:sz w:val="17"/>
          <w:szCs w:val="17"/>
        </w:rPr>
        <w:t xml:space="preserve">Ministry of Health. 2023. </w:t>
      </w:r>
      <w:r w:rsidRPr="0008137F">
        <w:rPr>
          <w:i/>
          <w:sz w:val="17"/>
          <w:szCs w:val="17"/>
        </w:rPr>
        <w:t xml:space="preserve">Health and Independence Report 2023. </w:t>
      </w:r>
      <w:r w:rsidRPr="0008137F">
        <w:rPr>
          <w:sz w:val="17"/>
          <w:szCs w:val="17"/>
        </w:rPr>
        <w:t xml:space="preserve">URL: </w:t>
      </w:r>
      <w:hyperlink r:id="rId3" w:history="1">
        <w:r w:rsidRPr="0008137F">
          <w:rPr>
            <w:rStyle w:val="Hyperlink"/>
            <w:sz w:val="17"/>
            <w:szCs w:val="17"/>
          </w:rPr>
          <w:t>health.govt.nz/system/files/2024-008/Health%20and%20Independence%20Report%202023_online_f3.pdf</w:t>
        </w:r>
      </w:hyperlink>
      <w:r w:rsidRPr="0008137F">
        <w:rPr>
          <w:sz w:val="17"/>
          <w:szCs w:val="17"/>
        </w:rPr>
        <w:t xml:space="preserve"> (accessed October 2024).</w:t>
      </w:r>
    </w:p>
  </w:footnote>
  <w:footnote w:id="4">
    <w:p w14:paraId="4739F032" w14:textId="77777777" w:rsidR="00F14D9B" w:rsidRDefault="00F14D9B" w:rsidP="00F14D9B">
      <w:pPr>
        <w:pStyle w:val="FootnoteText"/>
        <w:spacing w:before="0" w:line="240" w:lineRule="auto"/>
      </w:pPr>
      <w:r w:rsidRPr="0008137F">
        <w:rPr>
          <w:rStyle w:val="FootnoteReference"/>
        </w:rPr>
        <w:footnoteRef/>
      </w:r>
      <w:r>
        <w:t xml:space="preserve"> Minister of Health. 2024. </w:t>
      </w:r>
      <w:r w:rsidRPr="00C16DD6">
        <w:rPr>
          <w:i/>
          <w:iCs/>
        </w:rPr>
        <w:t>Government Policy Statement on Health 2024–2027</w:t>
      </w:r>
      <w:r>
        <w:t>. Wellington: Ministry of Health.</w:t>
      </w:r>
    </w:p>
  </w:footnote>
  <w:footnote w:id="5">
    <w:p w14:paraId="14C0860F" w14:textId="77777777" w:rsidR="00F14D9B" w:rsidRPr="0008137F" w:rsidRDefault="00F14D9B" w:rsidP="00F14D9B">
      <w:pPr>
        <w:pStyle w:val="FootnoteText"/>
        <w:spacing w:before="0" w:line="240" w:lineRule="auto"/>
      </w:pPr>
      <w:r>
        <w:rPr>
          <w:rStyle w:val="FootnoteReference"/>
        </w:rPr>
        <w:footnoteRef/>
      </w:r>
      <w:r>
        <w:t xml:space="preserve"> </w:t>
      </w:r>
      <w:r w:rsidRPr="0008137F">
        <w:t xml:space="preserve">World Health Organization. 2002. </w:t>
      </w:r>
      <w:r w:rsidRPr="0008137F">
        <w:rPr>
          <w:i/>
        </w:rPr>
        <w:t>Active Ageing: A policy framework.</w:t>
      </w:r>
      <w:r w:rsidRPr="0008137F">
        <w:t xml:space="preserve"> URL: </w:t>
      </w:r>
      <w:hyperlink r:id="rId4" w:history="1">
        <w:r w:rsidRPr="0027342E">
          <w:rPr>
            <w:rStyle w:val="Hyperlink"/>
          </w:rPr>
          <w:t>extranet.who.int/agefriendlyworld/wp-content/uploads/2014/06/WHO-Active-Ageing-Framework.pdf</w:t>
        </w:r>
      </w:hyperlink>
      <w:r>
        <w:t xml:space="preserve"> </w:t>
      </w:r>
      <w:r w:rsidRPr="0008137F">
        <w:t>(accessed September 2024).</w:t>
      </w:r>
    </w:p>
  </w:footnote>
  <w:footnote w:id="6">
    <w:p w14:paraId="38E3A366" w14:textId="77777777" w:rsidR="00F14D9B" w:rsidRDefault="00F14D9B" w:rsidP="00D36835">
      <w:pPr>
        <w:pStyle w:val="FootnoteText"/>
        <w:spacing w:before="0" w:line="240" w:lineRule="auto"/>
      </w:pPr>
      <w:r>
        <w:rPr>
          <w:rStyle w:val="FootnoteReference"/>
        </w:rPr>
        <w:footnoteRef/>
      </w:r>
      <w:r>
        <w:t xml:space="preserve"> </w:t>
      </w:r>
      <w:r w:rsidRPr="0008137F">
        <w:t xml:space="preserve">World Health Organization. 2002. </w:t>
      </w:r>
      <w:r w:rsidRPr="0008137F">
        <w:rPr>
          <w:i/>
        </w:rPr>
        <w:t>Active Ageing: A policy framework.</w:t>
      </w:r>
      <w:r w:rsidRPr="0008137F">
        <w:t xml:space="preserve"> URL: </w:t>
      </w:r>
      <w:hyperlink r:id="rId5" w:history="1">
        <w:r w:rsidRPr="0027342E">
          <w:rPr>
            <w:rStyle w:val="Hyperlink"/>
          </w:rPr>
          <w:t>extranet.who.int/agefriendlyworld/wp-content/uploads/2014/06/WHO-Active-Ageing-Framework.pdf</w:t>
        </w:r>
      </w:hyperlink>
      <w:r>
        <w:t xml:space="preserve"> </w:t>
      </w:r>
      <w:r w:rsidRPr="0002324C">
        <w:t>(accessed September 2024).</w:t>
      </w:r>
    </w:p>
  </w:footnote>
  <w:footnote w:id="7">
    <w:p w14:paraId="10005181" w14:textId="77777777" w:rsidR="00F14D9B" w:rsidRDefault="00F14D9B" w:rsidP="00D36835">
      <w:pPr>
        <w:pStyle w:val="FootnoteText"/>
        <w:spacing w:before="0" w:line="240" w:lineRule="auto"/>
      </w:pPr>
      <w:r>
        <w:rPr>
          <w:rStyle w:val="FootnoteReference"/>
        </w:rPr>
        <w:footnoteRef/>
      </w:r>
      <w:r>
        <w:t xml:space="preserve"> Office for Seniors. 2019. </w:t>
      </w:r>
      <w:r w:rsidRPr="00C16DD6">
        <w:rPr>
          <w:i/>
          <w:iCs/>
        </w:rPr>
        <w:t xml:space="preserve">Better Later Life – He </w:t>
      </w:r>
      <w:r w:rsidRPr="00C16DD6">
        <w:rPr>
          <w:i/>
          <w:iCs/>
        </w:rPr>
        <w:t>Oranga Kaumātua 2019 to 2034</w:t>
      </w:r>
      <w:r>
        <w:t xml:space="preserve">. URL: </w:t>
      </w:r>
      <w:hyperlink r:id="rId6" w:history="1">
        <w:r w:rsidRPr="005B6335">
          <w:rPr>
            <w:rStyle w:val="Hyperlink"/>
          </w:rPr>
          <w:t>officeforseniors.govt.nz/better-later-life-strategy/</w:t>
        </w:r>
      </w:hyperlink>
      <w:r>
        <w:t xml:space="preserve"> (accessed October 2024).</w:t>
      </w:r>
    </w:p>
  </w:footnote>
  <w:footnote w:id="8">
    <w:p w14:paraId="77438658" w14:textId="77777777" w:rsidR="00F14D9B" w:rsidRDefault="00F14D9B" w:rsidP="00D36835">
      <w:pPr>
        <w:pStyle w:val="Imprint"/>
        <w:spacing w:after="0"/>
        <w:ind w:left="284" w:hanging="284"/>
      </w:pPr>
      <w:r w:rsidRPr="0008137F">
        <w:rPr>
          <w:rStyle w:val="FootnoteReference"/>
          <w:rFonts w:cs="Segoe UI"/>
          <w:sz w:val="17"/>
          <w:szCs w:val="17"/>
        </w:rPr>
        <w:footnoteRef/>
      </w:r>
      <w:r w:rsidRPr="00DC2979">
        <w:rPr>
          <w:color w:val="595959" w:themeColor="text1" w:themeTint="A6"/>
        </w:rPr>
        <w:t xml:space="preserve"> </w:t>
      </w:r>
      <w:r w:rsidRPr="0008137F">
        <w:rPr>
          <w:rStyle w:val="FootnoteTextChar"/>
        </w:rPr>
        <w:t xml:space="preserve">Stats NZ. 2022. One million people aged 65+ by 2028. </w:t>
      </w:r>
      <w:r w:rsidRPr="0008137F">
        <w:rPr>
          <w:rStyle w:val="Hyperlink"/>
          <w:sz w:val="17"/>
          <w:szCs w:val="17"/>
        </w:rPr>
        <w:t xml:space="preserve">URL: </w:t>
      </w:r>
      <w:hyperlink r:id="rId7" w:history="1">
        <w:r w:rsidRPr="0008137F">
          <w:rPr>
            <w:rStyle w:val="Hyperlink"/>
            <w:sz w:val="17"/>
            <w:szCs w:val="17"/>
          </w:rPr>
          <w:t>stats.govt.nz/news/one-million-people-aged-65-by-2028/</w:t>
        </w:r>
      </w:hyperlink>
      <w:r>
        <w:rPr>
          <w:rStyle w:val="FootnoteTextChar"/>
        </w:rPr>
        <w:t xml:space="preserve"> </w:t>
      </w:r>
      <w:r w:rsidRPr="0008137F">
        <w:rPr>
          <w:rStyle w:val="FootnoteTextChar"/>
        </w:rPr>
        <w:t>(accessed October 2024).</w:t>
      </w:r>
    </w:p>
  </w:footnote>
  <w:footnote w:id="9">
    <w:p w14:paraId="7485DEEB" w14:textId="77777777" w:rsidR="00F14D9B" w:rsidRPr="00BC587C" w:rsidRDefault="00F14D9B" w:rsidP="00F14D9B">
      <w:pPr>
        <w:pStyle w:val="FootnoteText"/>
        <w:spacing w:before="0" w:line="240" w:lineRule="auto"/>
      </w:pPr>
      <w:r w:rsidRPr="00BC587C">
        <w:rPr>
          <w:rStyle w:val="FootnoteReference"/>
        </w:rPr>
        <w:footnoteRef/>
      </w:r>
      <w:r w:rsidRPr="00BC587C">
        <w:t xml:space="preserve"> </w:t>
      </w:r>
      <w:r w:rsidRPr="0008137F">
        <w:t>The boundaries of generational groups vary, especially those used for some countries. The age cohort boundaries used in this report for the generational groups are: ‘Baby Boomers, 1946–1975; ‘Gen X’, 1976–1980; ‘Millennials’, 1981–1996.</w:t>
      </w:r>
      <w:r w:rsidRPr="00116E11">
        <w:rPr>
          <w:color w:val="595959" w:themeColor="text1" w:themeTint="A6"/>
        </w:rPr>
        <w:t xml:space="preserve"> </w:t>
      </w:r>
    </w:p>
  </w:footnote>
  <w:footnote w:id="10">
    <w:p w14:paraId="4EC5CE70" w14:textId="77777777" w:rsidR="00F14D9B" w:rsidRPr="00BC587C" w:rsidRDefault="00F14D9B" w:rsidP="00D36835">
      <w:pPr>
        <w:pStyle w:val="FootnoteText"/>
        <w:spacing w:before="0" w:line="240" w:lineRule="auto"/>
      </w:pPr>
      <w:r w:rsidRPr="00BC587C">
        <w:rPr>
          <w:rStyle w:val="FootnoteReference"/>
        </w:rPr>
        <w:footnoteRef/>
      </w:r>
      <w:r w:rsidRPr="00BC587C">
        <w:t xml:space="preserve"> </w:t>
      </w:r>
      <w:r w:rsidRPr="0002324C">
        <w:t xml:space="preserve">Stats NZ. 2022. National population projections: 2022(base)-2073. URL: </w:t>
      </w:r>
      <w:hyperlink r:id="rId8" w:history="1">
        <w:r w:rsidRPr="00D36835">
          <w:rPr>
            <w:rStyle w:val="Hyperlink"/>
          </w:rPr>
          <w:t>stats.govt.nz/information-releases/national-population-projections-2022base2073/</w:t>
        </w:r>
      </w:hyperlink>
      <w:r w:rsidRPr="00D36835">
        <w:t xml:space="preserve"> </w:t>
      </w:r>
      <w:r w:rsidRPr="0002324C">
        <w:t xml:space="preserve">(accessed October 2024). The analysis for the share of the generations is based on the single-year age projections up to 95 years of age, with some adjustments to split the population projections for those over 95 years group, reported as a single age-group, when more the one generation likely to have presence above 95 years of age. </w:t>
      </w:r>
    </w:p>
  </w:footnote>
  <w:footnote w:id="11">
    <w:p w14:paraId="158D7C47" w14:textId="77777777" w:rsidR="00F14D9B" w:rsidRPr="00627131" w:rsidRDefault="00F14D9B" w:rsidP="00D36835">
      <w:pPr>
        <w:pStyle w:val="FootnoteText"/>
        <w:spacing w:before="0" w:line="240" w:lineRule="auto"/>
        <w:rPr>
          <w:color w:val="595959" w:themeColor="text1" w:themeTint="A6"/>
        </w:rPr>
      </w:pPr>
      <w:r w:rsidRPr="00BC587C">
        <w:rPr>
          <w:rStyle w:val="FootnoteReference"/>
          <w:color w:val="595959" w:themeColor="text1" w:themeTint="A6"/>
        </w:rPr>
        <w:footnoteRef/>
      </w:r>
      <w:r w:rsidRPr="00BC587C">
        <w:rPr>
          <w:color w:val="595959" w:themeColor="text1" w:themeTint="A6"/>
        </w:rPr>
        <w:t xml:space="preserve"> </w:t>
      </w:r>
      <w:r w:rsidRPr="00D36835">
        <w:t xml:space="preserve">Stats NZ. 2022. National ethnic population projections: 2018(base)-2043. URL: </w:t>
      </w:r>
      <w:hyperlink r:id="rId9" w:history="1">
        <w:r w:rsidRPr="00D36835">
          <w:rPr>
            <w:rStyle w:val="Hyperlink"/>
          </w:rPr>
          <w:t>stats.govt.nz/information-releases/national-ethnic-population-projections-2018base-2043/</w:t>
        </w:r>
      </w:hyperlink>
      <w:r w:rsidRPr="00D36835">
        <w:t xml:space="preserve"> (accessed October 2024).</w:t>
      </w:r>
    </w:p>
  </w:footnote>
  <w:footnote w:id="12">
    <w:p w14:paraId="6FE55E3F" w14:textId="77777777" w:rsidR="00F14D9B" w:rsidRPr="004E5D8A" w:rsidRDefault="00F14D9B" w:rsidP="00D36835">
      <w:pPr>
        <w:pStyle w:val="FootnoteText"/>
        <w:spacing w:before="0" w:line="240" w:lineRule="auto"/>
        <w:rPr>
          <w:lang w:val="mi-NZ"/>
        </w:rPr>
      </w:pPr>
      <w:r>
        <w:rPr>
          <w:rStyle w:val="FootnoteReference"/>
        </w:rPr>
        <w:footnoteRef/>
      </w:r>
      <w:r>
        <w:t xml:space="preserve"> Stats NZ. 2022. Family and household projections 2018(base)-2043. URL: </w:t>
      </w:r>
      <w:hyperlink r:id="rId10" w:history="1">
        <w:r>
          <w:rPr>
            <w:rStyle w:val="Hyperlink"/>
          </w:rPr>
          <w:t>stats.govt.nz/information-releases/family-and-household-projections-2018base-2043/</w:t>
        </w:r>
      </w:hyperlink>
      <w:r>
        <w:t xml:space="preserve"> </w:t>
      </w:r>
      <w:r w:rsidRPr="00DC3639">
        <w:t xml:space="preserve">(accessed </w:t>
      </w:r>
      <w:r>
        <w:t>October</w:t>
      </w:r>
      <w:r w:rsidRPr="00DC3639">
        <w:t xml:space="preserve"> 2024</w:t>
      </w:r>
      <w:r>
        <w:t>).</w:t>
      </w:r>
    </w:p>
  </w:footnote>
  <w:footnote w:id="13">
    <w:p w14:paraId="4D5D8867" w14:textId="77777777" w:rsidR="00F14D9B" w:rsidRPr="00467BD8" w:rsidRDefault="00F14D9B" w:rsidP="00D36835">
      <w:pPr>
        <w:pStyle w:val="FootnoteText"/>
        <w:spacing w:before="0" w:line="240" w:lineRule="auto"/>
        <w:rPr>
          <w:lang w:val="mi-NZ"/>
        </w:rPr>
      </w:pPr>
      <w:r>
        <w:rPr>
          <w:rStyle w:val="FootnoteReference"/>
        </w:rPr>
        <w:footnoteRef/>
      </w:r>
      <w:r>
        <w:t xml:space="preserve"> </w:t>
      </w:r>
      <w:r w:rsidRPr="00DC3639">
        <w:t xml:space="preserve">Stats NZ. 2014. Disability Survey: 2013. URL: </w:t>
      </w:r>
      <w:hyperlink r:id="rId11" w:history="1">
        <w:r w:rsidRPr="001A26F8">
          <w:rPr>
            <w:rStyle w:val="Hyperlink"/>
          </w:rPr>
          <w:t>stats.govt.nz/information-releases/disability-survey-2013</w:t>
        </w:r>
      </w:hyperlink>
      <w:r>
        <w:t xml:space="preserve"> </w:t>
      </w:r>
      <w:r w:rsidRPr="00DC3639">
        <w:t xml:space="preserve">(accessed </w:t>
      </w:r>
      <w:r>
        <w:t>October</w:t>
      </w:r>
      <w:r w:rsidRPr="00DC3639">
        <w:t xml:space="preserve"> 2024</w:t>
      </w:r>
      <w:r>
        <w:t>).</w:t>
      </w:r>
    </w:p>
  </w:footnote>
  <w:footnote w:id="14">
    <w:p w14:paraId="1846B874" w14:textId="77777777" w:rsidR="00F14D9B" w:rsidRPr="004E5D8A" w:rsidRDefault="00F14D9B" w:rsidP="00D36835">
      <w:pPr>
        <w:pStyle w:val="FootnoteText"/>
        <w:spacing w:before="0" w:line="240" w:lineRule="auto"/>
        <w:rPr>
          <w:lang w:val="mi-NZ"/>
        </w:rPr>
      </w:pPr>
      <w:r>
        <w:rPr>
          <w:rStyle w:val="FootnoteReference"/>
        </w:rPr>
        <w:footnoteRef/>
      </w:r>
      <w:r>
        <w:t xml:space="preserve"> Stats NZ. 2022. Subnational population projections 2018(base)-2043. URL: </w:t>
      </w:r>
      <w:hyperlink r:id="rId12" w:history="1">
        <w:r w:rsidRPr="00426157">
          <w:rPr>
            <w:rStyle w:val="Hyperlink"/>
          </w:rPr>
          <w:t>stats.govt.nz/information-releases/subnational-population-projections-2018base2048/</w:t>
        </w:r>
      </w:hyperlink>
      <w:r w:rsidRPr="000A31F1">
        <w:t xml:space="preserve"> </w:t>
      </w:r>
      <w:r w:rsidRPr="00DC3639">
        <w:t xml:space="preserve">(accessed </w:t>
      </w:r>
      <w:r>
        <w:t>October</w:t>
      </w:r>
      <w:r w:rsidRPr="00DC3639">
        <w:t xml:space="preserve"> 2024</w:t>
      </w:r>
      <w:r>
        <w:t>).</w:t>
      </w:r>
    </w:p>
  </w:footnote>
  <w:footnote w:id="15">
    <w:p w14:paraId="6C1EF63B" w14:textId="77777777" w:rsidR="00F14D9B" w:rsidRDefault="00F14D9B" w:rsidP="00D36835">
      <w:pPr>
        <w:pStyle w:val="FootnoteText"/>
        <w:spacing w:before="0" w:line="240" w:lineRule="auto"/>
      </w:pPr>
      <w:r>
        <w:rPr>
          <w:rStyle w:val="FootnoteReference"/>
        </w:rPr>
        <w:footnoteRef/>
      </w:r>
      <w:r>
        <w:t xml:space="preserve"> </w:t>
      </w:r>
      <w:r w:rsidRPr="00D36835">
        <w:t xml:space="preserve">New Zealand Institute of Economic Research. 2024. </w:t>
      </w:r>
      <w:r w:rsidRPr="00D36835">
        <w:rPr>
          <w:i/>
          <w:iCs/>
        </w:rPr>
        <w:t>Business of Ageing: 2023 update. A report for the Office for Seniors.</w:t>
      </w:r>
      <w:r w:rsidRPr="00D36835">
        <w:t xml:space="preserve"> URL: </w:t>
      </w:r>
      <w:hyperlink r:id="rId13" w:history="1">
        <w:r>
          <w:rPr>
            <w:rStyle w:val="Hyperlink"/>
          </w:rPr>
          <w:t>officeforseniors.govt.nz/assets/Uploads/7000OFS_Business-of-Aging-update-2023_3.pdf</w:t>
        </w:r>
      </w:hyperlink>
      <w:r>
        <w:rPr>
          <w:rStyle w:val="Hyperlink"/>
        </w:rPr>
        <w:t xml:space="preserve"> </w:t>
      </w:r>
      <w:r w:rsidRPr="00D36835">
        <w:t>(accessed October 2024).</w:t>
      </w:r>
    </w:p>
  </w:footnote>
  <w:footnote w:id="16">
    <w:p w14:paraId="7AD92932" w14:textId="77777777" w:rsidR="00F14D9B" w:rsidRPr="00231906" w:rsidRDefault="00F14D9B" w:rsidP="00F14D9B">
      <w:pPr>
        <w:pStyle w:val="FootnoteText"/>
        <w:rPr>
          <w:lang w:val="mi-NZ"/>
        </w:rPr>
      </w:pPr>
      <w:r>
        <w:rPr>
          <w:rStyle w:val="FootnoteReference"/>
        </w:rPr>
        <w:footnoteRef/>
      </w:r>
      <w:r>
        <w:t xml:space="preserve"> </w:t>
      </w:r>
      <w:r w:rsidRPr="00D36835">
        <w:t xml:space="preserve">Stats NZ. 2022. Wellbeing Statistics 2021. URL: </w:t>
      </w:r>
      <w:hyperlink r:id="rId14" w:history="1">
        <w:r w:rsidRPr="00D36835">
          <w:rPr>
            <w:rStyle w:val="Hyperlink"/>
          </w:rPr>
          <w:t>https://www.stats.govt.nz/information-releases/wellbeing-statistics-2021-supplementary/</w:t>
        </w:r>
      </w:hyperlink>
      <w:r w:rsidRPr="00D36835">
        <w:rPr>
          <w:rStyle w:val="Hyperlink"/>
        </w:rPr>
        <w:t xml:space="preserve"> </w:t>
      </w:r>
      <w:r w:rsidRPr="00D36835">
        <w:t>(accessed October 2024).</w:t>
      </w:r>
    </w:p>
  </w:footnote>
  <w:footnote w:id="17">
    <w:p w14:paraId="780E556D" w14:textId="77777777" w:rsidR="00F14D9B" w:rsidRDefault="00F14D9B" w:rsidP="00D36835">
      <w:pPr>
        <w:pStyle w:val="FootnoteText"/>
        <w:spacing w:before="0" w:line="240" w:lineRule="auto"/>
      </w:pPr>
      <w:r>
        <w:rPr>
          <w:rStyle w:val="FootnoteReference"/>
        </w:rPr>
        <w:footnoteRef/>
      </w:r>
      <w:r>
        <w:t xml:space="preserve"> New Zealand Institute of Economic Research. 2024. </w:t>
      </w:r>
      <w:r w:rsidRPr="008F199F">
        <w:rPr>
          <w:i/>
        </w:rPr>
        <w:t>Business of Ageing</w:t>
      </w:r>
      <w:r w:rsidRPr="008F199F">
        <w:rPr>
          <w:i/>
          <w:iCs/>
        </w:rPr>
        <w:t>:</w:t>
      </w:r>
      <w:r w:rsidRPr="008F199F">
        <w:rPr>
          <w:i/>
        </w:rPr>
        <w:t xml:space="preserve"> 2023 update. A report for the Office for Seniors</w:t>
      </w:r>
      <w:r>
        <w:t xml:space="preserve">. </w:t>
      </w:r>
      <w:hyperlink r:id="rId15" w:history="1">
        <w:r>
          <w:rPr>
            <w:rStyle w:val="Hyperlink"/>
          </w:rPr>
          <w:t>officeforseniors.govt.nz/assets/Uploads/7000OFS_Business-of-Aging-update-2023_3.pdf</w:t>
        </w:r>
      </w:hyperlink>
      <w:r>
        <w:rPr>
          <w:rStyle w:val="Hyperlink"/>
        </w:rPr>
        <w:t xml:space="preserve"> </w:t>
      </w:r>
      <w:r w:rsidRPr="00932403">
        <w:rPr>
          <w:rStyle w:val="Hyperlink"/>
          <w:b w:val="0"/>
          <w:bCs/>
        </w:rPr>
        <w:t>(accessed October 2024).</w:t>
      </w:r>
    </w:p>
  </w:footnote>
  <w:footnote w:id="18">
    <w:p w14:paraId="58F036F3" w14:textId="77777777" w:rsidR="00F14D9B" w:rsidRDefault="00F14D9B" w:rsidP="00D36835">
      <w:pPr>
        <w:pStyle w:val="FootnoteText"/>
        <w:spacing w:before="0" w:line="240" w:lineRule="auto"/>
      </w:pPr>
      <w:r>
        <w:rPr>
          <w:rStyle w:val="FootnoteReference"/>
        </w:rPr>
        <w:footnoteRef/>
      </w:r>
      <w:r>
        <w:t xml:space="preserve"> New Zealand Council of Christian Social Services. 2023. </w:t>
      </w:r>
      <w:r>
        <w:rPr>
          <w:i/>
          <w:iCs/>
        </w:rPr>
        <w:t>Te Kōrero mō ngā Kaumātua: Exploring the context of older people in Aotearoa New Zealand.</w:t>
      </w:r>
      <w:r>
        <w:t xml:space="preserve"> URL: </w:t>
      </w:r>
      <w:hyperlink r:id="rId16" w:history="1">
        <w:r>
          <w:rPr>
            <w:rStyle w:val="Hyperlink"/>
          </w:rPr>
          <w:t>nzccss.org.nz/wp-content/uploads/2024/06/NZCCSS-Te-Korero-mo-nga-Kaumatua_August-2023.pdf</w:t>
        </w:r>
      </w:hyperlink>
      <w:r>
        <w:t xml:space="preserve"> (accessed October 2024).</w:t>
      </w:r>
    </w:p>
  </w:footnote>
  <w:footnote w:id="19">
    <w:p w14:paraId="1278E7F7" w14:textId="77777777" w:rsidR="00F14D9B" w:rsidRPr="001A1A70" w:rsidRDefault="00F14D9B" w:rsidP="00D36835">
      <w:pPr>
        <w:ind w:left="284" w:hanging="284"/>
        <w:rPr>
          <w:lang w:val="x-none"/>
        </w:rPr>
      </w:pPr>
      <w:r w:rsidRPr="00D36835">
        <w:rPr>
          <w:rStyle w:val="FootnoteReference"/>
          <w:sz w:val="17"/>
          <w:szCs w:val="17"/>
        </w:rPr>
        <w:footnoteRef/>
      </w:r>
      <w:r w:rsidRPr="000F51EB">
        <w:rPr>
          <w:color w:val="595959" w:themeColor="text1" w:themeTint="A6"/>
          <w:sz w:val="17"/>
          <w:szCs w:val="17"/>
        </w:rPr>
        <w:t xml:space="preserve"> </w:t>
      </w:r>
      <w:r w:rsidRPr="000F51EB">
        <w:rPr>
          <w:sz w:val="17"/>
          <w:szCs w:val="17"/>
        </w:rPr>
        <w:t xml:space="preserve">World Health Organization. 2002. </w:t>
      </w:r>
      <w:r w:rsidRPr="000F51EB">
        <w:rPr>
          <w:i/>
          <w:iCs/>
          <w:sz w:val="17"/>
          <w:szCs w:val="17"/>
        </w:rPr>
        <w:t>Active Ageing: A policy framework.</w:t>
      </w:r>
      <w:r w:rsidRPr="000F51EB">
        <w:rPr>
          <w:sz w:val="17"/>
          <w:szCs w:val="17"/>
        </w:rPr>
        <w:t xml:space="preserve"> URL: </w:t>
      </w:r>
      <w:hyperlink r:id="rId17" w:history="1">
        <w:r w:rsidRPr="000F51EB">
          <w:rPr>
            <w:rStyle w:val="Hyperlink"/>
            <w:sz w:val="17"/>
            <w:szCs w:val="17"/>
          </w:rPr>
          <w:t>extranet.who.int/agefriendlyworld/wp-content/uploads/2014/06/WHO-Active-Ageing-Framework.pdf</w:t>
        </w:r>
      </w:hyperlink>
      <w:r w:rsidRPr="000F51EB">
        <w:rPr>
          <w:sz w:val="17"/>
          <w:szCs w:val="17"/>
        </w:rPr>
        <w:t xml:space="preserve"> (accessed</w:t>
      </w:r>
      <w:r w:rsidRPr="00E052A0">
        <w:rPr>
          <w:sz w:val="17"/>
          <w:szCs w:val="17"/>
        </w:rPr>
        <w:t xml:space="preserve"> </w:t>
      </w:r>
      <w:r>
        <w:rPr>
          <w:sz w:val="17"/>
          <w:szCs w:val="17"/>
        </w:rPr>
        <w:t>September</w:t>
      </w:r>
      <w:r w:rsidRPr="00E052A0">
        <w:rPr>
          <w:sz w:val="17"/>
          <w:szCs w:val="17"/>
        </w:rPr>
        <w:t xml:space="preserve"> 2024).</w:t>
      </w:r>
    </w:p>
  </w:footnote>
  <w:footnote w:id="20">
    <w:p w14:paraId="4367A07C" w14:textId="77777777" w:rsidR="00F14D9B" w:rsidRPr="00684B67" w:rsidRDefault="00F14D9B" w:rsidP="006C7E6A">
      <w:pPr>
        <w:pStyle w:val="FootnoteText"/>
        <w:spacing w:before="0" w:line="240" w:lineRule="auto"/>
      </w:pPr>
      <w:r w:rsidRPr="006C7E6A">
        <w:rPr>
          <w:rStyle w:val="FootnoteReference"/>
        </w:rPr>
        <w:footnoteRef/>
      </w:r>
      <w:r w:rsidRPr="00684B67">
        <w:t xml:space="preserve"> </w:t>
      </w:r>
      <w:bookmarkStart w:id="55" w:name="_Hlk180493830"/>
      <w:r w:rsidRPr="006C7E6A">
        <w:t xml:space="preserve">Stats NZ. 2021. </w:t>
      </w:r>
      <w:r w:rsidRPr="006C7E6A">
        <w:rPr>
          <w:iCs/>
        </w:rPr>
        <w:t>National and subnational period life tables: 2017-2019.</w:t>
      </w:r>
      <w:r w:rsidRPr="006C7E6A">
        <w:t xml:space="preserve"> URL:</w:t>
      </w:r>
      <w:hyperlink r:id="rId18" w:history="1">
        <w:r w:rsidRPr="00684B67">
          <w:rPr>
            <w:rStyle w:val="Hyperlink"/>
          </w:rPr>
          <w:t xml:space="preserve"> stats.govt.nz/information-releases/national-and-subnational-period-life-tables-2017-2019</w:t>
        </w:r>
      </w:hyperlink>
      <w:r w:rsidRPr="00684B67">
        <w:t xml:space="preserve"> (accessed</w:t>
      </w:r>
      <w:r w:rsidRPr="00684B67">
        <w:rPr>
          <w:b/>
        </w:rPr>
        <w:t xml:space="preserve"> </w:t>
      </w:r>
      <w:r w:rsidRPr="00684B67">
        <w:t>October 2024).</w:t>
      </w:r>
      <w:bookmarkEnd w:id="55"/>
    </w:p>
  </w:footnote>
  <w:footnote w:id="21">
    <w:p w14:paraId="79847FE6" w14:textId="77777777" w:rsidR="00F14D9B" w:rsidRPr="006C7E6A" w:rsidRDefault="00F14D9B" w:rsidP="006C7E6A">
      <w:pPr>
        <w:pStyle w:val="FootnoteText"/>
        <w:spacing w:before="0" w:line="240" w:lineRule="auto"/>
      </w:pPr>
      <w:r>
        <w:rPr>
          <w:rStyle w:val="FootnoteReference"/>
        </w:rPr>
        <w:footnoteRef/>
      </w:r>
      <w:r>
        <w:t xml:space="preserve"> </w:t>
      </w:r>
      <w:r w:rsidRPr="006C7E6A">
        <w:rPr>
          <w:rFonts w:cs="Segoe UI"/>
        </w:rPr>
        <w:t xml:space="preserve">Waitangi Tribunal. 2019. </w:t>
      </w:r>
      <w:r w:rsidRPr="006C7E6A">
        <w:rPr>
          <w:rFonts w:cs="Segoe UI"/>
          <w:i/>
        </w:rPr>
        <w:t xml:space="preserve">Hauora Report on Stage One of the Health Services and Outcomes Kaupapa Inquiry. </w:t>
      </w:r>
      <w:r w:rsidRPr="006C7E6A">
        <w:rPr>
          <w:rFonts w:cs="Segoe UI"/>
        </w:rPr>
        <w:t xml:space="preserve">Wai 2575. Wellington: Waitangi Tribunal. URL: </w:t>
      </w:r>
      <w:hyperlink r:id="rId19" w:history="1">
        <w:r w:rsidRPr="00255A8C">
          <w:rPr>
            <w:rStyle w:val="Hyperlink"/>
          </w:rPr>
          <w:t>forms.justice.govt.nz/search/Documents/WT/wt_DOC_195476216/Hauora 2023 W.pdf</w:t>
        </w:r>
      </w:hyperlink>
      <w:r>
        <w:rPr>
          <w:rStyle w:val="Hyperlink"/>
        </w:rPr>
        <w:t xml:space="preserve"> </w:t>
      </w:r>
      <w:r w:rsidRPr="006C7E6A">
        <w:rPr>
          <w:rStyle w:val="Hyperlink"/>
          <w:b w:val="0"/>
          <w:bCs/>
          <w:color w:val="auto"/>
        </w:rPr>
        <w:t>(accessed October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A79E5" w14:paraId="11530A0D" w14:textId="77777777" w:rsidTr="008F2B72">
      <w:trPr>
        <w:cantSplit/>
      </w:trPr>
      <w:tc>
        <w:tcPr>
          <w:tcW w:w="5210" w:type="dxa"/>
          <w:vAlign w:val="center"/>
        </w:tcPr>
        <w:p w14:paraId="2BDE3162" w14:textId="4E67EED4" w:rsidR="005A79E5" w:rsidRDefault="00B26F0F" w:rsidP="00B26F0F">
          <w:pPr>
            <w:pStyle w:val="Header"/>
          </w:pPr>
          <w:bookmarkStart w:id="0" w:name="_Hlk110933925"/>
          <w:r>
            <w:rPr>
              <w:noProof/>
              <w:lang w:eastAsia="en-NZ"/>
            </w:rPr>
            <w:drawing>
              <wp:inline distT="0" distB="0" distL="0" distR="0" wp14:anchorId="04421456" wp14:editId="649C198B">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5A79E5" w:rsidRDefault="008F2B72" w:rsidP="00301815">
          <w:pPr>
            <w:pStyle w:val="Header"/>
            <w:jc w:val="right"/>
          </w:pPr>
          <w:r>
            <w:rPr>
              <w:noProof/>
            </w:rPr>
            <w:drawing>
              <wp:anchor distT="0" distB="0" distL="114300" distR="114300" simplePos="0" relativeHeight="251658240" behindDoc="0" locked="0" layoutInCell="1" allowOverlap="1" wp14:anchorId="1D75C094" wp14:editId="4ECFDD95">
                <wp:simplePos x="0" y="0"/>
                <wp:positionH relativeFrom="column">
                  <wp:posOffset>1365885</wp:posOffset>
                </wp:positionH>
                <wp:positionV relativeFrom="paragraph">
                  <wp:posOffset>-2540</wp:posOffset>
                </wp:positionV>
                <wp:extent cx="1518285" cy="718185"/>
                <wp:effectExtent l="0" t="0" r="0" b="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82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5665FD" w:rsidRDefault="005665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926083" w:rsidRDefault="00926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95FF" w14:textId="77777777" w:rsidR="00F14D9B" w:rsidRDefault="00F14D9B">
    <w:pPr>
      <w:pStyle w:val="Footer"/>
      <w:jc w:val="center"/>
    </w:pPr>
  </w:p>
  <w:p w14:paraId="367D11A2" w14:textId="77777777" w:rsidR="00F14D9B" w:rsidRDefault="00F14D9B">
    <w:pPr>
      <w:pStyle w:val="Footer"/>
      <w:jc w:val="center"/>
    </w:pPr>
    <w:r>
      <w:t>NOT GOVERNMENT POLICY</w:t>
    </w:r>
  </w:p>
  <w:p w14:paraId="771A3DF4" w14:textId="77777777" w:rsidR="00F14D9B" w:rsidRDefault="00F14D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5CCF" w14:textId="77777777" w:rsidR="00F14D9B" w:rsidRDefault="00F14D9B">
    <w:pPr>
      <w:pStyle w:val="Footer"/>
      <w:jc w:val="center"/>
    </w:pPr>
  </w:p>
  <w:p w14:paraId="56AC3D7A" w14:textId="77777777" w:rsidR="00F14D9B" w:rsidRDefault="00F14D9B">
    <w:pPr>
      <w:pStyle w:val="Header"/>
    </w:pPr>
  </w:p>
  <w:p w14:paraId="28BF47B7" w14:textId="77777777" w:rsidR="00F14D9B" w:rsidRDefault="00F14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FABF" w14:textId="77777777" w:rsidR="00F14D9B" w:rsidRDefault="00F14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E42F5D" w:rsidRDefault="00E42F5D" w:rsidP="00533B9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660F74" w:rsidRDefault="00660F74" w:rsidP="009001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8600" w14:textId="77777777" w:rsidR="00F14D9B" w:rsidRDefault="00F14D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754D" w14:textId="77777777" w:rsidR="00F14D9B" w:rsidRDefault="00F14D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CC02" w14:textId="77777777" w:rsidR="00F14D9B" w:rsidRDefault="00F1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F17"/>
    <w:multiLevelType w:val="hybridMultilevel"/>
    <w:tmpl w:val="7F263C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2F741C8"/>
    <w:multiLevelType w:val="hybridMultilevel"/>
    <w:tmpl w:val="A79ED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0E7CF7"/>
    <w:multiLevelType w:val="hybridMultilevel"/>
    <w:tmpl w:val="765C4CEE"/>
    <w:lvl w:ilvl="0" w:tplc="FFFFFFFF">
      <w:start w:val="1"/>
      <w:numFmt w:val="bullet"/>
      <w:lvlText w:val=""/>
      <w:lvlJc w:val="left"/>
      <w:pPr>
        <w:ind w:left="720" w:hanging="360"/>
      </w:pPr>
      <w:rPr>
        <w:rFonts w:ascii="Symbol" w:hAnsi="Symbol" w:hint="default"/>
      </w:rPr>
    </w:lvl>
    <w:lvl w:ilvl="1" w:tplc="CC56B09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D07AE1"/>
    <w:multiLevelType w:val="hybridMultilevel"/>
    <w:tmpl w:val="C1B6E140"/>
    <w:lvl w:ilvl="0" w:tplc="2D72C366">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667C2D"/>
    <w:multiLevelType w:val="hybridMultilevel"/>
    <w:tmpl w:val="2488E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565DB"/>
    <w:multiLevelType w:val="hybridMultilevel"/>
    <w:tmpl w:val="E11C933C"/>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0F2FB8"/>
    <w:multiLevelType w:val="hybridMultilevel"/>
    <w:tmpl w:val="A4FE4F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8723EB"/>
    <w:multiLevelType w:val="hybridMultilevel"/>
    <w:tmpl w:val="1AFC8A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32B6365"/>
    <w:multiLevelType w:val="hybridMultilevel"/>
    <w:tmpl w:val="E3AAA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48F4AF0"/>
    <w:multiLevelType w:val="hybridMultilevel"/>
    <w:tmpl w:val="3B42D5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F87675A"/>
    <w:multiLevelType w:val="hybridMultilevel"/>
    <w:tmpl w:val="044E794A"/>
    <w:lvl w:ilvl="0" w:tplc="1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283777544">
    <w:abstractNumId w:val="15"/>
  </w:num>
  <w:num w:numId="2" w16cid:durableId="373770280">
    <w:abstractNumId w:val="7"/>
  </w:num>
  <w:num w:numId="3" w16cid:durableId="1845245390">
    <w:abstractNumId w:val="8"/>
  </w:num>
  <w:num w:numId="4" w16cid:durableId="1783915541">
    <w:abstractNumId w:val="1"/>
  </w:num>
  <w:num w:numId="5" w16cid:durableId="643239952">
    <w:abstractNumId w:val="4"/>
  </w:num>
  <w:num w:numId="6" w16cid:durableId="1144396615">
    <w:abstractNumId w:val="0"/>
  </w:num>
  <w:num w:numId="7" w16cid:durableId="537665309">
    <w:abstractNumId w:val="11"/>
  </w:num>
  <w:num w:numId="8" w16cid:durableId="1637183408">
    <w:abstractNumId w:val="14"/>
  </w:num>
  <w:num w:numId="9" w16cid:durableId="2125035349">
    <w:abstractNumId w:val="2"/>
  </w:num>
  <w:num w:numId="10" w16cid:durableId="1502694609">
    <w:abstractNumId w:val="6"/>
  </w:num>
  <w:num w:numId="11" w16cid:durableId="698749244">
    <w:abstractNumId w:val="10"/>
  </w:num>
  <w:num w:numId="12" w16cid:durableId="388039324">
    <w:abstractNumId w:val="9"/>
  </w:num>
  <w:num w:numId="13" w16cid:durableId="1943683356">
    <w:abstractNumId w:val="13"/>
  </w:num>
  <w:num w:numId="14" w16cid:durableId="907114361">
    <w:abstractNumId w:val="5"/>
  </w:num>
  <w:num w:numId="15" w16cid:durableId="1630472329">
    <w:abstractNumId w:val="3"/>
  </w:num>
  <w:num w:numId="16" w16cid:durableId="996686259">
    <w:abstractNumId w:val="12"/>
  </w:num>
  <w:num w:numId="17" w16cid:durableId="481118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324C"/>
    <w:rsid w:val="00025A6F"/>
    <w:rsid w:val="0002618D"/>
    <w:rsid w:val="00030B26"/>
    <w:rsid w:val="00030E84"/>
    <w:rsid w:val="00032C0A"/>
    <w:rsid w:val="00035257"/>
    <w:rsid w:val="00035D68"/>
    <w:rsid w:val="0004350B"/>
    <w:rsid w:val="00054B44"/>
    <w:rsid w:val="0006228D"/>
    <w:rsid w:val="00072BD6"/>
    <w:rsid w:val="00073E0A"/>
    <w:rsid w:val="00075B78"/>
    <w:rsid w:val="000763E9"/>
    <w:rsid w:val="00082CD6"/>
    <w:rsid w:val="0008437D"/>
    <w:rsid w:val="00085AFE"/>
    <w:rsid w:val="00094800"/>
    <w:rsid w:val="0009562E"/>
    <w:rsid w:val="000A41ED"/>
    <w:rsid w:val="000B0730"/>
    <w:rsid w:val="000C7DD8"/>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1E7C"/>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C728D"/>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3A"/>
    <w:rsid w:val="003D137D"/>
    <w:rsid w:val="003D2CC5"/>
    <w:rsid w:val="003D4904"/>
    <w:rsid w:val="003E04C1"/>
    <w:rsid w:val="003E0887"/>
    <w:rsid w:val="003E74C8"/>
    <w:rsid w:val="003E7C46"/>
    <w:rsid w:val="003F2106"/>
    <w:rsid w:val="003F3CE0"/>
    <w:rsid w:val="003F52A7"/>
    <w:rsid w:val="003F7013"/>
    <w:rsid w:val="0040240C"/>
    <w:rsid w:val="00407F0E"/>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4A12"/>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18C9"/>
    <w:rsid w:val="005448EC"/>
    <w:rsid w:val="00545963"/>
    <w:rsid w:val="00550256"/>
    <w:rsid w:val="00553165"/>
    <w:rsid w:val="00553958"/>
    <w:rsid w:val="00556BB7"/>
    <w:rsid w:val="0055763D"/>
    <w:rsid w:val="00561516"/>
    <w:rsid w:val="005621F2"/>
    <w:rsid w:val="005665FD"/>
    <w:rsid w:val="00567B58"/>
    <w:rsid w:val="00571223"/>
    <w:rsid w:val="005763E0"/>
    <w:rsid w:val="005771C0"/>
    <w:rsid w:val="00581136"/>
    <w:rsid w:val="00581EB8"/>
    <w:rsid w:val="005A27CA"/>
    <w:rsid w:val="005A43BD"/>
    <w:rsid w:val="005A79E5"/>
    <w:rsid w:val="005D034C"/>
    <w:rsid w:val="005D3BF4"/>
    <w:rsid w:val="005E226E"/>
    <w:rsid w:val="005E2636"/>
    <w:rsid w:val="005F77FC"/>
    <w:rsid w:val="006015D7"/>
    <w:rsid w:val="00601B21"/>
    <w:rsid w:val="006041F0"/>
    <w:rsid w:val="00605C6D"/>
    <w:rsid w:val="006120CA"/>
    <w:rsid w:val="00613A40"/>
    <w:rsid w:val="00624174"/>
    <w:rsid w:val="00626CF8"/>
    <w:rsid w:val="006314AF"/>
    <w:rsid w:val="00634ED8"/>
    <w:rsid w:val="00636D7D"/>
    <w:rsid w:val="00637408"/>
    <w:rsid w:val="00637E2B"/>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C7E6A"/>
    <w:rsid w:val="006D1660"/>
    <w:rsid w:val="006D63E5"/>
    <w:rsid w:val="006E1753"/>
    <w:rsid w:val="006E3911"/>
    <w:rsid w:val="006F1B67"/>
    <w:rsid w:val="006F4D9C"/>
    <w:rsid w:val="006F7D8D"/>
    <w:rsid w:val="0070091D"/>
    <w:rsid w:val="00702854"/>
    <w:rsid w:val="0071036C"/>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2B1C"/>
    <w:rsid w:val="007E30B9"/>
    <w:rsid w:val="007E74F1"/>
    <w:rsid w:val="007F0F0C"/>
    <w:rsid w:val="007F1288"/>
    <w:rsid w:val="007F3272"/>
    <w:rsid w:val="00800A8A"/>
    <w:rsid w:val="0080155C"/>
    <w:rsid w:val="008045A0"/>
    <w:rsid w:val="008052E1"/>
    <w:rsid w:val="00806778"/>
    <w:rsid w:val="008221DF"/>
    <w:rsid w:val="00822F2C"/>
    <w:rsid w:val="00823DEE"/>
    <w:rsid w:val="008305E8"/>
    <w:rsid w:val="00836165"/>
    <w:rsid w:val="0084640C"/>
    <w:rsid w:val="008555CD"/>
    <w:rsid w:val="00856088"/>
    <w:rsid w:val="00860826"/>
    <w:rsid w:val="00860E21"/>
    <w:rsid w:val="00863117"/>
    <w:rsid w:val="0086388B"/>
    <w:rsid w:val="008642E5"/>
    <w:rsid w:val="00864488"/>
    <w:rsid w:val="00870A36"/>
    <w:rsid w:val="00872D93"/>
    <w:rsid w:val="00880470"/>
    <w:rsid w:val="00880D94"/>
    <w:rsid w:val="00886F64"/>
    <w:rsid w:val="00887A66"/>
    <w:rsid w:val="008924DE"/>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26D91"/>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C457C"/>
    <w:rsid w:val="00AD2397"/>
    <w:rsid w:val="00AD4CF1"/>
    <w:rsid w:val="00AD5988"/>
    <w:rsid w:val="00AD6293"/>
    <w:rsid w:val="00AF1BA8"/>
    <w:rsid w:val="00AF7800"/>
    <w:rsid w:val="00B00CF5"/>
    <w:rsid w:val="00B072E0"/>
    <w:rsid w:val="00B1007E"/>
    <w:rsid w:val="00B14A4F"/>
    <w:rsid w:val="00B21D71"/>
    <w:rsid w:val="00B253F6"/>
    <w:rsid w:val="00B26675"/>
    <w:rsid w:val="00B26F0F"/>
    <w:rsid w:val="00B305DB"/>
    <w:rsid w:val="00B332F8"/>
    <w:rsid w:val="00B3492B"/>
    <w:rsid w:val="00B44E09"/>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E5232"/>
    <w:rsid w:val="00BF3DE1"/>
    <w:rsid w:val="00BF4843"/>
    <w:rsid w:val="00BF5205"/>
    <w:rsid w:val="00C02B74"/>
    <w:rsid w:val="00C05132"/>
    <w:rsid w:val="00C12508"/>
    <w:rsid w:val="00C23728"/>
    <w:rsid w:val="00C3026C"/>
    <w:rsid w:val="00C313A9"/>
    <w:rsid w:val="00C441CF"/>
    <w:rsid w:val="00C45AA2"/>
    <w:rsid w:val="00C4792C"/>
    <w:rsid w:val="00C55BEF"/>
    <w:rsid w:val="00C601AF"/>
    <w:rsid w:val="00C61A63"/>
    <w:rsid w:val="00C66296"/>
    <w:rsid w:val="00C737F7"/>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6835"/>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3925"/>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EF56C1"/>
    <w:rsid w:val="00F024FE"/>
    <w:rsid w:val="00F05AD4"/>
    <w:rsid w:val="00F10EB6"/>
    <w:rsid w:val="00F13F07"/>
    <w:rsid w:val="00F140B2"/>
    <w:rsid w:val="00F14D9B"/>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07AD"/>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Paragraph">
    <w:name w:val="List Paragraph"/>
    <w:basedOn w:val="Normal"/>
    <w:uiPriority w:val="34"/>
    <w:qFormat/>
    <w:rsid w:val="00F14D9B"/>
    <w:pPr>
      <w:spacing w:after="160" w:line="259" w:lineRule="auto"/>
      <w:ind w:left="720"/>
      <w:contextualSpacing/>
    </w:pPr>
    <w:rPr>
      <w:rFonts w:eastAsiaTheme="minorHAnsi" w:cstheme="minorBidi"/>
      <w:sz w:val="24"/>
      <w:szCs w:val="22"/>
      <w:lang w:val="en-US" w:eastAsia="en-US"/>
    </w:rPr>
  </w:style>
  <w:style w:type="character" w:styleId="CommentReference">
    <w:name w:val="annotation reference"/>
    <w:basedOn w:val="DefaultParagraphFont"/>
    <w:uiPriority w:val="99"/>
    <w:semiHidden/>
    <w:unhideWhenUsed/>
    <w:rsid w:val="00F14D9B"/>
    <w:rPr>
      <w:sz w:val="16"/>
      <w:szCs w:val="16"/>
    </w:rPr>
  </w:style>
  <w:style w:type="paragraph" w:styleId="CommentText">
    <w:name w:val="annotation text"/>
    <w:basedOn w:val="Normal"/>
    <w:link w:val="CommentTextChar"/>
    <w:uiPriority w:val="99"/>
    <w:unhideWhenUsed/>
    <w:rsid w:val="00F14D9B"/>
    <w:rPr>
      <w:sz w:val="20"/>
    </w:rPr>
  </w:style>
  <w:style w:type="character" w:customStyle="1" w:styleId="CommentTextChar">
    <w:name w:val="Comment Text Char"/>
    <w:basedOn w:val="DefaultParagraphFont"/>
    <w:link w:val="CommentText"/>
    <w:uiPriority w:val="99"/>
    <w:rsid w:val="00F14D9B"/>
    <w:rPr>
      <w:rFonts w:ascii="Segoe UI" w:hAnsi="Segoe UI"/>
      <w:lang w:eastAsia="en-GB"/>
    </w:rPr>
  </w:style>
  <w:style w:type="character" w:styleId="FollowedHyperlink">
    <w:name w:val="FollowedHyperlink"/>
    <w:basedOn w:val="DefaultParagraphFont"/>
    <w:uiPriority w:val="99"/>
    <w:semiHidden/>
    <w:unhideWhenUsed/>
    <w:rsid w:val="00F14D9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14D9B"/>
    <w:rPr>
      <w:b/>
      <w:bCs/>
    </w:rPr>
  </w:style>
  <w:style w:type="character" w:customStyle="1" w:styleId="CommentSubjectChar">
    <w:name w:val="Comment Subject Char"/>
    <w:basedOn w:val="CommentTextChar"/>
    <w:link w:val="CommentSubject"/>
    <w:uiPriority w:val="99"/>
    <w:semiHidden/>
    <w:rsid w:val="00F14D9B"/>
    <w:rPr>
      <w:rFonts w:ascii="Segoe UI" w:hAnsi="Segoe UI"/>
      <w:b/>
      <w:bCs/>
      <w:lang w:eastAsia="en-GB"/>
    </w:rPr>
  </w:style>
  <w:style w:type="character" w:styleId="Mention">
    <w:name w:val="Mention"/>
    <w:basedOn w:val="DefaultParagraphFont"/>
    <w:uiPriority w:val="99"/>
    <w:unhideWhenUsed/>
    <w:rsid w:val="00F14D9B"/>
    <w:rPr>
      <w:color w:val="2B579A"/>
      <w:shd w:val="clear" w:color="auto" w:fill="E1DFDD"/>
    </w:rPr>
  </w:style>
  <w:style w:type="paragraph" w:customStyle="1" w:styleId="pf0">
    <w:name w:val="pf0"/>
    <w:basedOn w:val="Normal"/>
    <w:rsid w:val="00F14D9B"/>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F14D9B"/>
    <w:rPr>
      <w:rFonts w:ascii="Segoe UI" w:hAnsi="Segoe UI" w:cs="Segoe UI" w:hint="default"/>
      <w:sz w:val="18"/>
      <w:szCs w:val="18"/>
    </w:rPr>
  </w:style>
  <w:style w:type="character" w:styleId="UnresolvedMention">
    <w:name w:val="Unresolved Mention"/>
    <w:basedOn w:val="DefaultParagraphFont"/>
    <w:uiPriority w:val="99"/>
    <w:semiHidden/>
    <w:unhideWhenUsed/>
    <w:rsid w:val="00F14D9B"/>
    <w:rPr>
      <w:color w:val="605E5C"/>
      <w:shd w:val="clear" w:color="auto" w:fill="E1DFDD"/>
    </w:rPr>
  </w:style>
  <w:style w:type="paragraph" w:customStyle="1" w:styleId="paragraph">
    <w:name w:val="paragraph"/>
    <w:basedOn w:val="Normal"/>
    <w:rsid w:val="00F14D9B"/>
    <w:pPr>
      <w:spacing w:before="100" w:beforeAutospacing="1" w:after="100" w:afterAutospacing="1"/>
    </w:pPr>
    <w:rPr>
      <w:rFonts w:ascii="Times New Roman" w:hAnsi="Times New Roman"/>
      <w:sz w:val="24"/>
      <w:szCs w:val="24"/>
      <w:lang w:eastAsia="en-NZ"/>
    </w:rPr>
  </w:style>
  <w:style w:type="character" w:customStyle="1" w:styleId="normaltextrun">
    <w:name w:val="normaltextrun"/>
    <w:basedOn w:val="DefaultParagraphFont"/>
    <w:rsid w:val="00F14D9B"/>
  </w:style>
  <w:style w:type="character" w:customStyle="1" w:styleId="eop">
    <w:name w:val="eop"/>
    <w:basedOn w:val="DefaultParagraphFont"/>
    <w:rsid w:val="00F14D9B"/>
  </w:style>
  <w:style w:type="paragraph" w:customStyle="1" w:styleId="text">
    <w:name w:val="text"/>
    <w:basedOn w:val="Normal"/>
    <w:rsid w:val="00F14D9B"/>
    <w:pPr>
      <w:spacing w:before="100" w:beforeAutospacing="1" w:after="100" w:afterAutospacing="1"/>
    </w:pPr>
    <w:rPr>
      <w:rFonts w:ascii="Times New Roman" w:hAnsi="Times New Roman"/>
      <w:sz w:val="24"/>
      <w:szCs w:val="24"/>
      <w:lang w:eastAsia="en-NZ"/>
    </w:rPr>
  </w:style>
  <w:style w:type="character" w:customStyle="1" w:styleId="label">
    <w:name w:val="label"/>
    <w:basedOn w:val="DefaultParagraphFont"/>
    <w:rsid w:val="00F14D9B"/>
  </w:style>
  <w:style w:type="paragraph" w:styleId="Caption">
    <w:name w:val="caption"/>
    <w:basedOn w:val="Normal"/>
    <w:next w:val="Normal"/>
    <w:uiPriority w:val="35"/>
    <w:unhideWhenUsed/>
    <w:qFormat/>
    <w:rsid w:val="00F14D9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LTIB@health.govt.nz" TargetMode="External"/><Relationship Id="rId26" Type="http://schemas.openxmlformats.org/officeDocument/2006/relationships/footer" Target="footer6.xml"/><Relationship Id="rId39" Type="http://schemas.openxmlformats.org/officeDocument/2006/relationships/hyperlink" Target="https://consult.health.govt.nz/health-system-stewardship/unlocking-the-potential-of-active-ageing-long-term"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nsult.health.govt.nz/health-system-stewardship/unlocking-the-potential-of-active-ageing-long-term" TargetMode="Externa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hyperlink" Target="https://www.publicservice.govt.nz/publications/long-term-insights-briefings/open-consul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hyperlink" Target="https://www.msd.govt.nz/about-msd-and-our-work/publications-resources/long-term-insights-briefing/msds-2025-long-term-insights-briefing.html" TargetMode="External"/><Relationship Id="rId40" Type="http://schemas.openxmlformats.org/officeDocument/2006/relationships/hyperlink" Target="mailto:LTIB@health.govt.nz"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dpmc.govt.nz/our-programmes/policy-project/long-term-insights-briefings"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5.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s://officeforseniors.govt.nz/better-later-life-strategy/" TargetMode="External"/><Relationship Id="rId35" Type="http://schemas.openxmlformats.org/officeDocument/2006/relationships/footer" Target="footer10.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ats.govt.nz/information-releases/national-population-projections-2022base2073/" TargetMode="External"/><Relationship Id="rId13" Type="http://schemas.openxmlformats.org/officeDocument/2006/relationships/hyperlink" Target="https://officeforseniors.govt.nz/assets/Uploads/7000OFS_Business-of-Aging-update-2023_3.pdf" TargetMode="External"/><Relationship Id="rId18" Type="http://schemas.openxmlformats.org/officeDocument/2006/relationships/hyperlink" Target="https://www.stats.govt.nz/information-releases/national-and-subnational-period-life-tables-2017-2019" TargetMode="External"/><Relationship Id="rId3" Type="http://schemas.openxmlformats.org/officeDocument/2006/relationships/hyperlink" Target="https://www.health.govt.nz/system/files/2024-08/Health%20and%20Independence%20Report%202023_online_f3.pdf" TargetMode="External"/><Relationship Id="rId7" Type="http://schemas.openxmlformats.org/officeDocument/2006/relationships/hyperlink" Target="https://stats.govt.nz/news/one-million-people-aged-65-by-2028/" TargetMode="External"/><Relationship Id="rId12" Type="http://schemas.openxmlformats.org/officeDocument/2006/relationships/hyperlink" Target="https://www.stats.govt.nz/information-releases/subnational-population-projections-2018base2048/" TargetMode="External"/><Relationship Id="rId17" Type="http://schemas.openxmlformats.org/officeDocument/2006/relationships/hyperlink" Target="https://extranet.who.int/agefriendlyworld/wp-content/uploads/2014/06/WHO-Active-Ageing-Framework.pdf" TargetMode="External"/><Relationship Id="rId2" Type="http://schemas.openxmlformats.org/officeDocument/2006/relationships/hyperlink" Target="https://www.stats.govt.nz/information-releases/new-zealand-cohort-life-tables-march-2023-update/" TargetMode="External"/><Relationship Id="rId16" Type="http://schemas.openxmlformats.org/officeDocument/2006/relationships/hyperlink" Target="http://www.nzccss.org.nz/wp-content/uploads/2024/06/NZCCSS-Te-Korero-mo-nga-Kaumatua_August-2023.pdf" TargetMode="External"/><Relationship Id="rId1" Type="http://schemas.openxmlformats.org/officeDocument/2006/relationships/hyperlink" Target="http://www.stats.govt.nz/information-releases/births-and-deaths-year-ended-december-2023-including-abridged-period-life-table" TargetMode="External"/><Relationship Id="rId6" Type="http://schemas.openxmlformats.org/officeDocument/2006/relationships/hyperlink" Target="https://officeforseniors.govt.nz/better-later-life-strategy/" TargetMode="External"/><Relationship Id="rId11" Type="http://schemas.openxmlformats.org/officeDocument/2006/relationships/hyperlink" Target="https://www.stats.govt.nz/information-releases/disability-survey-2013" TargetMode="External"/><Relationship Id="rId5" Type="http://schemas.openxmlformats.org/officeDocument/2006/relationships/hyperlink" Target="https://extranet.who.int/agefriendlyworld/wp-content/uploads/2014/06/WHO-Active-Ageing-Framework.pdf" TargetMode="External"/><Relationship Id="rId15" Type="http://schemas.openxmlformats.org/officeDocument/2006/relationships/hyperlink" Target="https://officeforseniors.govt.nz/assets/Uploads/7000OFS_Business-of-Aging-update-2023_3.pdf" TargetMode="External"/><Relationship Id="rId10" Type="http://schemas.openxmlformats.org/officeDocument/2006/relationships/hyperlink" Target="https://www.stats.govt.nz/information-releases/family-and-household-projections-2018base-2043/" TargetMode="External"/><Relationship Id="rId19" Type="http://schemas.openxmlformats.org/officeDocument/2006/relationships/hyperlink" Target="https://forms.justice.govt.nz/search/Documents/WT/wt_DOC_195476216/Hauora%202023%20W.pdf" TargetMode="External"/><Relationship Id="rId4" Type="http://schemas.openxmlformats.org/officeDocument/2006/relationships/hyperlink" Target="https://extranet.who.int/agefriendlyworld/wp-content/uploads/2014/06/WHO-Active-Ageing-Framework.pdf" TargetMode="External"/><Relationship Id="rId9" Type="http://schemas.openxmlformats.org/officeDocument/2006/relationships/hyperlink" Target="https://stats.govt.nz/information-releases/national-ethnic-population-projections-2018base-2043/" TargetMode="External"/><Relationship Id="rId14" Type="http://schemas.openxmlformats.org/officeDocument/2006/relationships/hyperlink" Target="https://www.stats.govt.nz/information-releases/wellbeing-statistics-2021-supplementa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22</Pages>
  <Words>5944</Words>
  <Characters>33882</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Unlocking the Potential of Active Ageing: Creating health-promoting and supportive environments to empower older people and enhance their contributions to society</vt:lpstr>
    </vt:vector>
  </TitlesOfParts>
  <Company>Microsoft</Company>
  <LinksUpToDate>false</LinksUpToDate>
  <CharactersWithSpaces>39747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Unlocking the Potential of Active Ageing: Creating health-promoting and supportive environments to empower older people and enhance their contributions to society</dc:title>
  <dc:creator>Ministry of Health</dc:creator>
  <cp:lastModifiedBy>Jemima Porter</cp:lastModifiedBy>
  <cp:revision>2</cp:revision>
  <cp:lastPrinted>2024-11-01T03:40:00Z</cp:lastPrinted>
  <dcterms:created xsi:type="dcterms:W3CDTF">2024-11-01T03:59:00Z</dcterms:created>
  <dcterms:modified xsi:type="dcterms:W3CDTF">2024-11-01T03:59:00Z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